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4"/>
        </w:rPr>
        <w:t>İKTİSADİ ANALİZ VE KAMU YÖNETİMİ DEĞERLENDİRMESİ</w:t>
      </w:r>
    </w:p>
    <w:p/>
    <w:p>
      <w:pPr>
        <w:jc w:val="center"/>
      </w:pPr>
      <w:r>
        <w:rPr>
          <w:b/>
          <w:color w:val="1F3A5F"/>
          <w:sz w:val="52"/>
        </w:rPr>
        <w:t>TEŞHİS VE TEDAVİ BULGUSU</w:t>
      </w:r>
    </w:p>
    <w:p>
      <w:pPr>
        <w:jc w:val="center"/>
      </w:pPr>
      <w:r>
        <w:rPr>
          <w:b/>
          <w:sz w:val="30"/>
        </w:rPr>
        <w:t>Firmalar Arası Ödeme Kilidi ve “Tek Sistem” Modelinin</w:t>
        <w:br/>
        <w:t>Beş Adımı ile Adım 4.5’in Ayrı Ayrı Uygulanabilirlik İncelemesi</w:t>
      </w:r>
    </w:p>
    <w:p/>
    <w:p>
      <w:pPr>
        <w:jc w:val="center"/>
      </w:pPr>
      <w:r>
        <w:rPr>
          <w:i/>
          <w:sz w:val="22"/>
        </w:rPr>
        <w:t>Belge niteliği: Teşhis ve tedavi bulgusu. Politika önerisi değildir; adımlar bir paket olarak sunulmamaktadır.</w:t>
        <w:br/>
        <w:t>Her adım, yalnızca kendi başlangıç kıstasının sağlandığı ölçüde uygulanabilir sayılmıştır.</w:t>
      </w:r>
    </w:p>
    <w:p/>
    <w:p/>
    <w:p/>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19"/>
              </w:rPr>
              <w:t>Alan</w:t>
            </w:r>
          </w:p>
        </w:tc>
        <w:tc>
          <w:tcPr>
            <w:tcW w:type="dxa" w:w="6690"/>
            <w:shd w:val="clear" w:color="auto" w:fill="D9E2F3"/>
          </w:tcPr>
          <w:p>
            <w:r/>
            <w:r>
              <w:rPr>
                <w:b/>
                <w:sz w:val="19"/>
              </w:rPr>
              <w:t>Kayıt</w:t>
            </w:r>
          </w:p>
        </w:tc>
      </w:tr>
      <w:tr>
        <w:tc>
          <w:tcPr>
            <w:tcW w:type="dxa" w:w="2381"/>
          </w:tcPr>
          <w:p>
            <w:pPr>
              <w:spacing w:after="20"/>
            </w:pPr>
            <w:r/>
            <w:r>
              <w:rPr>
                <w:sz w:val="19"/>
              </w:rPr>
              <w:t>İncelenen kaynak</w:t>
            </w:r>
          </w:p>
        </w:tc>
        <w:tc>
          <w:tcPr>
            <w:tcW w:type="dxa" w:w="6690"/>
          </w:tcPr>
          <w:p>
            <w:pPr>
              <w:spacing w:after="20"/>
            </w:pPr>
            <w:r/>
            <w:r>
              <w:rPr>
                <w:sz w:val="19"/>
              </w:rPr>
              <w:t xml:space="preserve">GitHub deposu </w:t>
            </w:r>
            <w:r>
              <w:rPr>
                <w:rFonts w:ascii="Consolas" w:hAnsi="Consolas"/>
                <w:sz w:val="19"/>
              </w:rPr>
              <w:t>saydamonur2002-tech/zarar-teorisi</w:t>
            </w:r>
            <w:r>
              <w:rPr>
                <w:sz w:val="19"/>
              </w:rPr>
              <w:t xml:space="preserve">, </w:t>
            </w:r>
            <w:r>
              <w:rPr>
                <w:rFonts w:ascii="Consolas" w:hAnsi="Consolas"/>
                <w:sz w:val="19"/>
              </w:rPr>
              <w:t>main</w:t>
            </w:r>
            <w:r>
              <w:rPr>
                <w:sz w:val="19"/>
              </w:rPr>
              <w:t xml:space="preserve"> dalı</w:t>
            </w:r>
          </w:p>
        </w:tc>
      </w:tr>
      <w:tr>
        <w:tc>
          <w:tcPr>
            <w:tcW w:type="dxa" w:w="2381"/>
          </w:tcPr>
          <w:p>
            <w:pPr>
              <w:spacing w:after="20"/>
            </w:pPr>
            <w:r/>
            <w:r>
              <w:rPr>
                <w:sz w:val="19"/>
              </w:rPr>
              <w:t>Esas alınan sürüm</w:t>
            </w:r>
          </w:p>
        </w:tc>
        <w:tc>
          <w:tcPr>
            <w:tcW w:type="dxa" w:w="6690"/>
          </w:tcPr>
          <w:p>
            <w:pPr>
              <w:spacing w:after="20"/>
            </w:pPr>
            <w:r/>
            <w:r>
              <w:rPr>
                <w:sz w:val="19"/>
              </w:rPr>
              <w:t xml:space="preserve">Birleştirme işlemi </w:t>
            </w:r>
            <w:r>
              <w:rPr>
                <w:rFonts w:ascii="Consolas" w:hAnsi="Consolas"/>
                <w:sz w:val="19"/>
              </w:rPr>
              <w:t>371d99e</w:t>
            </w:r>
            <w:r>
              <w:rPr>
                <w:sz w:val="19"/>
              </w:rPr>
              <w:t xml:space="preserve"> (PR #29, senet bacağı taslağı; 17.10.2026)</w:t>
            </w:r>
          </w:p>
        </w:tc>
      </w:tr>
      <w:tr>
        <w:tc>
          <w:tcPr>
            <w:tcW w:type="dxa" w:w="2381"/>
          </w:tcPr>
          <w:p>
            <w:pPr>
              <w:spacing w:after="20"/>
            </w:pPr>
            <w:r/>
            <w:r>
              <w:rPr>
                <w:sz w:val="19"/>
              </w:rPr>
              <w:t>Veri dondurma tarihi</w:t>
            </w:r>
          </w:p>
        </w:tc>
        <w:tc>
          <w:tcPr>
            <w:tcW w:type="dxa" w:w="6690"/>
          </w:tcPr>
          <w:p>
            <w:pPr>
              <w:spacing w:after="20"/>
            </w:pPr>
            <w:r/>
            <w:r>
              <w:rPr>
                <w:sz w:val="19"/>
              </w:rPr>
              <w:t>17.10.2026 dondurulmuş veri (YAPILABILIRLIK.md başlığı); ham EVDS çekimi 7.10.2026 (README.md)</w:t>
            </w:r>
          </w:p>
        </w:tc>
      </w:tr>
      <w:tr>
        <w:tc>
          <w:tcPr>
            <w:tcW w:type="dxa" w:w="2381"/>
          </w:tcPr>
          <w:p>
            <w:pPr>
              <w:spacing w:after="20"/>
            </w:pPr>
            <w:r/>
            <w:r>
              <w:rPr>
                <w:sz w:val="19"/>
              </w:rPr>
              <w:t>Bakış açısı</w:t>
            </w:r>
          </w:p>
        </w:tc>
        <w:tc>
          <w:tcPr>
            <w:tcW w:type="dxa" w:w="6690"/>
          </w:tcPr>
          <w:p>
            <w:pPr>
              <w:spacing w:after="20"/>
            </w:pPr>
            <w:r/>
            <w:r>
              <w:rPr>
                <w:sz w:val="19"/>
              </w:rPr>
              <w:t>Modeli inceleyen iktisatçı ve kıdemli kamu yöneticisi</w:t>
            </w:r>
          </w:p>
        </w:tc>
      </w:tr>
      <w:tr>
        <w:tc>
          <w:tcPr>
            <w:tcW w:type="dxa" w:w="2381"/>
          </w:tcPr>
          <w:p>
            <w:pPr>
              <w:spacing w:after="20"/>
            </w:pPr>
            <w:r/>
            <w:r>
              <w:rPr>
                <w:sz w:val="19"/>
              </w:rPr>
              <w:t>Belge tarihi</w:t>
            </w:r>
          </w:p>
        </w:tc>
        <w:tc>
          <w:tcPr>
            <w:tcW w:type="dxa" w:w="6690"/>
          </w:tcPr>
          <w:p>
            <w:pPr>
              <w:spacing w:after="20"/>
            </w:pPr>
            <w:r/>
            <w:r>
              <w:rPr>
                <w:sz w:val="19"/>
              </w:rPr>
              <w:t>17 Ekim 2026</w:t>
            </w:r>
          </w:p>
        </w:tc>
      </w:tr>
      <w:tr>
        <w:tc>
          <w:tcPr>
            <w:tcW w:type="dxa" w:w="2381"/>
          </w:tcPr>
          <w:p>
            <w:pPr>
              <w:spacing w:after="20"/>
            </w:pPr>
            <w:r/>
            <w:r>
              <w:rPr>
                <w:sz w:val="19"/>
              </w:rPr>
              <w:t>Etiket sözleşmesi</w:t>
            </w:r>
          </w:p>
        </w:tc>
        <w:tc>
          <w:tcPr>
            <w:tcW w:type="dxa" w:w="6690"/>
          </w:tcPr>
          <w:p>
            <w:pPr>
              <w:spacing w:after="20"/>
            </w:pPr>
            <w:r/>
            <w:r>
              <w:rPr>
                <w:b/>
                <w:color w:val="0B6123"/>
                <w:sz w:val="19"/>
              </w:rPr>
              <w:t>[kanıt]</w:t>
            </w:r>
            <w:r>
              <w:rPr>
                <w:sz w:val="19"/>
              </w:rPr>
              <w:t xml:space="preserve"> ölçülmüş/belgelenmiş · </w:t>
            </w:r>
            <w:r>
              <w:rPr>
                <w:b/>
                <w:color w:val="A05200"/>
                <w:sz w:val="19"/>
              </w:rPr>
              <w:t>[aday]</w:t>
            </w:r>
            <w:r>
              <w:rPr>
                <w:sz w:val="19"/>
              </w:rPr>
              <w:t xml:space="preserve"> varsayım/çıkarım · </w:t>
            </w:r>
            <w:r>
              <w:rPr>
                <w:b/>
                <w:color w:val="1F3A8F"/>
                <w:sz w:val="19"/>
              </w:rPr>
              <w:t>[türetilmiş]</w:t>
            </w:r>
            <w:r>
              <w:rPr>
                <w:sz w:val="19"/>
              </w:rPr>
              <w:t xml:space="preserve"> depo sayılarından yapılan aritmetik · </w:t>
            </w:r>
            <w:r>
              <w:rPr>
                <w:b/>
                <w:color w:val="9B1010"/>
                <w:sz w:val="19"/>
              </w:rPr>
              <w:t>[depo dışı]</w:t>
            </w:r>
            <w:r>
              <w:rPr>
                <w:sz w:val="19"/>
              </w:rPr>
              <w:t xml:space="preserve"> depoda yazılı olmayan değer</w:t>
            </w:r>
          </w:p>
        </w:tc>
      </w:tr>
      <w:tr>
        <w:tc>
          <w:tcPr>
            <w:tcW w:type="dxa" w:w="2381"/>
          </w:tcPr>
          <w:p>
            <w:pPr>
              <w:spacing w:after="20"/>
            </w:pPr>
            <w:r/>
            <w:r>
              <w:rPr>
                <w:sz w:val="19"/>
              </w:rPr>
              <w:t>Depoya yazım</w:t>
            </w:r>
          </w:p>
        </w:tc>
        <w:tc>
          <w:tcPr>
            <w:tcW w:type="dxa" w:w="6690"/>
          </w:tcPr>
          <w:p>
            <w:pPr>
              <w:spacing w:after="20"/>
            </w:pPr>
            <w:r/>
            <w:r>
              <w:rPr>
                <w:sz w:val="19"/>
              </w:rPr>
              <w:t>Yapılmamıştır. Depo yalnız okunmuştur.</w:t>
            </w:r>
          </w:p>
        </w:tc>
      </w:tr>
    </w:tbl>
    <w:p>
      <w:pPr>
        <w:spacing w:after="40"/>
      </w:pPr>
    </w:p>
    <w:p>
      <w:r>
        <w:br w:type="page"/>
      </w:r>
    </w:p>
    <w:p>
      <w:pPr>
        <w:pStyle w:val="Heading1"/>
      </w:pPr>
      <w:r>
        <w:t>İçindekiler</w:t>
      </w:r>
    </w:p>
    <w:p>
      <w:pPr>
        <w:spacing w:after="40"/>
      </w:pPr>
      <w:r>
        <w:t>1. Teşhis Özeti</w:t>
      </w:r>
    </w:p>
    <w:p>
      <w:pPr>
        <w:spacing w:after="40"/>
      </w:pPr>
      <w:r>
        <w:t>2. Yöntem, Veri ve Kanıt/Aday Sözleşmesi</w:t>
      </w:r>
    </w:p>
    <w:p>
      <w:pPr>
        <w:spacing w:after="40"/>
      </w:pPr>
      <w:r>
        <w:t>3. Genel Teşhis: Ödeme Sırasındaki Kilit</w:t>
      </w:r>
    </w:p>
    <w:p>
      <w:pPr>
        <w:spacing w:after="40"/>
      </w:pPr>
      <w:r>
        <w:t>4. Adım 1 — E-fatura Üzerinden Çok Taraflı Mahsup</w:t>
      </w:r>
    </w:p>
    <w:p>
      <w:pPr>
        <w:spacing w:after="40"/>
      </w:pPr>
      <w:r>
        <w:t>5. Adım 2 — Kalan Net Borcun Akışla Ödenmesi (Ağ/Likidite)</w:t>
      </w:r>
    </w:p>
    <w:p>
      <w:pPr>
        <w:spacing w:after="40"/>
      </w:pPr>
      <w:r>
        <w:t>6. Adım 3 — Akışın Krediyle Çevrilmemesi ve Eski Stok Faizinin Durması</w:t>
      </w:r>
    </w:p>
    <w:p>
      <w:pPr>
        <w:spacing w:after="40"/>
      </w:pPr>
      <w:r>
        <w:t>7. Adım 4 — Tasarrufun Adres Yönlendirmesi ve Hedef Primli Senet</w:t>
      </w:r>
    </w:p>
    <w:p>
      <w:pPr>
        <w:spacing w:after="40"/>
      </w:pPr>
      <w:r>
        <w:t>8. Adım 4.5 — Mevcut TL’den Yeni Fiat TL’ye Geçiş</w:t>
      </w:r>
    </w:p>
    <w:p>
      <w:pPr>
        <w:spacing w:after="40"/>
      </w:pPr>
      <w:r>
        <w:t>9. Adım 5 — Konut Stoku ve Kira Kolu</w:t>
      </w:r>
    </w:p>
    <w:p>
      <w:pPr>
        <w:spacing w:after="40"/>
      </w:pPr>
      <w:r>
        <w:t>10. Adımlar Arası Etkileşim ve Bağımsızlık</w:t>
      </w:r>
    </w:p>
    <w:p>
      <w:pPr>
        <w:spacing w:after="40"/>
      </w:pPr>
      <w:r>
        <w:t>11. Şok Testleri</w:t>
      </w:r>
    </w:p>
    <w:p>
      <w:pPr>
        <w:spacing w:after="40"/>
      </w:pPr>
      <w:r>
        <w:t>12. Adım Başına Özet Tablo</w:t>
      </w:r>
    </w:p>
    <w:p>
      <w:pPr>
        <w:spacing w:after="40"/>
      </w:pPr>
      <w:r>
        <w:t>13. Tedavi Bulgusu: Adım Başına Uygulanabilirlik Hükmü</w:t>
      </w:r>
    </w:p>
    <w:p>
      <w:pPr>
        <w:spacing w:after="40"/>
      </w:pPr>
      <w:r>
        <w:t>14. Sınırlılıklar ve Ölçülmeyen Kalemler</w:t>
      </w:r>
    </w:p>
    <w:p>
      <w:pPr>
        <w:spacing w:after="40"/>
      </w:pPr>
      <w:r>
        <w:t>Ek A. Denklemler</w:t>
      </w:r>
    </w:p>
    <w:p>
      <w:pPr>
        <w:spacing w:after="40"/>
      </w:pPr>
      <w:r>
        <w:t>Ek B. Kaynak Dosyalar</w:t>
      </w:r>
    </w:p>
    <w:p>
      <w:pPr>
        <w:spacing w:after="40"/>
      </w:pPr>
      <w:r>
        <w:t>Ek C. Görev Metnindeki Değerlerin Depo ile Mutabakatı</w:t>
      </w:r>
    </w:p>
    <w:p>
      <w:pPr>
        <w:spacing w:after="40"/>
      </w:pPr>
      <w:r>
        <w:t>Ek D. Yerel Yeniden Koşu Kaydı</w:t>
      </w:r>
    </w:p>
    <w:p/>
    <w:tbl>
      <w:tblPr>
        <w:tblStyle w:val="TableGrid"/>
        <w:tblW w:type="auto" w:w="0"/>
        <w:tblLook w:firstColumn="1" w:firstRow="1" w:lastColumn="0" w:lastRow="0" w:noHBand="0" w:noVBand="1" w:val="04A0"/>
      </w:tblPr>
      <w:tblGrid>
        <w:gridCol w:w="9242"/>
      </w:tblGrid>
      <w:tr>
        <w:tc>
          <w:tcPr>
            <w:tcW w:type="dxa" w:w="9241"/>
            <w:shd w:val="clear" w:color="auto" w:fill="F2F2F2"/>
          </w:tcPr>
          <w:p>
            <w:r/>
            <w:r>
              <w:rPr>
                <w:b/>
                <w:sz w:val="20"/>
              </w:rPr>
              <w:t>Okuma notu</w:t>
            </w:r>
          </w:p>
          <w:p>
            <w:pPr>
              <w:spacing w:after="40"/>
              <w:jc w:val="both"/>
            </w:pPr>
            <w:r>
              <w:rPr>
                <w:sz w:val="19"/>
              </w:rPr>
              <w:t xml:space="preserve">Bu belge, bir kamu idaresinin iç değerlendirme raporu üslubuyla yazılmıştır. Amaç, depodaki modelin ortaya koyduğu </w:t>
            </w:r>
            <w:r>
              <w:rPr>
                <w:b/>
                <w:sz w:val="19"/>
              </w:rPr>
              <w:t>teşhisi</w:t>
            </w:r>
            <w:r>
              <w:rPr>
                <w:sz w:val="19"/>
              </w:rPr>
              <w:t xml:space="preserve"> (sorunun ne olduğu) ve her adımın </w:t>
            </w:r>
            <w:r>
              <w:rPr>
                <w:b/>
                <w:sz w:val="19"/>
              </w:rPr>
              <w:t>tedavi bulgusunu</w:t>
            </w:r>
            <w:r>
              <w:rPr>
                <w:sz w:val="19"/>
              </w:rPr>
              <w:t xml:space="preserve"> (hangi koşulda, ne ölçüde işe yarayabileceği) birbirinden ayırarak kayda geçirmektir.</w:t>
            </w:r>
          </w:p>
          <w:p>
            <w:pPr>
              <w:spacing w:after="40"/>
              <w:jc w:val="both"/>
            </w:pPr>
            <w:r>
              <w:rPr>
                <w:sz w:val="19"/>
              </w:rPr>
              <w:t xml:space="preserve">Belgede hiçbir adım “uygulanmalıdır” biçiminde önerilmemektedir. Her adım için önce </w:t>
            </w:r>
            <w:r>
              <w:rPr>
                <w:b/>
                <w:sz w:val="19"/>
              </w:rPr>
              <w:t>başlangıç kıstası</w:t>
            </w:r>
            <w:r>
              <w:rPr>
                <w:sz w:val="19"/>
              </w:rPr>
              <w:t xml:space="preserve"> (adımın uygulanabilmesi için fiilen sağlanmış olması gereken koşullar) incelenmiş, kıstasın bugünkü durumu “sağlanıyor / sağlanmıyor / ölçülemedi” olarak kaydedilmiş, ardından Gerekçe, Mekanizma, Doğurduğu sonuç, Maliyet, Fayda ve Amaç başlıkları ayrı ayrı yazılmıştır.</w:t>
            </w:r>
          </w:p>
          <w:p>
            <w:pPr>
              <w:spacing w:after="40"/>
              <w:jc w:val="both"/>
            </w:pPr>
            <w:r>
              <w:rPr>
                <w:sz w:val="19"/>
              </w:rPr>
              <w:t xml:space="preserve">Bütün sayılar depodaki dosyalardan alınmıştır; kaynak dosya her sayının yanında gösterilmiştir. Depo sayılarının bölünmesiyle elde edilen oranlar </w:t>
            </w:r>
            <w:r>
              <w:rPr>
                <w:b/>
                <w:color w:val="1F3A8F"/>
                <w:sz w:val="19"/>
              </w:rPr>
              <w:t>[türetilmiş]</w:t>
            </w:r>
            <w:r>
              <w:rPr>
                <w:sz w:val="19"/>
              </w:rPr>
              <w:t xml:space="preserve"> olarak işaretlenmiştir. Görev metninde verilen ama depoda yazılı bulunmayan değerler Ek C’de ayrıca mutabakata bağlanmıştır.</w:t>
            </w:r>
          </w:p>
        </w:tc>
      </w:tr>
    </w:tbl>
    <w:p>
      <w:pPr>
        <w:spacing w:after="40"/>
      </w:pPr>
    </w:p>
    <w:p>
      <w:r>
        <w:br w:type="page"/>
      </w:r>
    </w:p>
    <w:p>
      <w:pPr>
        <w:pStyle w:val="Heading1"/>
      </w:pPr>
      <w:r>
        <w:t>1. Teşhis Özeti</w:t>
      </w:r>
    </w:p>
    <w:p>
      <w:pPr>
        <w:jc w:val="both"/>
      </w:pPr>
      <w:r>
        <w:rPr>
          <w:b/>
        </w:rPr>
        <w:t xml:space="preserve">(1) </w:t>
      </w:r>
      <w:r>
        <w:t xml:space="preserve">Modelin temel teşhisi şudur: firmaların önemli bir kısmı </w:t>
      </w:r>
      <w:r>
        <w:rPr>
          <w:b/>
        </w:rPr>
        <w:t>ödeme gücüne sahip olduğu hâlde ödeme sırası nedeniyle temerrüde düşmektedir</w:t>
      </w:r>
      <w:r>
        <w:t xml:space="preserve">. A firması B’ye, B firması C’ye, C firması da A’ya borçlu olduğunda döngünün neti sıfırdır; “yeni para gerekmiyor, sıra kilitli” (model/RAPOR.md:9) </w:t>
      </w:r>
      <w:r>
        <w:rPr>
          <w:b/>
          <w:color w:val="0B6123"/>
          <w:sz w:val="18"/>
        </w:rPr>
        <w:t>[kanıt, metin]</w:t>
      </w:r>
      <w:r>
        <w:t xml:space="preserve">. Mahsuplaşma modeli bu durumu “kilitli firma” olarak tanımlar: sıralı ödemede temerrüde düşen, ancak Eisenberg–Noe takas vektöründe ödeme gücü yeten firma (mahsup/README.md, “Teknik çekirdek”) </w:t>
      </w:r>
      <w:r>
        <w:rPr>
          <w:b/>
          <w:color w:val="0B6123"/>
          <w:sz w:val="18"/>
        </w:rPr>
        <w:t>[kanıt, tanım]</w:t>
      </w:r>
      <w:r>
        <w:t>.</w:t>
      </w:r>
    </w:p>
    <w:p>
      <w:pPr>
        <w:jc w:val="both"/>
      </w:pPr>
      <w:r>
        <w:rPr>
          <w:b/>
        </w:rPr>
        <w:t xml:space="preserve">(2) </w:t>
      </w:r>
      <w:r>
        <w:t xml:space="preserve">Teşhisin sayısal karşılığı, depodaki ağ kodunun (rev_sok.ag_kur + mahsuplasma.calistir) dondurulmuş veriyle yerel olarak yeniden koşulmasıyla doğrulanmıştır: tam ağda, kur şoku yokken ve λ* = 1,0357 iken </w:t>
      </w:r>
      <w:r>
        <w:rPr>
          <w:b/>
        </w:rPr>
        <w:t>mahsupsuz (brüt) aşamada 16 temerrüt ve 8.956,38 milyar TL köprü (kredisiz açık)</w:t>
      </w:r>
      <w:r>
        <w:t xml:space="preserve">, </w:t>
      </w:r>
      <w:r>
        <w:rPr>
          <w:b/>
        </w:rPr>
        <w:t>mahsup sonrası aşamada 3 temerrüt ve 46,77 milyar TL köprü</w:t>
      </w:r>
      <w:r>
        <w:t xml:space="preserve"> çıkmaktadır (Ek D) </w:t>
      </w:r>
      <w:r>
        <w:rPr>
          <w:b/>
          <w:color w:val="0B6123"/>
          <w:sz w:val="18"/>
        </w:rPr>
        <w:t>[kanıt, depo kodunun yerel koşusu; sayı depoda yazılı değildir]</w:t>
      </w:r>
      <w:r>
        <w:t xml:space="preserve">. Açığın yaklaşık %99,5’i yalnız sıranın düzeltilmesiyle kapanmaktadır </w:t>
      </w:r>
      <w:r>
        <w:rPr>
          <w:b/>
          <w:color w:val="1F3A8F"/>
          <w:sz w:val="18"/>
        </w:rPr>
        <w:t>[türetilmiş]</w:t>
      </w:r>
      <w:r>
        <w:t>.</w:t>
      </w:r>
    </w:p>
    <w:p>
      <w:pPr>
        <w:jc w:val="both"/>
      </w:pPr>
      <w:r>
        <w:rPr>
          <w:b/>
        </w:rPr>
        <w:t xml:space="preserve">(3) </w:t>
      </w:r>
      <w:r>
        <w:t xml:space="preserve">Firma sektörü içindeki karşılıklı ticari borç stoku 2026-Q1’de 39.928,6 milyar TL’dir (EVDS ZP22/ZP44 konsolide olmayan − konsolide farkı; ADIM1_NACE.md (a)) </w:t>
      </w:r>
      <w:r>
        <w:rPr>
          <w:b/>
          <w:color w:val="0B6123"/>
          <w:sz w:val="18"/>
        </w:rPr>
        <w:t>[kanıt]</w:t>
      </w:r>
      <w:r>
        <w:t xml:space="preserve">. Sektör Bilançoları 2024 üzerinden tam grafta netleşebilecek azami pay %91,4’tür (ADIM1_NACE.md (b)) </w:t>
      </w:r>
      <w:r>
        <w:rPr>
          <w:b/>
          <w:color w:val="0B6123"/>
          <w:sz w:val="18"/>
        </w:rPr>
        <w:t>[kanıt, üst sınır]</w:t>
      </w:r>
      <w:r>
        <w:t xml:space="preserve">; ancak gerçek ağ seyrekse bu oran 0,12–0,91 bandına düşmektedir (YAPILABILIRLIK.md:8) </w:t>
      </w:r>
      <w:r>
        <w:rPr>
          <w:b/>
          <w:color w:val="A05200"/>
          <w:sz w:val="18"/>
        </w:rPr>
        <w:t>[aday, yoğunluk varsayımı]</w:t>
      </w:r>
      <w:r>
        <w:t>.</w:t>
      </w:r>
    </w:p>
    <w:p>
      <w:pPr>
        <w:jc w:val="both"/>
      </w:pPr>
      <w:r>
        <w:rPr>
          <w:b/>
        </w:rPr>
        <w:t xml:space="preserve">(4) </w:t>
      </w:r>
      <w:r>
        <w:t xml:space="preserve">Teşhis, beş adım ile Adım 4.5’in </w:t>
      </w:r>
      <w:r>
        <w:rPr>
          <w:b/>
        </w:rPr>
        <w:t>tek bir paket olmadığını</w:t>
      </w:r>
      <w:r>
        <w:t xml:space="preserve"> göstermektedir. Kilidi açan araç Adım 1’in mahsubudur; Adım 4’ün adres yönlendirmesi kilidi açmaz, açılan paranın nereye gideceğini belirler (model/RAPOR.md:5; analiz/senet/SENET_ANALIZ.md “Kanal yok — metin”) </w:t>
      </w:r>
      <w:r>
        <w:rPr>
          <w:b/>
          <w:color w:val="0B6123"/>
          <w:sz w:val="18"/>
        </w:rPr>
        <w:t>[kanıt, metin]</w:t>
      </w:r>
      <w:r>
        <w:t>. Bu nedenle her adımın uygulanabilirliği kendi başlangıç kıstasına bağlanmıştır.</w:t>
      </w:r>
    </w:p>
    <w:p>
      <w:pPr>
        <w:jc w:val="both"/>
      </w:pPr>
      <w:r>
        <w:rPr>
          <w:b/>
        </w:rPr>
        <w:t xml:space="preserve">(5) </w:t>
      </w:r>
      <w:r>
        <w:t xml:space="preserve">En olası senaryo olarak κ = 0,25 ve kur değer kaybı δ = %19,29 seçildiğinde (analiz/senet/SENET_ANALIZ.md:5) </w:t>
      </w:r>
      <w:r>
        <w:rPr>
          <w:b/>
          <w:color w:val="A05200"/>
          <w:sz w:val="18"/>
        </w:rPr>
        <w:t>[aday, senaryo seçimi]</w:t>
      </w:r>
      <w:r>
        <w:t xml:space="preserve"> adım başına teşhis aşağıdaki gibidir:</w:t>
      </w:r>
    </w:p>
    <w:p>
      <w:pPr>
        <w:keepNext/>
        <w:spacing w:after="40"/>
        <w:jc w:val="left"/>
      </w:pPr>
      <w:r>
        <w:rPr>
          <w:b/>
          <w:sz w:val="19"/>
        </w:rPr>
        <w:t>Tablo 1.1 — Adım başına teşhis özeti (en olası senaryo)</w:t>
      </w:r>
    </w:p>
    <w:tbl>
      <w:tblPr>
        <w:tblStyle w:val="TableGrid"/>
        <w:tblW w:type="auto" w:w="0"/>
        <w:jc w:val="center"/>
        <w:tblLayout w:type="fixed"/>
        <w:tblLook w:firstColumn="1" w:firstRow="1" w:lastColumn="0" w:lastRow="0" w:noHBand="0" w:noVBand="1" w:val="04A0"/>
      </w:tblPr>
      <w:tblGrid>
        <w:gridCol w:w="1474"/>
        <w:gridCol w:w="2494"/>
        <w:gridCol w:w="3061"/>
        <w:gridCol w:w="2041"/>
      </w:tblGrid>
      <w:tr>
        <w:trPr>
          <w:tblHeader w:val="true"/>
        </w:trPr>
        <w:tc>
          <w:tcPr>
            <w:tcW w:type="dxa" w:w="1474"/>
            <w:shd w:val="clear" w:color="auto" w:fill="D9E2F3"/>
          </w:tcPr>
          <w:p>
            <w:r/>
            <w:r>
              <w:rPr>
                <w:b/>
                <w:sz w:val="17"/>
              </w:rPr>
              <w:t>Adım</w:t>
            </w:r>
          </w:p>
        </w:tc>
        <w:tc>
          <w:tcPr>
            <w:tcW w:type="dxa" w:w="2494"/>
            <w:shd w:val="clear" w:color="auto" w:fill="D9E2F3"/>
          </w:tcPr>
          <w:p>
            <w:r/>
            <w:r>
              <w:rPr>
                <w:b/>
                <w:sz w:val="17"/>
              </w:rPr>
              <w:t>Başlangıç kıstası</w:t>
            </w:r>
          </w:p>
        </w:tc>
        <w:tc>
          <w:tcPr>
            <w:tcW w:type="dxa" w:w="3061"/>
            <w:shd w:val="clear" w:color="auto" w:fill="D9E2F3"/>
          </w:tcPr>
          <w:p>
            <w:r/>
            <w:r>
              <w:rPr>
                <w:b/>
                <w:sz w:val="17"/>
              </w:rPr>
              <w:t>Teşhis hükmü</w:t>
            </w:r>
          </w:p>
        </w:tc>
        <w:tc>
          <w:tcPr>
            <w:tcW w:type="dxa" w:w="2041"/>
            <w:shd w:val="clear" w:color="auto" w:fill="D9E2F3"/>
          </w:tcPr>
          <w:p>
            <w:r/>
            <w:r>
              <w:rPr>
                <w:b/>
                <w:sz w:val="17"/>
              </w:rPr>
              <w:t>Dayanak</w:t>
            </w:r>
          </w:p>
        </w:tc>
      </w:tr>
      <w:tr>
        <w:tc>
          <w:tcPr>
            <w:tcW w:type="dxa" w:w="1474"/>
          </w:tcPr>
          <w:p>
            <w:pPr>
              <w:spacing w:after="20"/>
            </w:pPr>
            <w:r/>
            <w:r>
              <w:rPr>
                <w:sz w:val="17"/>
              </w:rPr>
              <w:t>1 Mahsup</w:t>
            </w:r>
          </w:p>
        </w:tc>
        <w:tc>
          <w:tcPr>
            <w:tcW w:type="dxa" w:w="2494"/>
            <w:shd w:val="clear" w:color="auto" w:fill="F8CBAD"/>
          </w:tcPr>
          <w:p>
            <w:pPr>
              <w:spacing w:after="20"/>
            </w:pPr>
            <w:r/>
            <w:r>
              <w:rPr>
                <w:sz w:val="17"/>
              </w:rPr>
              <w:t>sağlanmıyor (merkezi takas yok; firma düzeyi kimden-kime yok)</w:t>
            </w:r>
          </w:p>
        </w:tc>
        <w:tc>
          <w:tcPr>
            <w:tcW w:type="dxa" w:w="3061"/>
          </w:tcPr>
          <w:p>
            <w:pPr>
              <w:spacing w:after="20"/>
            </w:pPr>
            <w:r/>
            <w:r>
              <w:rPr>
                <w:sz w:val="17"/>
              </w:rPr>
              <w:t>Koşullu yapılabilir; kıstas bugün tutmuyor</w:t>
            </w:r>
          </w:p>
        </w:tc>
        <w:tc>
          <w:tcPr>
            <w:tcW w:type="dxa" w:w="2041"/>
          </w:tcPr>
          <w:p>
            <w:pPr>
              <w:spacing w:after="20"/>
            </w:pPr>
            <w:r/>
            <w:r>
              <w:rPr>
                <w:sz w:val="17"/>
              </w:rPr>
              <w:t>YAPILABILIRLIK.md:8, :21; ADIM1_NACE.md (e)</w:t>
            </w:r>
          </w:p>
        </w:tc>
      </w:tr>
      <w:tr>
        <w:tc>
          <w:tcPr>
            <w:tcW w:type="dxa" w:w="1474"/>
          </w:tcPr>
          <w:p>
            <w:pPr>
              <w:spacing w:after="20"/>
            </w:pPr>
            <w:r/>
            <w:r>
              <w:rPr>
                <w:sz w:val="17"/>
              </w:rPr>
              <w:t>2 Akışla ödeme / likidite</w:t>
            </w:r>
          </w:p>
        </w:tc>
        <w:tc>
          <w:tcPr>
            <w:tcW w:type="dxa" w:w="2494"/>
            <w:shd w:val="clear" w:color="auto" w:fill="F8CBAD"/>
          </w:tcPr>
          <w:p>
            <w:pPr>
              <w:spacing w:after="20"/>
            </w:pPr>
            <w:r/>
            <w:r>
              <w:rPr>
                <w:sz w:val="17"/>
              </w:rPr>
              <w:t>sağlanmıyor (dört koşulun hiçbiri)</w:t>
            </w:r>
          </w:p>
        </w:tc>
        <w:tc>
          <w:tcPr>
            <w:tcW w:type="dxa" w:w="3061"/>
          </w:tcPr>
          <w:p>
            <w:pPr>
              <w:spacing w:after="20"/>
            </w:pPr>
            <w:r/>
            <w:r>
              <w:rPr>
                <w:sz w:val="17"/>
              </w:rPr>
              <w:t>Kırılgan / koşullu yapılabilir. Tam ağ 7 temerrüt, köprü 443,87; yoğunluk 0,25 ortanca 13 temerrüt, köprü 4.810,19</w:t>
            </w:r>
          </w:p>
        </w:tc>
        <w:tc>
          <w:tcPr>
            <w:tcW w:type="dxa" w:w="2041"/>
          </w:tcPr>
          <w:p>
            <w:pPr>
              <w:spacing w:after="20"/>
            </w:pPr>
            <w:r/>
            <w:r>
              <w:rPr>
                <w:sz w:val="17"/>
              </w:rPr>
              <w:t>YAPILABILIRLIK.md:9; SENET_ANALIZ.md “Döviz stok…”</w:t>
            </w:r>
          </w:p>
        </w:tc>
      </w:tr>
      <w:tr>
        <w:tc>
          <w:tcPr>
            <w:tcW w:type="dxa" w:w="1474"/>
          </w:tcPr>
          <w:p>
            <w:pPr>
              <w:spacing w:after="20"/>
            </w:pPr>
            <w:r/>
            <w:r>
              <w:rPr>
                <w:sz w:val="17"/>
              </w:rPr>
              <w:t>3 Kredisiz akış, faizin durması</w:t>
            </w:r>
          </w:p>
        </w:tc>
        <w:tc>
          <w:tcPr>
            <w:tcW w:type="dxa" w:w="2494"/>
            <w:shd w:val="clear" w:color="auto" w:fill="FCE4D6"/>
          </w:tcPr>
          <w:p>
            <w:pPr>
              <w:spacing w:after="20"/>
            </w:pPr>
            <w:r/>
            <w:r>
              <w:rPr>
                <w:sz w:val="17"/>
              </w:rPr>
              <w:t>kısmen (κ küçük seçilebilir; düşüş patikası ve ödeyen hazne yok)</w:t>
            </w:r>
          </w:p>
        </w:tc>
        <w:tc>
          <w:tcPr>
            <w:tcW w:type="dxa" w:w="3061"/>
          </w:tcPr>
          <w:p>
            <w:pPr>
              <w:spacing w:after="20"/>
            </w:pPr>
            <w:r/>
            <w:r>
              <w:rPr>
                <w:sz w:val="17"/>
              </w:rPr>
              <w:t>Kısmen yapılabilir; birleşik streste koşul düşer</w:t>
            </w:r>
          </w:p>
        </w:tc>
        <w:tc>
          <w:tcPr>
            <w:tcW w:type="dxa" w:w="2041"/>
          </w:tcPr>
          <w:p>
            <w:pPr>
              <w:spacing w:after="20"/>
            </w:pPr>
            <w:r/>
            <w:r>
              <w:rPr>
                <w:sz w:val="17"/>
              </w:rPr>
              <w:t>YAPILABILIRLIK.md:10, :61</w:t>
            </w:r>
          </w:p>
        </w:tc>
      </w:tr>
      <w:tr>
        <w:tc>
          <w:tcPr>
            <w:tcW w:type="dxa" w:w="1474"/>
          </w:tcPr>
          <w:p>
            <w:pPr>
              <w:spacing w:after="20"/>
            </w:pPr>
            <w:r/>
            <w:r>
              <w:rPr>
                <w:sz w:val="17"/>
              </w:rPr>
              <w:t>4 Adres / senet</w:t>
            </w:r>
          </w:p>
        </w:tc>
        <w:tc>
          <w:tcPr>
            <w:tcW w:type="dxa" w:w="2494"/>
            <w:shd w:val="clear" w:color="auto" w:fill="FFF2CC"/>
          </w:tcPr>
          <w:p>
            <w:pPr>
              <w:spacing w:after="20"/>
            </w:pPr>
            <w:r/>
            <w:r>
              <w:rPr>
                <w:sz w:val="17"/>
              </w:rPr>
              <w:t>ölçülemedi (kredi katsayısı 0,08–0,787; R ölçülmedi)</w:t>
            </w:r>
          </w:p>
        </w:tc>
        <w:tc>
          <w:tcPr>
            <w:tcW w:type="dxa" w:w="3061"/>
          </w:tcPr>
          <w:p>
            <w:pPr>
              <w:spacing w:after="20"/>
            </w:pPr>
            <w:r/>
            <w:r>
              <w:rPr>
                <w:sz w:val="17"/>
              </w:rPr>
              <w:t>Bu veriyle karar verilemez; sıkı okumada senede geçebilecek tutar 0</w:t>
            </w:r>
          </w:p>
        </w:tc>
        <w:tc>
          <w:tcPr>
            <w:tcW w:type="dxa" w:w="2041"/>
          </w:tcPr>
          <w:p>
            <w:pPr>
              <w:spacing w:after="20"/>
            </w:pPr>
            <w:r/>
            <w:r>
              <w:rPr>
                <w:sz w:val="17"/>
              </w:rPr>
              <w:t>YAPILABILIRLIK.md:11; SENET_ANALIZ.md “Rant kapısı”</w:t>
            </w:r>
          </w:p>
        </w:tc>
      </w:tr>
      <w:tr>
        <w:tc>
          <w:tcPr>
            <w:tcW w:type="dxa" w:w="1474"/>
          </w:tcPr>
          <w:p>
            <w:pPr>
              <w:spacing w:after="20"/>
            </w:pPr>
            <w:r/>
            <w:r>
              <w:rPr>
                <w:sz w:val="17"/>
              </w:rPr>
              <w:t>4.5 Yeni fiat TL</w:t>
            </w:r>
          </w:p>
        </w:tc>
        <w:tc>
          <w:tcPr>
            <w:tcW w:type="dxa" w:w="2494"/>
            <w:shd w:val="clear" w:color="auto" w:fill="E2EFDA"/>
          </w:tcPr>
          <w:p>
            <w:pPr>
              <w:spacing w:after="20"/>
            </w:pPr>
            <w:r/>
            <w:r>
              <w:rPr>
                <w:sz w:val="17"/>
              </w:rPr>
              <w:t>sağlanıyor (tanım gereği λ = 1)</w:t>
            </w:r>
          </w:p>
        </w:tc>
        <w:tc>
          <w:tcPr>
            <w:tcW w:type="dxa" w:w="3061"/>
          </w:tcPr>
          <w:p>
            <w:pPr>
              <w:spacing w:after="20"/>
            </w:pPr>
            <w:r/>
            <w:r>
              <w:rPr>
                <w:sz w:val="17"/>
              </w:rPr>
              <w:t>Teknik olarak yapılabilir; etkisiz (plasebo), fayda 0</w:t>
            </w:r>
          </w:p>
        </w:tc>
        <w:tc>
          <w:tcPr>
            <w:tcW w:type="dxa" w:w="2041"/>
          </w:tcPr>
          <w:p>
            <w:pPr>
              <w:spacing w:after="20"/>
            </w:pPr>
            <w:r/>
            <w:r>
              <w:rPr>
                <w:sz w:val="17"/>
              </w:rPr>
              <w:t>YAPILABILIRLIK.md:12; ADIM45_MALIYET.md</w:t>
            </w:r>
          </w:p>
        </w:tc>
      </w:tr>
      <w:tr>
        <w:tc>
          <w:tcPr>
            <w:tcW w:type="dxa" w:w="1474"/>
          </w:tcPr>
          <w:p>
            <w:pPr>
              <w:spacing w:after="20"/>
            </w:pPr>
            <w:r/>
            <w:r>
              <w:rPr>
                <w:sz w:val="17"/>
              </w:rPr>
              <w:t>5 Kira kolu</w:t>
            </w:r>
          </w:p>
        </w:tc>
        <w:tc>
          <w:tcPr>
            <w:tcW w:type="dxa" w:w="2494"/>
            <w:shd w:val="clear" w:color="auto" w:fill="FCE4D6"/>
          </w:tcPr>
          <w:p>
            <w:pPr>
              <w:spacing w:after="20"/>
            </w:pPr>
            <w:r/>
            <w:r>
              <w:rPr>
                <w:sz w:val="17"/>
              </w:rPr>
              <w:t>kısmen (N doğrulandı; kol ölçülmedi)</w:t>
            </w:r>
          </w:p>
        </w:tc>
        <w:tc>
          <w:tcPr>
            <w:tcW w:type="dxa" w:w="3061"/>
          </w:tcPr>
          <w:p>
            <w:pPr>
              <w:spacing w:after="20"/>
            </w:pPr>
            <w:r/>
            <w:r>
              <w:rPr>
                <w:sz w:val="17"/>
              </w:rPr>
              <w:t>Yapılabilir (hane içi transfer; tutar bandı geniş)</w:t>
            </w:r>
          </w:p>
        </w:tc>
        <w:tc>
          <w:tcPr>
            <w:tcW w:type="dxa" w:w="2041"/>
          </w:tcPr>
          <w:p>
            <w:pPr>
              <w:spacing w:after="20"/>
            </w:pPr>
            <w:r/>
            <w:r>
              <w:rPr>
                <w:sz w:val="17"/>
              </w:rPr>
              <w:t>YAPILABILIRLIK.md:13; ADIM5_KIRA.md</w:t>
            </w:r>
          </w:p>
        </w:tc>
      </w:tr>
    </w:tbl>
    <w:p>
      <w:pPr>
        <w:spacing w:after="40"/>
      </w:pPr>
    </w:p>
    <w:p>
      <w:pPr>
        <w:jc w:val="both"/>
      </w:pPr>
      <w:r>
        <w:rPr>
          <w:b/>
        </w:rPr>
        <w:t xml:space="preserve">(6) </w:t>
      </w:r>
      <w:r>
        <w:rPr>
          <w:b/>
        </w:rPr>
        <w:t>Maliyet çerçevesi.</w:t>
      </w:r>
      <w:r>
        <w:t xml:space="preserve"> Depodaki en geniş kapsamlı maliyet büyüklüğü, kilitli üç kural senaryosunun 2027–2031 kümülatif maliyet vekilidir: </w:t>
      </w:r>
      <w:r>
        <w:rPr>
          <w:b/>
        </w:rPr>
        <w:t>18.345,7 milyar TL</w:t>
      </w:r>
      <w:r>
        <w:t xml:space="preserve"> (ücret kanalı F maliyeti 13.647,3 + K′ bütçe maliyeti 4.698,4; MALIYET_KAR_ORANI.md, maliyet_kar_orani.csv) </w:t>
      </w:r>
      <w:r>
        <w:rPr>
          <w:b/>
          <w:color w:val="0B6123"/>
          <w:sz w:val="18"/>
        </w:rPr>
        <w:t>[kanıt, senaryo]</w:t>
      </w:r>
      <w:r>
        <w:t xml:space="preserve">. Bu tutar, depodaki varsayımsal GSYH yolunun 2027–2031 toplamı olan 705.996,2 milyar TL’ye (gsyh_pay.csv) bölündüğünde </w:t>
      </w:r>
      <w:r>
        <w:rPr>
          <w:b/>
        </w:rPr>
        <w:t>%2,60</w:t>
      </w:r>
      <w:r>
        <w:t xml:space="preserve"> (ücret kanalı %1,93; K′ %0,67) çıkmaktadır </w:t>
      </w:r>
      <w:r>
        <w:rPr>
          <w:b/>
          <w:color w:val="1F3A8F"/>
          <w:sz w:val="18"/>
        </w:rPr>
        <w:t>[türetilmiş; payda aday]</w:t>
      </w:r>
      <w:r>
        <w:t xml:space="preserve">. Görev metninde verilen 18.442 milyar TL / %2,61 (ücret %1,93, K′ %0,68) değeri depoda yazılı değildir; önceki bir çevrimdışı koşudan gelmektedir (Ek C) </w:t>
      </w:r>
      <w:r>
        <w:rPr>
          <w:b/>
          <w:color w:val="9B1010"/>
          <w:sz w:val="18"/>
        </w:rPr>
        <w:t>[depo dışı]</w:t>
      </w:r>
      <w:r>
        <w:t>. YAPILABILIRLIK.md:31 uyarınca bu toplam adım tablosunun girdisi değildir.</w:t>
      </w:r>
    </w:p>
    <w:p>
      <w:pPr>
        <w:jc w:val="both"/>
      </w:pPr>
      <w:r>
        <w:rPr>
          <w:b/>
        </w:rPr>
        <w:t xml:space="preserve">(7) </w:t>
      </w:r>
      <w:r>
        <w:rPr>
          <w:b/>
        </w:rPr>
        <w:t>Tedavi bulgusunun özü.</w:t>
      </w:r>
      <w:r>
        <w:t xml:space="preserve"> (i) Adım 1, kıstası sağlandığında tek başına uygulanabilecek ve teşhise doğrudan dokunan tek adımdır. (ii) Adım 2, Adım 1’in mahsubu olmadan anlamını yitirir ve döviz koşulu karşılanmadıkça kırılgandır. (iii) Adım 3, bir transferdir (ΣNL = 0); ödeyen hazne seçilmeden uygulanamaz. (iv) Adım 4’ün θ parametresinin mevcut kodda kilide giden bir kanalı yoktur; bu, kuramla tutarlıdır. (v) Adım 4.5 borç teşhisine bir şey katmaz. (vi) Adım 5, borç kilidinden bağımsız bir hane içi dağılım aracıdır.</w:t>
      </w:r>
    </w:p>
    <w:p>
      <w:r>
        <w:br w:type="page"/>
      </w:r>
    </w:p>
    <w:p>
      <w:pPr>
        <w:pStyle w:val="Heading1"/>
      </w:pPr>
      <w:r>
        <w:t>2. Yöntem, Veri ve Kanıt/Aday Sözleşmesi</w:t>
      </w:r>
    </w:p>
    <w:p>
      <w:pPr>
        <w:pStyle w:val="Heading2"/>
      </w:pPr>
      <w:r>
        <w:t>2.1 İncelenen kaynaklar</w:t>
      </w:r>
    </w:p>
    <w:p>
      <w:pPr>
        <w:jc w:val="both"/>
      </w:pPr>
      <w:r>
        <w:rPr>
          <w:b/>
        </w:rPr>
        <w:t xml:space="preserve">(8) </w:t>
      </w:r>
      <w:r>
        <w:t xml:space="preserve">İnceleme, </w:t>
      </w:r>
      <w:r>
        <w:rPr>
          <w:rFonts w:ascii="Consolas" w:hAnsi="Consolas"/>
          <w:sz w:val="19"/>
        </w:rPr>
        <w:t>saydamonur2002-tech/zarar-teorisi</w:t>
      </w:r>
      <w:r>
        <w:t xml:space="preserve"> deposunun </w:t>
      </w:r>
      <w:r>
        <w:rPr>
          <w:rFonts w:ascii="Consolas" w:hAnsi="Consolas"/>
          <w:sz w:val="19"/>
        </w:rPr>
        <w:t>main</w:t>
      </w:r>
      <w:r>
        <w:t xml:space="preserve"> dalında </w:t>
      </w:r>
      <w:r>
        <w:rPr>
          <w:rFonts w:ascii="Consolas" w:hAnsi="Consolas"/>
          <w:sz w:val="19"/>
        </w:rPr>
        <w:t>371d99e</w:t>
      </w:r>
      <w:r>
        <w:t xml:space="preserve"> birleştirmesiyle oluşan sürüm üzerinde yapılmıştır. Depo GitHub araçlarıyla listelenmiş, PR #29’un dosya listesi okunmuş, depo ayrıca salt okunur biçimde yerel olarak klonlanmıştır. Depoya hiçbir yazım yapılmamıştır.</w:t>
      </w:r>
    </w:p>
    <w:p>
      <w:pPr>
        <w:keepNext/>
        <w:spacing w:after="40"/>
        <w:jc w:val="left"/>
      </w:pPr>
      <w:r>
        <w:rPr>
          <w:b/>
          <w:sz w:val="19"/>
        </w:rPr>
        <w:t>Tablo 2.1 — İncelenen başlıca dosyalar</w:t>
      </w:r>
    </w:p>
    <w:tbl>
      <w:tblPr>
        <w:tblStyle w:val="TableGrid"/>
        <w:tblW w:type="auto" w:w="0"/>
        <w:jc w:val="center"/>
        <w:tblLayout w:type="fixed"/>
        <w:tblLook w:firstColumn="1" w:firstRow="1" w:lastColumn="0" w:lastRow="0" w:noHBand="0" w:noVBand="1" w:val="04A0"/>
      </w:tblPr>
      <w:tblGrid>
        <w:gridCol w:w="2835"/>
        <w:gridCol w:w="3685"/>
        <w:gridCol w:w="2551"/>
      </w:tblGrid>
      <w:tr>
        <w:trPr>
          <w:tblHeader w:val="true"/>
        </w:trPr>
        <w:tc>
          <w:tcPr>
            <w:tcW w:type="dxa" w:w="2835"/>
            <w:shd w:val="clear" w:color="auto" w:fill="D9E2F3"/>
          </w:tcPr>
          <w:p>
            <w:r/>
            <w:r>
              <w:rPr>
                <w:b/>
                <w:sz w:val="17"/>
              </w:rPr>
              <w:t>Dosya</w:t>
            </w:r>
          </w:p>
        </w:tc>
        <w:tc>
          <w:tcPr>
            <w:tcW w:type="dxa" w:w="3685"/>
            <w:shd w:val="clear" w:color="auto" w:fill="D9E2F3"/>
          </w:tcPr>
          <w:p>
            <w:r/>
            <w:r>
              <w:rPr>
                <w:b/>
                <w:sz w:val="17"/>
              </w:rPr>
              <w:t>İçerik</w:t>
            </w:r>
          </w:p>
        </w:tc>
        <w:tc>
          <w:tcPr>
            <w:tcW w:type="dxa" w:w="2551"/>
            <w:shd w:val="clear" w:color="auto" w:fill="D9E2F3"/>
          </w:tcPr>
          <w:p>
            <w:r/>
            <w:r>
              <w:rPr>
                <w:b/>
                <w:sz w:val="17"/>
              </w:rPr>
              <w:t>Bu belgede kullanım</w:t>
            </w:r>
          </w:p>
        </w:tc>
      </w:tr>
      <w:tr>
        <w:tc>
          <w:tcPr>
            <w:tcW w:type="dxa" w:w="2835"/>
          </w:tcPr>
          <w:p>
            <w:pPr>
              <w:spacing w:after="20"/>
            </w:pPr>
            <w:r/>
            <w:r>
              <w:rPr>
                <w:sz w:val="17"/>
              </w:rPr>
              <w:t>README.md</w:t>
            </w:r>
          </w:p>
        </w:tc>
        <w:tc>
          <w:tcPr>
            <w:tcW w:type="dxa" w:w="3685"/>
          </w:tcPr>
          <w:p>
            <w:pPr>
              <w:spacing w:after="20"/>
            </w:pPr>
            <w:r/>
            <w:r>
              <w:rPr>
                <w:sz w:val="17"/>
              </w:rPr>
              <w:t>SFC iskeleti, hazneler, düzeltilen anomaliler</w:t>
            </w:r>
          </w:p>
        </w:tc>
        <w:tc>
          <w:tcPr>
            <w:tcW w:type="dxa" w:w="2551"/>
          </w:tcPr>
          <w:p>
            <w:pPr>
              <w:spacing w:after="20"/>
            </w:pPr>
            <w:r/>
            <w:r>
              <w:rPr>
                <w:sz w:val="17"/>
              </w:rPr>
              <w:t>Yöntem, sınırlar</w:t>
            </w:r>
          </w:p>
        </w:tc>
      </w:tr>
      <w:tr>
        <w:tc>
          <w:tcPr>
            <w:tcW w:type="dxa" w:w="2835"/>
          </w:tcPr>
          <w:p>
            <w:pPr>
              <w:spacing w:after="20"/>
            </w:pPr>
            <w:r/>
            <w:r>
              <w:rPr>
                <w:sz w:val="17"/>
              </w:rPr>
              <w:t>model/RAPOR.md</w:t>
            </w:r>
          </w:p>
        </w:tc>
        <w:tc>
          <w:tcPr>
            <w:tcW w:type="dxa" w:w="3685"/>
          </w:tcPr>
          <w:p>
            <w:pPr>
              <w:spacing w:after="20"/>
            </w:pPr>
            <w:r/>
            <w:r>
              <w:rPr>
                <w:sz w:val="17"/>
              </w:rPr>
              <w:t>3–4 Ekim önerisinin tam metni; beş adım</w:t>
            </w:r>
          </w:p>
        </w:tc>
        <w:tc>
          <w:tcPr>
            <w:tcW w:type="dxa" w:w="2551"/>
          </w:tcPr>
          <w:p>
            <w:pPr>
              <w:spacing w:after="20"/>
            </w:pPr>
            <w:r/>
            <w:r>
              <w:rPr>
                <w:sz w:val="17"/>
              </w:rPr>
              <w:t>Kuramsal çerçeve, teşhis</w:t>
            </w:r>
          </w:p>
        </w:tc>
      </w:tr>
      <w:tr>
        <w:tc>
          <w:tcPr>
            <w:tcW w:type="dxa" w:w="2835"/>
          </w:tcPr>
          <w:p>
            <w:pPr>
              <w:spacing w:after="20"/>
            </w:pPr>
            <w:r/>
            <w:r>
              <w:rPr>
                <w:sz w:val="17"/>
              </w:rPr>
              <w:t>TEK_SISTEM.md</w:t>
            </w:r>
          </w:p>
        </w:tc>
        <w:tc>
          <w:tcPr>
            <w:tcW w:type="dxa" w:w="3685"/>
          </w:tcPr>
          <w:p>
            <w:pPr>
              <w:spacing w:after="20"/>
            </w:pPr>
            <w:r/>
            <w:r>
              <w:rPr>
                <w:sz w:val="17"/>
              </w:rPr>
              <w:t>Beş adım + 4.5; depo içi katman eşlemesi</w:t>
            </w:r>
          </w:p>
        </w:tc>
        <w:tc>
          <w:tcPr>
            <w:tcW w:type="dxa" w:w="2551"/>
          </w:tcPr>
          <w:p>
            <w:pPr>
              <w:spacing w:after="20"/>
            </w:pPr>
            <w:r/>
            <w:r>
              <w:rPr>
                <w:sz w:val="17"/>
              </w:rPr>
              <w:t>Adım tanımları</w:t>
            </w:r>
          </w:p>
        </w:tc>
      </w:tr>
      <w:tr>
        <w:tc>
          <w:tcPr>
            <w:tcW w:type="dxa" w:w="2835"/>
          </w:tcPr>
          <w:p>
            <w:pPr>
              <w:spacing w:after="20"/>
            </w:pPr>
            <w:r/>
            <w:r>
              <w:rPr>
                <w:sz w:val="17"/>
              </w:rPr>
              <w:t>BES_ADIM.md</w:t>
            </w:r>
          </w:p>
        </w:tc>
        <w:tc>
          <w:tcPr>
            <w:tcW w:type="dxa" w:w="3685"/>
          </w:tcPr>
          <w:p>
            <w:pPr>
              <w:spacing w:after="20"/>
            </w:pPr>
            <w:r/>
            <w:r>
              <w:rPr>
                <w:sz w:val="17"/>
              </w:rPr>
              <w:t>Etiket kapılı tek koşu, kilitli kapılar</w:t>
            </w:r>
          </w:p>
        </w:tc>
        <w:tc>
          <w:tcPr>
            <w:tcW w:type="dxa" w:w="2551"/>
          </w:tcPr>
          <w:p>
            <w:pPr>
              <w:spacing w:after="20"/>
            </w:pPr>
            <w:r/>
            <w:r>
              <w:rPr>
                <w:sz w:val="17"/>
              </w:rPr>
              <w:t>Etiket durumu</w:t>
            </w:r>
          </w:p>
        </w:tc>
      </w:tr>
      <w:tr>
        <w:tc>
          <w:tcPr>
            <w:tcW w:type="dxa" w:w="2835"/>
          </w:tcPr>
          <w:p>
            <w:pPr>
              <w:spacing w:after="20"/>
            </w:pPr>
            <w:r/>
            <w:r>
              <w:rPr>
                <w:sz w:val="17"/>
              </w:rPr>
              <w:t>YAPILABILIRLIK.md</w:t>
            </w:r>
          </w:p>
        </w:tc>
        <w:tc>
          <w:tcPr>
            <w:tcW w:type="dxa" w:w="3685"/>
          </w:tcPr>
          <w:p>
            <w:pPr>
              <w:spacing w:after="20"/>
            </w:pPr>
            <w:r/>
            <w:r>
              <w:rPr>
                <w:sz w:val="17"/>
              </w:rPr>
              <w:t>Adım başına karar, zincir kararı, şok testleri</w:t>
            </w:r>
          </w:p>
        </w:tc>
        <w:tc>
          <w:tcPr>
            <w:tcW w:type="dxa" w:w="2551"/>
          </w:tcPr>
          <w:p>
            <w:pPr>
              <w:spacing w:after="20"/>
            </w:pPr>
            <w:r/>
            <w:r>
              <w:rPr>
                <w:sz w:val="17"/>
              </w:rPr>
              <w:t>Hükümlerin ana kaynağı</w:t>
            </w:r>
          </w:p>
        </w:tc>
      </w:tr>
      <w:tr>
        <w:tc>
          <w:tcPr>
            <w:tcW w:type="dxa" w:w="2835"/>
          </w:tcPr>
          <w:p>
            <w:pPr>
              <w:spacing w:after="20"/>
            </w:pPr>
            <w:r/>
            <w:r>
              <w:rPr>
                <w:sz w:val="17"/>
              </w:rPr>
              <w:t>ADIM1_NACE.md</w:t>
            </w:r>
          </w:p>
        </w:tc>
        <w:tc>
          <w:tcPr>
            <w:tcW w:type="dxa" w:w="3685"/>
          </w:tcPr>
          <w:p>
            <w:pPr>
              <w:spacing w:after="20"/>
            </w:pPr>
            <w:r/>
            <w:r>
              <w:rPr>
                <w:sz w:val="17"/>
              </w:rPr>
              <w:t>F içi karşılıklı ticari borç, üst sınır ve seyrek bant</w:t>
            </w:r>
          </w:p>
        </w:tc>
        <w:tc>
          <w:tcPr>
            <w:tcW w:type="dxa" w:w="2551"/>
          </w:tcPr>
          <w:p>
            <w:pPr>
              <w:spacing w:after="20"/>
            </w:pPr>
            <w:r/>
            <w:r>
              <w:rPr>
                <w:sz w:val="17"/>
              </w:rPr>
              <w:t>Adım 1</w:t>
            </w:r>
          </w:p>
        </w:tc>
      </w:tr>
      <w:tr>
        <w:tc>
          <w:tcPr>
            <w:tcW w:type="dxa" w:w="2835"/>
          </w:tcPr>
          <w:p>
            <w:pPr>
              <w:spacing w:after="20"/>
            </w:pPr>
            <w:r/>
            <w:r>
              <w:rPr>
                <w:sz w:val="17"/>
              </w:rPr>
              <w:t>mahsup/README.md</w:t>
            </w:r>
          </w:p>
        </w:tc>
        <w:tc>
          <w:tcPr>
            <w:tcW w:type="dxa" w:w="3685"/>
          </w:tcPr>
          <w:p>
            <w:pPr>
              <w:spacing w:after="20"/>
            </w:pPr>
            <w:r/>
            <w:r>
              <w:rPr>
                <w:sz w:val="17"/>
              </w:rPr>
              <w:t>Mahsuplaşma laboratuvarı, kilitli/batık ayrımı</w:t>
            </w:r>
          </w:p>
        </w:tc>
        <w:tc>
          <w:tcPr>
            <w:tcW w:type="dxa" w:w="2551"/>
          </w:tcPr>
          <w:p>
            <w:pPr>
              <w:spacing w:after="20"/>
            </w:pPr>
            <w:r/>
            <w:r>
              <w:rPr>
                <w:sz w:val="17"/>
              </w:rPr>
              <w:t>Teşhis tanımı</w:t>
            </w:r>
          </w:p>
        </w:tc>
      </w:tr>
      <w:tr>
        <w:tc>
          <w:tcPr>
            <w:tcW w:type="dxa" w:w="2835"/>
          </w:tcPr>
          <w:p>
            <w:pPr>
              <w:spacing w:after="20"/>
            </w:pPr>
            <w:r/>
            <w:r>
              <w:rPr>
                <w:sz w:val="17"/>
              </w:rPr>
              <w:t>ADIM2_NACE_AG.md, ADIM3_FAIZ_DURMA.md</w:t>
            </w:r>
          </w:p>
        </w:tc>
        <w:tc>
          <w:tcPr>
            <w:tcW w:type="dxa" w:w="3685"/>
          </w:tcPr>
          <w:p>
            <w:pPr>
              <w:spacing w:after="20"/>
            </w:pPr>
            <w:r/>
            <w:r>
              <w:rPr>
                <w:sz w:val="17"/>
              </w:rPr>
              <w:t>Ölçülmüş düğümlü ağ; faiz durma kuralı</w:t>
            </w:r>
          </w:p>
        </w:tc>
        <w:tc>
          <w:tcPr>
            <w:tcW w:type="dxa" w:w="2551"/>
          </w:tcPr>
          <w:p>
            <w:pPr>
              <w:spacing w:after="20"/>
            </w:pPr>
            <w:r/>
            <w:r>
              <w:rPr>
                <w:sz w:val="17"/>
              </w:rPr>
              <w:t>Adım 2, 3</w:t>
            </w:r>
          </w:p>
        </w:tc>
      </w:tr>
      <w:tr>
        <w:tc>
          <w:tcPr>
            <w:tcW w:type="dxa" w:w="2835"/>
          </w:tcPr>
          <w:p>
            <w:pPr>
              <w:spacing w:after="20"/>
            </w:pPr>
            <w:r/>
            <w:r>
              <w:rPr>
                <w:sz w:val="17"/>
              </w:rPr>
              <w:t>ODEME_ZINCIRI.md</w:t>
            </w:r>
          </w:p>
        </w:tc>
        <w:tc>
          <w:tcPr>
            <w:tcW w:type="dxa" w:w="3685"/>
          </w:tcPr>
          <w:p>
            <w:pPr>
              <w:spacing w:after="20"/>
            </w:pPr>
            <w:r/>
            <w:r>
              <w:rPr>
                <w:sz w:val="17"/>
              </w:rPr>
              <w:t>Sentetik Monte Carlo ödeme zinciri turları</w:t>
            </w:r>
          </w:p>
        </w:tc>
        <w:tc>
          <w:tcPr>
            <w:tcW w:type="dxa" w:w="2551"/>
          </w:tcPr>
          <w:p>
            <w:pPr>
              <w:spacing w:after="20"/>
            </w:pPr>
            <w:r/>
            <w:r>
              <w:rPr>
                <w:sz w:val="17"/>
              </w:rPr>
              <w:t>Lider/üst %10 bulguları</w:t>
            </w:r>
          </w:p>
        </w:tc>
      </w:tr>
      <w:tr>
        <w:tc>
          <w:tcPr>
            <w:tcW w:type="dxa" w:w="2835"/>
          </w:tcPr>
          <w:p>
            <w:pPr>
              <w:spacing w:after="20"/>
            </w:pPr>
            <w:r/>
            <w:r>
              <w:rPr>
                <w:sz w:val="17"/>
              </w:rPr>
              <w:t>ADIM4_ADRES_YONLENDIRME.md</w:t>
            </w:r>
          </w:p>
        </w:tc>
        <w:tc>
          <w:tcPr>
            <w:tcW w:type="dxa" w:w="3685"/>
          </w:tcPr>
          <w:p>
            <w:pPr>
              <w:spacing w:after="20"/>
            </w:pPr>
            <w:r/>
            <w:r>
              <w:rPr>
                <w:sz w:val="17"/>
              </w:rPr>
              <w:t>Adres stokları ve ihraç bandı</w:t>
            </w:r>
          </w:p>
        </w:tc>
        <w:tc>
          <w:tcPr>
            <w:tcW w:type="dxa" w:w="2551"/>
          </w:tcPr>
          <w:p>
            <w:pPr>
              <w:spacing w:after="20"/>
            </w:pPr>
            <w:r/>
            <w:r>
              <w:rPr>
                <w:sz w:val="17"/>
              </w:rPr>
              <w:t>Adım 4</w:t>
            </w:r>
          </w:p>
        </w:tc>
      </w:tr>
      <w:tr>
        <w:tc>
          <w:tcPr>
            <w:tcW w:type="dxa" w:w="2835"/>
          </w:tcPr>
          <w:p>
            <w:pPr>
              <w:spacing w:after="20"/>
            </w:pPr>
            <w:r/>
            <w:r>
              <w:rPr>
                <w:sz w:val="17"/>
              </w:rPr>
              <w:t>ADIM45_BIRIM.md, ADIM45_MALIYET.md</w:t>
            </w:r>
          </w:p>
        </w:tc>
        <w:tc>
          <w:tcPr>
            <w:tcW w:type="dxa" w:w="3685"/>
          </w:tcPr>
          <w:p>
            <w:pPr>
              <w:spacing w:after="20"/>
            </w:pPr>
            <w:r/>
            <w:r>
              <w:rPr>
                <w:sz w:val="17"/>
              </w:rPr>
              <w:t>Yeni fiat TL tanımı, plasebo ve yürütme maliyeti</w:t>
            </w:r>
          </w:p>
        </w:tc>
        <w:tc>
          <w:tcPr>
            <w:tcW w:type="dxa" w:w="2551"/>
          </w:tcPr>
          <w:p>
            <w:pPr>
              <w:spacing w:after="20"/>
            </w:pPr>
            <w:r/>
            <w:r>
              <w:rPr>
                <w:sz w:val="17"/>
              </w:rPr>
              <w:t>Adım 4.5</w:t>
            </w:r>
          </w:p>
        </w:tc>
      </w:tr>
      <w:tr>
        <w:tc>
          <w:tcPr>
            <w:tcW w:type="dxa" w:w="2835"/>
          </w:tcPr>
          <w:p>
            <w:pPr>
              <w:spacing w:after="20"/>
            </w:pPr>
            <w:r/>
            <w:r>
              <w:rPr>
                <w:sz w:val="17"/>
              </w:rPr>
              <w:t>ADIM5_KIRA.md</w:t>
            </w:r>
          </w:p>
        </w:tc>
        <w:tc>
          <w:tcPr>
            <w:tcW w:type="dxa" w:w="3685"/>
          </w:tcPr>
          <w:p>
            <w:pPr>
              <w:spacing w:after="20"/>
            </w:pPr>
            <w:r/>
            <w:r>
              <w:rPr>
                <w:sz w:val="17"/>
              </w:rPr>
              <w:t>Kira akışı bandı</w:t>
            </w:r>
          </w:p>
        </w:tc>
        <w:tc>
          <w:tcPr>
            <w:tcW w:type="dxa" w:w="2551"/>
          </w:tcPr>
          <w:p>
            <w:pPr>
              <w:spacing w:after="20"/>
            </w:pPr>
            <w:r/>
            <w:r>
              <w:rPr>
                <w:sz w:val="17"/>
              </w:rPr>
              <w:t>Adım 5</w:t>
            </w:r>
          </w:p>
        </w:tc>
      </w:tr>
      <w:tr>
        <w:tc>
          <w:tcPr>
            <w:tcW w:type="dxa" w:w="2835"/>
          </w:tcPr>
          <w:p>
            <w:pPr>
              <w:spacing w:after="20"/>
            </w:pPr>
            <w:r/>
            <w:r>
              <w:rPr>
                <w:sz w:val="17"/>
              </w:rPr>
              <w:t>CIMER_METNI.md</w:t>
            </w:r>
          </w:p>
        </w:tc>
        <w:tc>
          <w:tcPr>
            <w:tcW w:type="dxa" w:w="3685"/>
          </w:tcPr>
          <w:p>
            <w:pPr>
              <w:spacing w:after="20"/>
            </w:pPr>
            <w:r/>
            <w:r>
              <w:rPr>
                <w:sz w:val="17"/>
              </w:rPr>
              <w:t>Kamuya yönelik başvuru metni</w:t>
            </w:r>
          </w:p>
        </w:tc>
        <w:tc>
          <w:tcPr>
            <w:tcW w:type="dxa" w:w="2551"/>
          </w:tcPr>
          <w:p>
            <w:pPr>
              <w:spacing w:after="20"/>
            </w:pPr>
            <w:r/>
            <w:r>
              <w:rPr>
                <w:sz w:val="17"/>
              </w:rPr>
              <w:t>Kurumsal talepler, riskler</w:t>
            </w:r>
          </w:p>
        </w:tc>
      </w:tr>
      <w:tr>
        <w:tc>
          <w:tcPr>
            <w:tcW w:type="dxa" w:w="2835"/>
          </w:tcPr>
          <w:p>
            <w:pPr>
              <w:spacing w:after="20"/>
            </w:pPr>
            <w:r/>
            <w:r>
              <w:rPr>
                <w:sz w:val="17"/>
              </w:rPr>
              <w:t>DOVIZ_EGILIM.md</w:t>
            </w:r>
          </w:p>
        </w:tc>
        <w:tc>
          <w:tcPr>
            <w:tcW w:type="dxa" w:w="3685"/>
          </w:tcPr>
          <w:p>
            <w:pPr>
              <w:spacing w:after="20"/>
            </w:pPr>
            <w:r/>
            <w:r>
              <w:rPr>
                <w:sz w:val="17"/>
              </w:rPr>
              <w:t>Brüt dış borç ve korunmasız stok senaryosu</w:t>
            </w:r>
          </w:p>
        </w:tc>
        <w:tc>
          <w:tcPr>
            <w:tcW w:type="dxa" w:w="2551"/>
          </w:tcPr>
          <w:p>
            <w:pPr>
              <w:spacing w:after="20"/>
            </w:pPr>
            <w:r/>
            <w:r>
              <w:rPr>
                <w:sz w:val="17"/>
              </w:rPr>
              <w:t>Döviz koşulu</w:t>
            </w:r>
          </w:p>
        </w:tc>
      </w:tr>
      <w:tr>
        <w:tc>
          <w:tcPr>
            <w:tcW w:type="dxa" w:w="2835"/>
          </w:tcPr>
          <w:p>
            <w:pPr>
              <w:spacing w:after="20"/>
            </w:pPr>
            <w:r/>
            <w:r>
              <w:rPr>
                <w:sz w:val="17"/>
              </w:rPr>
              <w:t>LIDER_MEVDUAT.md, VADELI_KALICILIK.md</w:t>
            </w:r>
          </w:p>
        </w:tc>
        <w:tc>
          <w:tcPr>
            <w:tcW w:type="dxa" w:w="3685"/>
          </w:tcPr>
          <w:p>
            <w:pPr>
              <w:spacing w:after="20"/>
            </w:pPr>
            <w:r/>
            <w:r>
              <w:rPr>
                <w:sz w:val="17"/>
              </w:rPr>
              <w:t>Yürütme kasası; Hazine vadeli mevduat kapıları</w:t>
            </w:r>
          </w:p>
        </w:tc>
        <w:tc>
          <w:tcPr>
            <w:tcW w:type="dxa" w:w="2551"/>
          </w:tcPr>
          <w:p>
            <w:pPr>
              <w:spacing w:after="20"/>
            </w:pPr>
            <w:r/>
            <w:r>
              <w:rPr>
                <w:sz w:val="17"/>
              </w:rPr>
              <w:t>Rant kapısı K5, ölçülemeyen kapılar</w:t>
            </w:r>
          </w:p>
        </w:tc>
      </w:tr>
      <w:tr>
        <w:tc>
          <w:tcPr>
            <w:tcW w:type="dxa" w:w="2835"/>
          </w:tcPr>
          <w:p>
            <w:pPr>
              <w:spacing w:after="20"/>
            </w:pPr>
            <w:r/>
            <w:r>
              <w:rPr>
                <w:sz w:val="17"/>
              </w:rPr>
              <w:t>hekis_model/data/SENET.md</w:t>
            </w:r>
          </w:p>
        </w:tc>
        <w:tc>
          <w:tcPr>
            <w:tcW w:type="dxa" w:w="3685"/>
          </w:tcPr>
          <w:p>
            <w:pPr>
              <w:spacing w:after="20"/>
            </w:pPr>
            <w:r/>
            <w:r>
              <w:rPr>
                <w:sz w:val="17"/>
              </w:rPr>
              <w:t>HEKİS hedef odaklı iç senet tasarımı</w:t>
            </w:r>
          </w:p>
        </w:tc>
        <w:tc>
          <w:tcPr>
            <w:tcW w:type="dxa" w:w="2551"/>
          </w:tcPr>
          <w:p>
            <w:pPr>
              <w:spacing w:after="20"/>
            </w:pPr>
            <w:r/>
            <w:r>
              <w:rPr>
                <w:sz w:val="17"/>
              </w:rPr>
              <w:t>Senet karşılaştırması</w:t>
            </w:r>
          </w:p>
        </w:tc>
      </w:tr>
      <w:tr>
        <w:tc>
          <w:tcPr>
            <w:tcW w:type="dxa" w:w="2835"/>
          </w:tcPr>
          <w:p>
            <w:pPr>
              <w:spacing w:after="20"/>
            </w:pPr>
            <w:r/>
            <w:r>
              <w:rPr>
                <w:sz w:val="17"/>
              </w:rPr>
              <w:t>analiz/senet/SENET_ANALIZ.md (PR #29)</w:t>
            </w:r>
          </w:p>
        </w:tc>
        <w:tc>
          <w:tcPr>
            <w:tcW w:type="dxa" w:w="3685"/>
          </w:tcPr>
          <w:p>
            <w:pPr>
              <w:spacing w:after="20"/>
            </w:pPr>
            <w:r/>
            <w:r>
              <w:rPr>
                <w:sz w:val="17"/>
              </w:rPr>
              <w:t>Senet bacağı taslağı: ölçek, rant kapısı, kademe, prim tavanı, döviz dondurma</w:t>
            </w:r>
          </w:p>
        </w:tc>
        <w:tc>
          <w:tcPr>
            <w:tcW w:type="dxa" w:w="2551"/>
          </w:tcPr>
          <w:p>
            <w:pPr>
              <w:spacing w:after="20"/>
            </w:pPr>
            <w:r/>
            <w:r>
              <w:rPr>
                <w:sz w:val="17"/>
              </w:rPr>
              <w:t>Adım 4 ayrıntısı</w:t>
            </w:r>
          </w:p>
        </w:tc>
      </w:tr>
      <w:tr>
        <w:tc>
          <w:tcPr>
            <w:tcW w:type="dxa" w:w="2835"/>
          </w:tcPr>
          <w:p>
            <w:pPr>
              <w:spacing w:after="20"/>
            </w:pPr>
            <w:r/>
            <w:r>
              <w:rPr>
                <w:sz w:val="17"/>
              </w:rPr>
              <w:t>BES_ADIM_MALIYET.md, GSYH_PAY.md, MALIYET_KAR_ORANI.md</w:t>
            </w:r>
          </w:p>
        </w:tc>
        <w:tc>
          <w:tcPr>
            <w:tcW w:type="dxa" w:w="3685"/>
          </w:tcPr>
          <w:p>
            <w:pPr>
              <w:spacing w:after="20"/>
            </w:pPr>
            <w:r/>
            <w:r>
              <w:rPr>
                <w:sz w:val="17"/>
              </w:rPr>
              <w:t>Yürütme maliyeti, GSYH payı, üç kural maliyeti</w:t>
            </w:r>
          </w:p>
        </w:tc>
        <w:tc>
          <w:tcPr>
            <w:tcW w:type="dxa" w:w="2551"/>
          </w:tcPr>
          <w:p>
            <w:pPr>
              <w:spacing w:after="20"/>
            </w:pPr>
            <w:r/>
            <w:r>
              <w:rPr>
                <w:sz w:val="17"/>
              </w:rPr>
              <w:t>Maliyet satırları</w:t>
            </w:r>
          </w:p>
        </w:tc>
      </w:tr>
    </w:tbl>
    <w:p>
      <w:pPr>
        <w:spacing w:after="40"/>
      </w:pPr>
    </w:p>
    <w:p>
      <w:pPr>
        <w:pStyle w:val="Heading2"/>
      </w:pPr>
      <w:r>
        <w:t>2.2 Kanıt / aday sözleşmesi</w:t>
      </w:r>
    </w:p>
    <w:p>
      <w:pPr>
        <w:jc w:val="both"/>
      </w:pPr>
      <w:r>
        <w:rPr>
          <w:b/>
        </w:rPr>
        <w:t xml:space="preserve">(9) </w:t>
      </w:r>
      <w:r>
        <w:t xml:space="preserve">Belgede depodaki etiket düzeni korunmuştur (SENET_ANALIZ.md:3; YAPILABILIRLIK.md:43). </w:t>
      </w:r>
      <w:r>
        <w:rPr>
          <w:b/>
        </w:rPr>
        <w:t>[kanıt]</w:t>
      </w:r>
      <w:r>
        <w:t xml:space="preserve">, depodaki bir ölçümü ya da kilitli bir formülün bu girdilerle ürettiği sayıyı ifade eder. </w:t>
      </w:r>
      <w:r>
        <w:rPr>
          <w:b/>
        </w:rPr>
        <w:t>[aday]</w:t>
      </w:r>
      <w:r>
        <w:t xml:space="preserve">, ölçek, kur ayrımı, eşleşme vekili, takvim, senaryo seçimi, davranış varsayımı veya çıkarımı ifade eder. Bu iki etikete ek olarak, depo sayılarının birbirine bölünmesiyle bu belgede elde edilen oranlar </w:t>
      </w:r>
      <w:r>
        <w:rPr>
          <w:b/>
        </w:rPr>
        <w:t>[türetilmiş]</w:t>
      </w:r>
      <w:r>
        <w:t xml:space="preserve">; depoda yazılı olmayan değerler ise </w:t>
      </w:r>
      <w:r>
        <w:rPr>
          <w:b/>
        </w:rPr>
        <w:t>[depo dışı]</w:t>
      </w:r>
      <w:r>
        <w:t xml:space="preserve"> olarak işaretlenmiştir.</w:t>
      </w:r>
    </w:p>
    <w:p>
      <w:pPr>
        <w:jc w:val="both"/>
      </w:pPr>
      <w:r>
        <w:rPr>
          <w:b/>
        </w:rPr>
        <w:t xml:space="preserve">(10) </w:t>
      </w:r>
      <w:r>
        <w:t xml:space="preserve">Bir sayının </w:t>
      </w:r>
      <w:r>
        <w:rPr>
          <w:b/>
          <w:color w:val="0B6123"/>
          <w:sz w:val="18"/>
        </w:rPr>
        <w:t>[kanıt]</w:t>
      </w:r>
      <w:r>
        <w:t xml:space="preserve"> olması, o sayının dayandığı modelin gerçeği temsil ettiği anlamına gelmez. Örneğin ödeme zinciri sentetik bir Monte Carlo modelidir ve SFC matrisine bağlı değildir (YAPILABILIRLIK.md:38) </w:t>
      </w:r>
      <w:r>
        <w:rPr>
          <w:b/>
          <w:color w:val="0B6123"/>
          <w:sz w:val="18"/>
        </w:rPr>
        <w:t>[kanıt]</w:t>
      </w:r>
      <w:r>
        <w:t xml:space="preserve">; kenar dağılımı çekim/RAS varsayımıdır (ADIM2_NACE_AG.md) </w:t>
      </w:r>
      <w:r>
        <w:rPr>
          <w:b/>
          <w:color w:val="A05200"/>
          <w:sz w:val="18"/>
        </w:rPr>
        <w:t>[aday]</w:t>
      </w:r>
      <w:r>
        <w:t>. “Kanıt” etiketi, sayının depodaki hesabın gerçek çıktısı olduğunu belgeler; hesabın girdilerinin ne ölçüde ölçüm olduğu ayrıca yazılmıştır.</w:t>
      </w:r>
    </w:p>
    <w:p>
      <w:pPr>
        <w:pStyle w:val="Heading2"/>
      </w:pPr>
      <w:r>
        <w:t>2.3 Başlangıç kıstası durum kodları</w:t>
      </w:r>
    </w:p>
    <w:p>
      <w:pPr>
        <w:keepNext/>
        <w:spacing w:after="40"/>
        <w:jc w:val="left"/>
      </w:pPr>
      <w:r>
        <w:rPr>
          <w:b/>
          <w:sz w:val="19"/>
        </w:rPr>
        <w:t>Tablo 2.2 — Kıstas durum kodları</w:t>
      </w:r>
    </w:p>
    <w:tbl>
      <w:tblPr>
        <w:tblStyle w:val="TableGrid"/>
        <w:tblW w:type="auto" w:w="0"/>
        <w:jc w:val="center"/>
        <w:tblLayout w:type="fixed"/>
        <w:tblLook w:firstColumn="1" w:firstRow="1" w:lastColumn="0" w:lastRow="0" w:noHBand="0" w:noVBand="1" w:val="04A0"/>
      </w:tblPr>
      <w:tblGrid>
        <w:gridCol w:w="1701"/>
        <w:gridCol w:w="7370"/>
      </w:tblGrid>
      <w:tr>
        <w:trPr>
          <w:tblHeader w:val="true"/>
        </w:trPr>
        <w:tc>
          <w:tcPr>
            <w:tcW w:type="dxa" w:w="1701"/>
            <w:shd w:val="clear" w:color="auto" w:fill="D9E2F3"/>
          </w:tcPr>
          <w:p>
            <w:r/>
            <w:r>
              <w:rPr>
                <w:b/>
                <w:sz w:val="18"/>
              </w:rPr>
              <w:t>Durum</w:t>
            </w:r>
          </w:p>
        </w:tc>
        <w:tc>
          <w:tcPr>
            <w:tcW w:type="dxa" w:w="7370"/>
            <w:shd w:val="clear" w:color="auto" w:fill="D9E2F3"/>
          </w:tcPr>
          <w:p>
            <w:r/>
            <w:r>
              <w:rPr>
                <w:b/>
                <w:sz w:val="18"/>
              </w:rPr>
              <w:t>Anlamı</w:t>
            </w:r>
          </w:p>
        </w:tc>
      </w:tr>
      <w:tr>
        <w:tc>
          <w:tcPr>
            <w:tcW w:type="dxa" w:w="1701"/>
            <w:shd w:val="clear" w:color="auto" w:fill="E2EFDA"/>
          </w:tcPr>
          <w:p>
            <w:pPr>
              <w:spacing w:after="20"/>
            </w:pPr>
            <w:r/>
            <w:r>
              <w:rPr>
                <w:sz w:val="18"/>
              </w:rPr>
              <w:t>sağlanıyor</w:t>
            </w:r>
          </w:p>
        </w:tc>
        <w:tc>
          <w:tcPr>
            <w:tcW w:type="dxa" w:w="7370"/>
          </w:tcPr>
          <w:p>
            <w:pPr>
              <w:spacing w:after="20"/>
            </w:pPr>
            <w:r/>
            <w:r>
              <w:rPr>
                <w:sz w:val="18"/>
              </w:rPr>
              <w:t>Koşul depodaki ölçüm veya belgeyle fiilen karşılanmış görünmektedir.</w:t>
            </w:r>
          </w:p>
        </w:tc>
      </w:tr>
      <w:tr>
        <w:tc>
          <w:tcPr>
            <w:tcW w:type="dxa" w:w="1701"/>
            <w:shd w:val="clear" w:color="auto" w:fill="F8CBAD"/>
          </w:tcPr>
          <w:p>
            <w:pPr>
              <w:spacing w:after="20"/>
            </w:pPr>
            <w:r/>
            <w:r>
              <w:rPr>
                <w:sz w:val="18"/>
              </w:rPr>
              <w:t>sağlanmıyor</w:t>
            </w:r>
          </w:p>
        </w:tc>
        <w:tc>
          <w:tcPr>
            <w:tcW w:type="dxa" w:w="7370"/>
          </w:tcPr>
          <w:p>
            <w:pPr>
              <w:spacing w:after="20"/>
            </w:pPr>
            <w:r/>
            <w:r>
              <w:rPr>
                <w:sz w:val="18"/>
              </w:rPr>
              <w:t>Depodaki ölçüm veya belge koşulun bugün karşılanmadığını göstermektedir.</w:t>
            </w:r>
          </w:p>
        </w:tc>
      </w:tr>
      <w:tr>
        <w:tc>
          <w:tcPr>
            <w:tcW w:type="dxa" w:w="1701"/>
            <w:shd w:val="clear" w:color="auto" w:fill="FFF2CC"/>
          </w:tcPr>
          <w:p>
            <w:pPr>
              <w:spacing w:after="20"/>
            </w:pPr>
            <w:r/>
            <w:r>
              <w:rPr>
                <w:sz w:val="18"/>
              </w:rPr>
              <w:t>ölçülemedi</w:t>
            </w:r>
          </w:p>
        </w:tc>
        <w:tc>
          <w:tcPr>
            <w:tcW w:type="dxa" w:w="7370"/>
          </w:tcPr>
          <w:p>
            <w:pPr>
              <w:spacing w:after="20"/>
            </w:pPr>
            <w:r/>
            <w:r>
              <w:rPr>
                <w:sz w:val="18"/>
              </w:rPr>
              <w:t>Koşulu sınayacak veri depoda yoktur veya kapı “bulunamadı/ayrılmadı” durumundadır.</w:t>
            </w:r>
          </w:p>
        </w:tc>
      </w:tr>
      <w:tr>
        <w:tc>
          <w:tcPr>
            <w:tcW w:type="dxa" w:w="1701"/>
            <w:shd w:val="clear" w:color="auto" w:fill="FCE4D6"/>
          </w:tcPr>
          <w:p>
            <w:pPr>
              <w:spacing w:after="20"/>
            </w:pPr>
            <w:r/>
            <w:r>
              <w:rPr>
                <w:sz w:val="18"/>
              </w:rPr>
              <w:t>kısmen</w:t>
            </w:r>
          </w:p>
        </w:tc>
        <w:tc>
          <w:tcPr>
            <w:tcW w:type="dxa" w:w="7370"/>
          </w:tcPr>
          <w:p>
            <w:pPr>
              <w:spacing w:after="20"/>
            </w:pPr>
            <w:r/>
            <w:r>
              <w:rPr>
                <w:sz w:val="18"/>
              </w:rPr>
              <w:t>Koşulun bir bileşeni karşılanmış, diğeri karşılanmamış ya da ölçülememiştir.</w:t>
            </w:r>
          </w:p>
        </w:tc>
      </w:tr>
    </w:tbl>
    <w:p>
      <w:pPr>
        <w:spacing w:after="40"/>
      </w:pPr>
    </w:p>
    <w:p>
      <w:pPr>
        <w:pStyle w:val="Heading2"/>
      </w:pPr>
      <w:r>
        <w:t>2.4 Doğrulama yöntemi</w:t>
      </w:r>
    </w:p>
    <w:p>
      <w:pPr>
        <w:jc w:val="both"/>
      </w:pPr>
      <w:r>
        <w:rPr>
          <w:b/>
        </w:rPr>
        <w:t xml:space="preserve">(11) </w:t>
      </w:r>
      <w:r>
        <w:t xml:space="preserve">Görev metninde verilen ana sonuçlar depo dosyalarıyla tek tek karşılaştırılmıştır. Depoda yazılı olmayan iki sonuç (brüt ağ köprüsü 8.956 ve mahsup sonrası köprü 46,8) depodaki kodun dondurulmuş veriyle yerel yeniden koşusuyla üretilmiş ve aynı değerler elde edilmiştir (Ek D). Bu değerler </w:t>
      </w:r>
      <w:r>
        <w:rPr>
          <w:b/>
          <w:color w:val="0B6123"/>
          <w:sz w:val="18"/>
        </w:rPr>
        <w:t>[kanıt]</w:t>
      </w:r>
      <w:r>
        <w:t xml:space="preserve"> sayılmış, ancak “depoda yazılı değil, yerel koşu” notu korunmuştur. Üretilemeyen veya farklı çıkan değerler Ek C’de gösterilmiştir.</w:t>
      </w:r>
    </w:p>
    <w:p>
      <w:pPr>
        <w:jc w:val="both"/>
      </w:pPr>
      <w:r>
        <w:rPr>
          <w:b/>
        </w:rPr>
        <w:t xml:space="preserve">(12) </w:t>
      </w:r>
      <w:r>
        <w:t xml:space="preserve">GSYH paydası 2023–2025 için ölçümdür; 2026 sonrası yol “önceki yıl × (1+TÜFE) × (1+reel %3)” formülüyle kurulmuş bir varsayımdır (GSYH_PAY.md) </w:t>
      </w:r>
      <w:r>
        <w:rPr>
          <w:b/>
          <w:color w:val="A05200"/>
          <w:sz w:val="18"/>
        </w:rPr>
        <w:t>[aday]</w:t>
      </w:r>
      <w:r>
        <w:t>. Bu nedenle GSYH yüzdeleri, paydası 2026 sonrası olan her satırda aday payda taşır.</w:t>
      </w:r>
    </w:p>
    <w:p>
      <w:r>
        <w:br w:type="page"/>
      </w:r>
    </w:p>
    <w:p>
      <w:pPr>
        <w:pStyle w:val="Heading1"/>
      </w:pPr>
      <w:r>
        <w:t>3. Genel Teşhis: Ödeme Sırasındaki Kilit</w:t>
      </w:r>
    </w:p>
    <w:p>
      <w:pPr>
        <w:pStyle w:val="Heading2"/>
      </w:pPr>
      <w:r>
        <w:t>3.1 Teşhisin tanımı</w:t>
      </w:r>
    </w:p>
    <w:p>
      <w:pPr>
        <w:jc w:val="both"/>
      </w:pPr>
      <w:r>
        <w:rPr>
          <w:b/>
        </w:rPr>
        <w:t xml:space="preserve">(13) </w:t>
      </w:r>
      <w:r>
        <w:t xml:space="preserve">Model, firmalar arası lira cinsinden borç zincirinde iki tür sorunlu firmayı ayırmaktadır: </w:t>
      </w:r>
      <w:r>
        <w:rPr>
          <w:b/>
        </w:rPr>
        <w:t>kilitli</w:t>
      </w:r>
      <w:r>
        <w:t xml:space="preserve"> firma, sıralı ödemede temerrüde düşen ama eşzamanlı ve tam koordinasyonlu ödemede (Eisenberg–Noe) ödeme gücü yeten firmadır; </w:t>
      </w:r>
      <w:r>
        <w:rPr>
          <w:b/>
        </w:rPr>
        <w:t>batık</w:t>
      </w:r>
      <w:r>
        <w:t xml:space="preserve"> firma ise mahsup sonrasında da ödeyemeyen firmadır. “Sorunu ödeme gücü değil, sıra ve koordinasyon” cümlesi kilitli firmanın tanımıdır (mahsup/README.md) </w:t>
      </w:r>
      <w:r>
        <w:rPr>
          <w:b/>
          <w:color w:val="0B6123"/>
          <w:sz w:val="18"/>
        </w:rPr>
        <w:t>[kanıt, tanım]</w:t>
      </w:r>
      <w:r>
        <w:t>.</w:t>
      </w:r>
    </w:p>
    <w:p>
      <w:pPr>
        <w:jc w:val="both"/>
      </w:pPr>
      <w:r>
        <w:rPr>
          <w:b/>
        </w:rPr>
        <w:t xml:space="preserve">(14) </w:t>
      </w:r>
      <w:r>
        <w:t xml:space="preserve">Kapalı döngüde net pozisyonların toplamı sıfırdır; mahsup döngüyü nakit dolaşmadan kapatır (model/RAPOR.md:9, :21; TEK_SISTEM.md:26) </w:t>
      </w:r>
      <w:r>
        <w:rPr>
          <w:b/>
          <w:color w:val="0B6123"/>
          <w:sz w:val="18"/>
        </w:rPr>
        <w:t>[kanıt, metin]</w:t>
      </w:r>
      <w:r>
        <w:t xml:space="preserve">. Bu nedenle kilidin çözümü için para basımı veya yeni kredi gerekmez; gerekli olan, alacak ve borçların aynı anda eşleştirilmesidir. RAPOR.md:39 ayrıca kalan net borcun para basılarak kapatılması hâlinde enflasyon etkisinin tersine döneceğini kaydetmektedir </w:t>
      </w:r>
      <w:r>
        <w:rPr>
          <w:b/>
          <w:color w:val="0B6123"/>
          <w:sz w:val="18"/>
        </w:rPr>
        <w:t>[kanıt, metin]</w:t>
      </w:r>
      <w:r>
        <w:t>.</w:t>
      </w:r>
    </w:p>
    <w:p>
      <w:pPr>
        <w:pStyle w:val="Heading2"/>
      </w:pPr>
      <w:r>
        <w:t>3.2 Teşhisin sayısal bulguları</w:t>
      </w:r>
    </w:p>
    <w:p>
      <w:pPr>
        <w:keepNext/>
        <w:spacing w:after="40"/>
        <w:jc w:val="left"/>
      </w:pPr>
      <w:r>
        <w:rPr>
          <w:b/>
          <w:sz w:val="19"/>
        </w:rPr>
        <w:t>Tablo 3.1 — Kilidin ölçüsü</w:t>
      </w:r>
    </w:p>
    <w:tbl>
      <w:tblPr>
        <w:tblStyle w:val="TableGrid"/>
        <w:tblW w:type="auto" w:w="0"/>
        <w:jc w:val="center"/>
        <w:tblLayout w:type="fixed"/>
        <w:tblLook w:firstColumn="1" w:firstRow="1" w:lastColumn="0" w:lastRow="0" w:noHBand="0" w:noVBand="1" w:val="04A0"/>
      </w:tblPr>
      <w:tblGrid>
        <w:gridCol w:w="3175"/>
        <w:gridCol w:w="2494"/>
        <w:gridCol w:w="1474"/>
        <w:gridCol w:w="1928"/>
      </w:tblGrid>
      <w:tr>
        <w:trPr>
          <w:tblHeader w:val="true"/>
        </w:trPr>
        <w:tc>
          <w:tcPr>
            <w:tcW w:type="dxa" w:w="3175"/>
            <w:shd w:val="clear" w:color="auto" w:fill="D9E2F3"/>
          </w:tcPr>
          <w:p>
            <w:r/>
            <w:r>
              <w:rPr>
                <w:b/>
                <w:sz w:val="17"/>
              </w:rPr>
              <w:t>Bulgu</w:t>
            </w:r>
          </w:p>
        </w:tc>
        <w:tc>
          <w:tcPr>
            <w:tcW w:type="dxa" w:w="2494"/>
            <w:shd w:val="clear" w:color="auto" w:fill="D9E2F3"/>
          </w:tcPr>
          <w:p>
            <w:r/>
            <w:r>
              <w:rPr>
                <w:b/>
                <w:sz w:val="17"/>
              </w:rPr>
              <w:t>Değer</w:t>
            </w:r>
          </w:p>
        </w:tc>
        <w:tc>
          <w:tcPr>
            <w:tcW w:type="dxa" w:w="1474"/>
            <w:shd w:val="clear" w:color="auto" w:fill="D9E2F3"/>
          </w:tcPr>
          <w:p>
            <w:r/>
            <w:r>
              <w:rPr>
                <w:b/>
                <w:sz w:val="17"/>
              </w:rPr>
              <w:t>Etiket</w:t>
            </w:r>
          </w:p>
        </w:tc>
        <w:tc>
          <w:tcPr>
            <w:tcW w:type="dxa" w:w="1928"/>
            <w:shd w:val="clear" w:color="auto" w:fill="D9E2F3"/>
          </w:tcPr>
          <w:p>
            <w:r/>
            <w:r>
              <w:rPr>
                <w:b/>
                <w:sz w:val="17"/>
              </w:rPr>
              <w:t>Kaynak</w:t>
            </w:r>
          </w:p>
        </w:tc>
      </w:tr>
      <w:tr>
        <w:tc>
          <w:tcPr>
            <w:tcW w:type="dxa" w:w="3175"/>
          </w:tcPr>
          <w:p>
            <w:pPr>
              <w:spacing w:after="20"/>
            </w:pPr>
            <w:r/>
            <w:r>
              <w:rPr>
                <w:sz w:val="17"/>
              </w:rPr>
              <w:t>F içi karşılıklı ticari borç (2026-Q1)</w:t>
            </w:r>
          </w:p>
        </w:tc>
        <w:tc>
          <w:tcPr>
            <w:tcW w:type="dxa" w:w="2494"/>
          </w:tcPr>
          <w:p>
            <w:pPr>
              <w:spacing w:after="20"/>
            </w:pPr>
            <w:r/>
            <w:r>
              <w:rPr>
                <w:sz w:val="17"/>
              </w:rPr>
              <w:t>39.928,6 milyar TL</w:t>
            </w:r>
          </w:p>
        </w:tc>
        <w:tc>
          <w:tcPr>
            <w:tcW w:type="dxa" w:w="1474"/>
          </w:tcPr>
          <w:p>
            <w:pPr>
              <w:spacing w:after="20"/>
            </w:pPr>
            <w:r/>
            <w:r>
              <w:rPr>
                <w:b/>
                <w:color w:val="0B6123"/>
                <w:sz w:val="17"/>
              </w:rPr>
              <w:t>[kanıt]</w:t>
            </w:r>
          </w:p>
        </w:tc>
        <w:tc>
          <w:tcPr>
            <w:tcW w:type="dxa" w:w="1928"/>
          </w:tcPr>
          <w:p>
            <w:pPr>
              <w:spacing w:after="20"/>
            </w:pPr>
            <w:r/>
            <w:r>
              <w:rPr>
                <w:sz w:val="17"/>
              </w:rPr>
              <w:t>ADIM1_NACE.md (a)</w:t>
            </w:r>
          </w:p>
        </w:tc>
      </w:tr>
      <w:tr>
        <w:tc>
          <w:tcPr>
            <w:tcW w:type="dxa" w:w="3175"/>
          </w:tcPr>
          <w:p>
            <w:pPr>
              <w:spacing w:after="20"/>
            </w:pPr>
            <w:r/>
            <w:r>
              <w:rPr>
                <w:sz w:val="17"/>
              </w:rPr>
              <w:t>Sektör Bilançoları Σ ticari borç (2024)</w:t>
            </w:r>
          </w:p>
        </w:tc>
        <w:tc>
          <w:tcPr>
            <w:tcW w:type="dxa" w:w="2494"/>
          </w:tcPr>
          <w:p>
            <w:pPr>
              <w:spacing w:after="20"/>
            </w:pPr>
            <w:r/>
            <w:r>
              <w:rPr>
                <w:sz w:val="17"/>
              </w:rPr>
              <w:t>14.335,4 milyar TL</w:t>
            </w:r>
          </w:p>
        </w:tc>
        <w:tc>
          <w:tcPr>
            <w:tcW w:type="dxa" w:w="1474"/>
          </w:tcPr>
          <w:p>
            <w:pPr>
              <w:spacing w:after="20"/>
            </w:pPr>
            <w:r/>
            <w:r>
              <w:rPr>
                <w:b/>
                <w:color w:val="0B6123"/>
                <w:sz w:val="17"/>
              </w:rPr>
              <w:t>[kanıt]</w:t>
            </w:r>
          </w:p>
        </w:tc>
        <w:tc>
          <w:tcPr>
            <w:tcW w:type="dxa" w:w="1928"/>
          </w:tcPr>
          <w:p>
            <w:pPr>
              <w:spacing w:after="20"/>
            </w:pPr>
            <w:r/>
            <w:r>
              <w:rPr>
                <w:sz w:val="17"/>
              </w:rPr>
              <w:t>ADIM1_NACE.md (b)</w:t>
            </w:r>
          </w:p>
        </w:tc>
      </w:tr>
      <w:tr>
        <w:tc>
          <w:tcPr>
            <w:tcW w:type="dxa" w:w="3175"/>
          </w:tcPr>
          <w:p>
            <w:pPr>
              <w:spacing w:after="20"/>
            </w:pPr>
            <w:r/>
            <w:r>
              <w:rPr>
                <w:sz w:val="17"/>
              </w:rPr>
              <w:t>Tam grafta netleşebilecek azami pay (2024)</w:t>
            </w:r>
          </w:p>
        </w:tc>
        <w:tc>
          <w:tcPr>
            <w:tcW w:type="dxa" w:w="2494"/>
          </w:tcPr>
          <w:p>
            <w:pPr>
              <w:spacing w:after="20"/>
            </w:pPr>
            <w:r/>
            <w:r>
              <w:rPr>
                <w:sz w:val="17"/>
              </w:rPr>
              <w:t>%91,4 (13.100,9 milyar TL)</w:t>
            </w:r>
          </w:p>
        </w:tc>
        <w:tc>
          <w:tcPr>
            <w:tcW w:type="dxa" w:w="1474"/>
          </w:tcPr>
          <w:p>
            <w:pPr>
              <w:spacing w:after="20"/>
            </w:pPr>
            <w:r/>
            <w:r>
              <w:rPr>
                <w:b/>
                <w:color w:val="0B6123"/>
                <w:sz w:val="17"/>
              </w:rPr>
              <w:t>[kanıt, üst sınır]</w:t>
            </w:r>
          </w:p>
        </w:tc>
        <w:tc>
          <w:tcPr>
            <w:tcW w:type="dxa" w:w="1928"/>
          </w:tcPr>
          <w:p>
            <w:pPr>
              <w:spacing w:after="20"/>
            </w:pPr>
            <w:r/>
            <w:r>
              <w:rPr>
                <w:sz w:val="17"/>
              </w:rPr>
              <w:t>ADIM1_NACE.md (b)</w:t>
            </w:r>
          </w:p>
        </w:tc>
      </w:tr>
      <w:tr>
        <w:tc>
          <w:tcPr>
            <w:tcW w:type="dxa" w:w="3175"/>
          </w:tcPr>
          <w:p>
            <w:pPr>
              <w:spacing w:after="20"/>
            </w:pPr>
            <w:r/>
            <w:r>
              <w:rPr>
                <w:sz w:val="17"/>
              </w:rPr>
              <w:t>Tam graf oranı 2009–2024</w:t>
            </w:r>
          </w:p>
        </w:tc>
        <w:tc>
          <w:tcPr>
            <w:tcW w:type="dxa" w:w="2494"/>
          </w:tcPr>
          <w:p>
            <w:pPr>
              <w:spacing w:after="20"/>
            </w:pPr>
            <w:r/>
            <w:r>
              <w:rPr>
                <w:sz w:val="17"/>
              </w:rPr>
              <w:t>0,665–0,925</w:t>
            </w:r>
          </w:p>
        </w:tc>
        <w:tc>
          <w:tcPr>
            <w:tcW w:type="dxa" w:w="1474"/>
          </w:tcPr>
          <w:p>
            <w:pPr>
              <w:spacing w:after="20"/>
            </w:pPr>
            <w:r/>
            <w:r>
              <w:rPr>
                <w:b/>
                <w:color w:val="0B6123"/>
                <w:sz w:val="17"/>
              </w:rPr>
              <w:t>[kanıt]</w:t>
            </w:r>
          </w:p>
        </w:tc>
        <w:tc>
          <w:tcPr>
            <w:tcW w:type="dxa" w:w="1928"/>
          </w:tcPr>
          <w:p>
            <w:pPr>
              <w:spacing w:after="20"/>
            </w:pPr>
            <w:r/>
            <w:r>
              <w:rPr>
                <w:sz w:val="17"/>
              </w:rPr>
              <w:t>ADIM1_NACE.md (e)</w:t>
            </w:r>
          </w:p>
        </w:tc>
      </w:tr>
      <w:tr>
        <w:tc>
          <w:tcPr>
            <w:tcW w:type="dxa" w:w="3175"/>
          </w:tcPr>
          <w:p>
            <w:pPr>
              <w:spacing w:after="20"/>
            </w:pPr>
            <w:r/>
            <w:r>
              <w:rPr>
                <w:sz w:val="17"/>
              </w:rPr>
              <w:t>Seyrek ağ, yoğunluk 0,25 (medyan)</w:t>
            </w:r>
          </w:p>
        </w:tc>
        <w:tc>
          <w:tcPr>
            <w:tcW w:type="dxa" w:w="2494"/>
          </w:tcPr>
          <w:p>
            <w:pPr>
              <w:spacing w:after="20"/>
            </w:pPr>
            <w:r/>
            <w:r>
              <w:rPr>
                <w:sz w:val="17"/>
              </w:rPr>
              <w:t>0,265 (0,124–0,843)</w:t>
            </w:r>
          </w:p>
        </w:tc>
        <w:tc>
          <w:tcPr>
            <w:tcW w:type="dxa" w:w="1474"/>
          </w:tcPr>
          <w:p>
            <w:pPr>
              <w:spacing w:after="20"/>
            </w:pPr>
            <w:r/>
            <w:r>
              <w:rPr>
                <w:b/>
                <w:color w:val="A05200"/>
                <w:sz w:val="17"/>
              </w:rPr>
              <w:t>[aday]</w:t>
            </w:r>
          </w:p>
        </w:tc>
        <w:tc>
          <w:tcPr>
            <w:tcW w:type="dxa" w:w="1928"/>
          </w:tcPr>
          <w:p>
            <w:pPr>
              <w:spacing w:after="20"/>
            </w:pPr>
            <w:r/>
            <w:r>
              <w:rPr>
                <w:sz w:val="17"/>
              </w:rPr>
              <w:t>rev_adim1_sonuc.json</w:t>
            </w:r>
          </w:p>
        </w:tc>
      </w:tr>
      <w:tr>
        <w:tc>
          <w:tcPr>
            <w:tcW w:type="dxa" w:w="3175"/>
          </w:tcPr>
          <w:p>
            <w:pPr>
              <w:spacing w:after="20"/>
            </w:pPr>
            <w:r/>
            <w:r>
              <w:rPr>
                <w:sz w:val="17"/>
              </w:rPr>
              <w:t>Ölçülmüş düğümlü ağda mahsupla silinen</w:t>
            </w:r>
          </w:p>
        </w:tc>
        <w:tc>
          <w:tcPr>
            <w:tcW w:type="dxa" w:w="2494"/>
          </w:tcPr>
          <w:p>
            <w:pPr>
              <w:spacing w:after="20"/>
            </w:pPr>
            <w:r/>
            <w:r>
              <w:rPr>
                <w:sz w:val="17"/>
              </w:rPr>
              <w:t>14.602,3 milyar TL (%88,5)</w:t>
            </w:r>
          </w:p>
        </w:tc>
        <w:tc>
          <w:tcPr>
            <w:tcW w:type="dxa" w:w="1474"/>
          </w:tcPr>
          <w:p>
            <w:pPr>
              <w:spacing w:after="20"/>
            </w:pPr>
            <w:r/>
            <w:r>
              <w:rPr>
                <w:b/>
                <w:color w:val="0B6123"/>
                <w:sz w:val="17"/>
              </w:rPr>
              <w:t>[kanıt; kenarlar aday]</w:t>
            </w:r>
          </w:p>
        </w:tc>
        <w:tc>
          <w:tcPr>
            <w:tcW w:type="dxa" w:w="1928"/>
          </w:tcPr>
          <w:p>
            <w:pPr>
              <w:spacing w:after="20"/>
            </w:pPr>
            <w:r/>
            <w:r>
              <w:rPr>
                <w:sz w:val="17"/>
              </w:rPr>
              <w:t>ADIM2_NACE_AG.md</w:t>
            </w:r>
          </w:p>
        </w:tc>
      </w:tr>
      <w:tr>
        <w:tc>
          <w:tcPr>
            <w:tcW w:type="dxa" w:w="3175"/>
          </w:tcPr>
          <w:p>
            <w:pPr>
              <w:spacing w:after="20"/>
            </w:pPr>
            <w:r/>
            <w:r>
              <w:rPr>
                <w:sz w:val="17"/>
              </w:rPr>
              <w:t>Tam ağ, δ = 0, brüt aşama</w:t>
            </w:r>
          </w:p>
        </w:tc>
        <w:tc>
          <w:tcPr>
            <w:tcW w:type="dxa" w:w="2494"/>
          </w:tcPr>
          <w:p>
            <w:pPr>
              <w:spacing w:after="20"/>
            </w:pPr>
            <w:r/>
            <w:r>
              <w:rPr>
                <w:sz w:val="17"/>
              </w:rPr>
              <w:t>16 temerrüt; köprü 8.956,38</w:t>
            </w:r>
          </w:p>
        </w:tc>
        <w:tc>
          <w:tcPr>
            <w:tcW w:type="dxa" w:w="1474"/>
          </w:tcPr>
          <w:p>
            <w:pPr>
              <w:spacing w:after="20"/>
            </w:pPr>
            <w:r/>
            <w:r>
              <w:rPr>
                <w:b/>
                <w:color w:val="0B6123"/>
                <w:sz w:val="17"/>
              </w:rPr>
              <w:t>[kanıt, yerel koşu]</w:t>
            </w:r>
          </w:p>
        </w:tc>
        <w:tc>
          <w:tcPr>
            <w:tcW w:type="dxa" w:w="1928"/>
          </w:tcPr>
          <w:p>
            <w:pPr>
              <w:spacing w:after="20"/>
            </w:pPr>
            <w:r/>
            <w:r>
              <w:rPr>
                <w:sz w:val="17"/>
              </w:rPr>
              <w:t>Ek D</w:t>
            </w:r>
          </w:p>
        </w:tc>
      </w:tr>
      <w:tr>
        <w:tc>
          <w:tcPr>
            <w:tcW w:type="dxa" w:w="3175"/>
          </w:tcPr>
          <w:p>
            <w:pPr>
              <w:spacing w:after="20"/>
            </w:pPr>
            <w:r/>
            <w:r>
              <w:rPr>
                <w:sz w:val="17"/>
              </w:rPr>
              <w:t>Tam ağ, δ = 0, mahsup sonrası</w:t>
            </w:r>
          </w:p>
        </w:tc>
        <w:tc>
          <w:tcPr>
            <w:tcW w:type="dxa" w:w="2494"/>
          </w:tcPr>
          <w:p>
            <w:pPr>
              <w:spacing w:after="20"/>
            </w:pPr>
            <w:r/>
            <w:r>
              <w:rPr>
                <w:sz w:val="17"/>
              </w:rPr>
              <w:t>3 temerrüt; köprü 46,77</w:t>
            </w:r>
          </w:p>
        </w:tc>
        <w:tc>
          <w:tcPr>
            <w:tcW w:type="dxa" w:w="1474"/>
          </w:tcPr>
          <w:p>
            <w:pPr>
              <w:spacing w:after="20"/>
            </w:pPr>
            <w:r/>
            <w:r>
              <w:rPr>
                <w:b/>
                <w:color w:val="0B6123"/>
                <w:sz w:val="17"/>
              </w:rPr>
              <w:t>[kanıt, yerel koşu]</w:t>
            </w:r>
          </w:p>
        </w:tc>
        <w:tc>
          <w:tcPr>
            <w:tcW w:type="dxa" w:w="1928"/>
          </w:tcPr>
          <w:p>
            <w:pPr>
              <w:spacing w:after="20"/>
            </w:pPr>
            <w:r/>
            <w:r>
              <w:rPr>
                <w:sz w:val="17"/>
              </w:rPr>
              <w:t>Ek D</w:t>
            </w:r>
          </w:p>
        </w:tc>
      </w:tr>
      <w:tr>
        <w:tc>
          <w:tcPr>
            <w:tcW w:type="dxa" w:w="3175"/>
          </w:tcPr>
          <w:p>
            <w:pPr>
              <w:spacing w:after="20"/>
            </w:pPr>
            <w:r/>
            <w:r>
              <w:rPr>
                <w:sz w:val="17"/>
              </w:rPr>
              <w:t>Tam ağ, δ = %19,29, brüt aşama</w:t>
            </w:r>
          </w:p>
        </w:tc>
        <w:tc>
          <w:tcPr>
            <w:tcW w:type="dxa" w:w="2494"/>
          </w:tcPr>
          <w:p>
            <w:pPr>
              <w:spacing w:after="20"/>
            </w:pPr>
            <w:r/>
            <w:r>
              <w:rPr>
                <w:sz w:val="17"/>
              </w:rPr>
              <w:t>16 temerrüt; köprü 11.527,68</w:t>
            </w:r>
          </w:p>
        </w:tc>
        <w:tc>
          <w:tcPr>
            <w:tcW w:type="dxa" w:w="1474"/>
          </w:tcPr>
          <w:p>
            <w:pPr>
              <w:spacing w:after="20"/>
            </w:pPr>
            <w:r/>
            <w:r>
              <w:rPr>
                <w:b/>
                <w:color w:val="0B6123"/>
                <w:sz w:val="17"/>
              </w:rPr>
              <w:t>[kanıt, yerel koşu]</w:t>
            </w:r>
          </w:p>
        </w:tc>
        <w:tc>
          <w:tcPr>
            <w:tcW w:type="dxa" w:w="1928"/>
          </w:tcPr>
          <w:p>
            <w:pPr>
              <w:spacing w:after="20"/>
            </w:pPr>
            <w:r/>
            <w:r>
              <w:rPr>
                <w:sz w:val="17"/>
              </w:rPr>
              <w:t>Ek D</w:t>
            </w:r>
          </w:p>
        </w:tc>
      </w:tr>
      <w:tr>
        <w:tc>
          <w:tcPr>
            <w:tcW w:type="dxa" w:w="3175"/>
          </w:tcPr>
          <w:p>
            <w:pPr>
              <w:spacing w:after="20"/>
            </w:pPr>
            <w:r/>
            <w:r>
              <w:rPr>
                <w:sz w:val="17"/>
              </w:rPr>
              <w:t>Tam ağ, δ = %19,29, mahsup sonrası</w:t>
            </w:r>
          </w:p>
        </w:tc>
        <w:tc>
          <w:tcPr>
            <w:tcW w:type="dxa" w:w="2494"/>
          </w:tcPr>
          <w:p>
            <w:pPr>
              <w:spacing w:after="20"/>
            </w:pPr>
            <w:r/>
            <w:r>
              <w:rPr>
                <w:sz w:val="17"/>
              </w:rPr>
              <w:t>7 temerrüt; köprü 443,87; kilitli 10, batık 6</w:t>
            </w:r>
          </w:p>
        </w:tc>
        <w:tc>
          <w:tcPr>
            <w:tcW w:type="dxa" w:w="1474"/>
          </w:tcPr>
          <w:p>
            <w:pPr>
              <w:spacing w:after="20"/>
            </w:pPr>
            <w:r/>
            <w:r>
              <w:rPr>
                <w:b/>
                <w:color w:val="0B6123"/>
                <w:sz w:val="17"/>
              </w:rPr>
              <w:t>[kanıt]</w:t>
            </w:r>
          </w:p>
        </w:tc>
        <w:tc>
          <w:tcPr>
            <w:tcW w:type="dxa" w:w="1928"/>
          </w:tcPr>
          <w:p>
            <w:pPr>
              <w:spacing w:after="20"/>
            </w:pPr>
            <w:r/>
            <w:r>
              <w:rPr>
                <w:sz w:val="17"/>
              </w:rPr>
              <w:t>SENET_ANALIZ.md:54</w:t>
            </w:r>
          </w:p>
        </w:tc>
      </w:tr>
    </w:tbl>
    <w:p>
      <w:pPr>
        <w:spacing w:after="40"/>
      </w:pPr>
    </w:p>
    <w:p>
      <w:pPr>
        <w:jc w:val="both"/>
      </w:pPr>
      <w:r>
        <w:rPr>
          <w:b/>
        </w:rPr>
        <w:t xml:space="preserve">(15) </w:t>
      </w:r>
      <w:r>
        <w:t xml:space="preserve">Tablo 3.1’in okunuşu şudur: δ = 0 iken mahsup, köprü ihtiyacını 8.956,38 milyar TL’den 46,77 milyar TL’ye, yani yaklaşık 191’de bire indirmektedir </w:t>
      </w:r>
      <w:r>
        <w:rPr>
          <w:b/>
          <w:color w:val="1F3A8F"/>
          <w:sz w:val="18"/>
        </w:rPr>
        <w:t>[türetilmiş]</w:t>
      </w:r>
      <w:r>
        <w:t xml:space="preserve">. Kur şoku altında (δ = %19,29) mahsup sonrası köprü 443,87 milyar TL’ye çıkmaktadır; kur artışı mahsup edilmez, köprüye eklenir (rev_sok.ag_kur: kur farkı BANKA’ya vade = 1 borç olarak yazılır) </w:t>
      </w:r>
      <w:r>
        <w:rPr>
          <w:b/>
          <w:color w:val="0B6123"/>
          <w:sz w:val="18"/>
        </w:rPr>
        <w:t>[kanıt, kod]</w:t>
      </w:r>
      <w:r>
        <w:t>.</w:t>
      </w:r>
    </w:p>
    <w:p>
      <w:pPr>
        <w:jc w:val="both"/>
      </w:pPr>
      <w:r>
        <w:rPr>
          <w:b/>
        </w:rPr>
        <w:t xml:space="preserve">(16) </w:t>
      </w:r>
      <w:r>
        <w:t xml:space="preserve">Teşhisin ikinci katmanı, mahsubun neyi çözmediğidir: hane kartı borcu (bireysel stok 5.575 milyar TL, yarısı kart), döviz sözleşmesi (ticari stokun yaklaşık üçte biri yabancı para), Hazine faizi (bütçe faizi 2.054 milyar TL) ve açlık sınırı mahsubun kapsamı dışındadır (model/RAPOR.md:43–46) </w:t>
      </w:r>
      <w:r>
        <w:rPr>
          <w:b/>
          <w:color w:val="0B6123"/>
          <w:sz w:val="18"/>
        </w:rPr>
        <w:t>[kanıt, metin]</w:t>
      </w:r>
      <w:r>
        <w:t xml:space="preserve">. F.4 2026-Q1 firma kredi stokunun YP payı %54,44’tür (YAPILABILIRLIK.md:45; rev_adim3_sonuc.json) </w:t>
      </w:r>
      <w:r>
        <w:rPr>
          <w:b/>
          <w:color w:val="0B6123"/>
          <w:sz w:val="18"/>
        </w:rPr>
        <w:t>[kanıt, ölçüm türevi]</w:t>
      </w:r>
      <w:r>
        <w:t>.</w:t>
      </w:r>
    </w:p>
    <w:p>
      <w:pPr>
        <w:pStyle w:val="Heading2"/>
      </w:pPr>
      <w:r>
        <w:t>3.3 Teşhisin kamu yönetimi açısından anlamı</w:t>
      </w:r>
    </w:p>
    <w:p>
      <w:pPr>
        <w:jc w:val="both"/>
      </w:pPr>
      <w:r>
        <w:rPr>
          <w:b/>
        </w:rPr>
        <w:t xml:space="preserve">(17) </w:t>
      </w:r>
      <w:r>
        <w:t xml:space="preserve">Kamu idaresi açısından teşhis, sorunun bir </w:t>
      </w:r>
      <w:r>
        <w:rPr>
          <w:b/>
        </w:rPr>
        <w:t>likidite koordinasyon arızası</w:t>
      </w:r>
      <w:r>
        <w:t xml:space="preserve"> olduğunu; bir </w:t>
      </w:r>
      <w:r>
        <w:rPr>
          <w:b/>
        </w:rPr>
        <w:t>ödeme gücü (solvency) sorunu</w:t>
      </w:r>
      <w:r>
        <w:t xml:space="preserve"> olmadığını söylemektedir. Bu ayrım tedavinin niteliğini belirler: koordinasyon arızasına uygun araç, takas altyapısıdır; ödeme gücü sorununa uygun araç ise yeniden yapılandırma veya tasfiyedir. Model, mahsup sonrasında kalan firmaları (batık) ayrıca adlandırarak bu iki sınıfın karıştırılmasını önlemektedir (mahsup/README.md, aşama 5) </w:t>
      </w:r>
      <w:r>
        <w:rPr>
          <w:b/>
          <w:color w:val="0B6123"/>
          <w:sz w:val="18"/>
        </w:rPr>
        <w:t>[kanıt, tanım]</w:t>
      </w:r>
      <w:r>
        <w:t>.</w:t>
      </w:r>
    </w:p>
    <w:p>
      <w:pPr>
        <w:jc w:val="both"/>
      </w:pPr>
      <w:r>
        <w:rPr>
          <w:b/>
        </w:rPr>
        <w:t xml:space="preserve">(18) </w:t>
      </w:r>
      <w:r>
        <w:t xml:space="preserve">Teşhisin dayandığı ağ yapısı ölçülmüş değildir. Düğümler (17 NACE kısmı, 17 hane düğümü, bir dış düğüm) Sektör Bilançoları 2024’ten ölçümdür; kenar dağılımı çekim/RAS varsayımıdır (ADIM2_NACE_AG.md) </w:t>
      </w:r>
      <w:r>
        <w:rPr>
          <w:b/>
          <w:color w:val="A05200"/>
          <w:sz w:val="18"/>
        </w:rPr>
        <w:t>[aday]</w:t>
      </w:r>
      <w:r>
        <w:t xml:space="preserve">. Gerçek firma düzeyi kimden-kime tablosu depoda yoktur (ADIM1_NACE.md “Ne denmez”) </w:t>
      </w:r>
      <w:r>
        <w:rPr>
          <w:b/>
          <w:color w:val="0B6123"/>
          <w:sz w:val="18"/>
        </w:rPr>
        <w:t>[kanıt, eksiklik]</w:t>
      </w:r>
      <w:r>
        <w:t>. Teşhisin yönü sağlamdır; büyüklüğü bu varsayıma bağlıdır.</w:t>
      </w:r>
    </w:p>
    <w:p>
      <w:r>
        <w:br w:type="page"/>
      </w:r>
    </w:p>
    <w:p>
      <w:pPr>
        <w:pStyle w:val="Heading1"/>
      </w:pPr>
      <w:r>
        <w:t>4. Adım 1 — E-fatura Üzerinden Çok Taraflı Mahsup</w:t>
      </w:r>
    </w:p>
    <w:p>
      <w:pPr>
        <w:jc w:val="both"/>
      </w:pPr>
      <w:r>
        <w:rPr>
          <w:b/>
        </w:rPr>
        <w:t xml:space="preserve">(19) </w:t>
      </w:r>
      <w:r>
        <w:t xml:space="preserve">Tanım: “Lira alacak ve borç, e-fatura üzerinden eşleşir. Kapalı döngü nakit dolaşmadan kapanır.” (model/RAPOR.md:21; TEK_SISTEM.md:26) </w:t>
      </w:r>
      <w:r>
        <w:rPr>
          <w:b/>
          <w:color w:val="0B6123"/>
          <w:sz w:val="18"/>
        </w:rPr>
        <w:t>[kanıt, metin]</w:t>
      </w:r>
      <w:r>
        <w:t xml:space="preserve">. Depoda karşılığı </w:t>
      </w:r>
      <w:r>
        <w:rPr>
          <w:rFonts w:ascii="Consolas" w:hAnsi="Consolas"/>
          <w:sz w:val="19"/>
        </w:rPr>
        <w:t>mahsup_sektor_evds.py</w:t>
      </w:r>
      <w:r>
        <w:t xml:space="preserve">, </w:t>
      </w:r>
      <w:r>
        <w:rPr>
          <w:rFonts w:ascii="Consolas" w:hAnsi="Consolas"/>
          <w:sz w:val="19"/>
        </w:rPr>
        <w:t>stok_silim.py</w:t>
      </w:r>
      <w:r>
        <w:t xml:space="preserve">, </w:t>
      </w:r>
      <w:r>
        <w:rPr>
          <w:rFonts w:ascii="Consolas" w:hAnsi="Consolas"/>
          <w:sz w:val="19"/>
        </w:rPr>
        <w:t>adim1_nace.py</w:t>
      </w:r>
      <w:r>
        <w:t xml:space="preserve">, </w:t>
      </w:r>
      <w:r>
        <w:rPr>
          <w:rFonts w:ascii="Consolas" w:hAnsi="Consolas"/>
          <w:sz w:val="19"/>
        </w:rPr>
        <w:t>rev_adim1.py</w:t>
      </w:r>
      <w:r>
        <w:t xml:space="preserve"> ve mahsuplasma </w:t>
      </w:r>
      <w:r>
        <w:rPr>
          <w:rFonts w:ascii="Consolas" w:hAnsi="Consolas"/>
          <w:sz w:val="19"/>
        </w:rPr>
        <w:t>optimal_mahsup</w:t>
      </w:r>
      <w:r>
        <w:t xml:space="preserve"> aşamasıdır (TEK_SISTEM.md:37; mahsup/README.md) </w:t>
      </w:r>
      <w:r>
        <w:rPr>
          <w:b/>
          <w:color w:val="0B6123"/>
          <w:sz w:val="18"/>
        </w:rPr>
        <w:t>[kanıt]</w:t>
      </w:r>
      <w:r>
        <w:t>.</w:t>
      </w:r>
    </w:p>
    <w:p>
      <w:pPr>
        <w:pStyle w:val="Heading2"/>
      </w:pPr>
      <w:r>
        <w:t>4.1 Başlangıç kıstası</w:t>
      </w:r>
    </w:p>
    <w:p>
      <w:pPr>
        <w:jc w:val="both"/>
      </w:pPr>
      <w:r>
        <w:rPr>
          <w:b/>
        </w:rPr>
        <w:t xml:space="preserve">(20) </w:t>
      </w:r>
      <w:r>
        <w:t>Adım 1, aşağıdaki koşulların tamamı fiilen sağlandığı ölçüde uygulanabilir sayılır. YAPILABILIRLIK.md:8 ve :21 adımın kararını “firma ağı yoğunluğu yüksek / merkezi takas” koşuluna bağlamıştır.</w:t>
      </w:r>
    </w:p>
    <w:p>
      <w:pPr>
        <w:keepNext/>
        <w:spacing w:after="40"/>
        <w:jc w:val="left"/>
      </w:pPr>
      <w:r>
        <w:rPr>
          <w:b/>
          <w:sz w:val="19"/>
        </w:rPr>
        <w:t>Tablo 4.1 — Adım 1 başlangıç kıstası</w:t>
      </w:r>
    </w:p>
    <w:tbl>
      <w:tblPr>
        <w:tblStyle w:val="TableGrid"/>
        <w:tblW w:type="auto" w:w="0"/>
        <w:jc w:val="center"/>
        <w:tblLayout w:type="fixed"/>
        <w:tblLook w:firstColumn="1" w:firstRow="1" w:lastColumn="0" w:lastRow="0" w:noHBand="0" w:noVBand="1" w:val="04A0"/>
      </w:tblPr>
      <w:tblGrid>
        <w:gridCol w:w="567"/>
        <w:gridCol w:w="2381"/>
        <w:gridCol w:w="2381"/>
        <w:gridCol w:w="1361"/>
        <w:gridCol w:w="2381"/>
      </w:tblGrid>
      <w:tr>
        <w:trPr>
          <w:tblHeader w:val="true"/>
        </w:trPr>
        <w:tc>
          <w:tcPr>
            <w:tcW w:type="dxa" w:w="567"/>
            <w:shd w:val="clear" w:color="auto" w:fill="D9E2F3"/>
          </w:tcPr>
          <w:p>
            <w:r/>
            <w:r>
              <w:rPr>
                <w:b/>
                <w:sz w:val="16"/>
              </w:rPr>
              <w:t>No</w:t>
            </w:r>
          </w:p>
        </w:tc>
        <w:tc>
          <w:tcPr>
            <w:tcW w:type="dxa" w:w="2381"/>
            <w:shd w:val="clear" w:color="auto" w:fill="D9E2F3"/>
          </w:tcPr>
          <w:p>
            <w:r/>
            <w:r>
              <w:rPr>
                <w:b/>
                <w:sz w:val="16"/>
              </w:rPr>
              <w:t>Kıstas</w:t>
            </w:r>
          </w:p>
        </w:tc>
        <w:tc>
          <w:tcPr>
            <w:tcW w:type="dxa" w:w="2381"/>
            <w:shd w:val="clear" w:color="auto" w:fill="D9E2F3"/>
          </w:tcPr>
          <w:p>
            <w:r/>
            <w:r>
              <w:rPr>
                <w:b/>
                <w:sz w:val="16"/>
              </w:rPr>
              <w:t>Nasıl doğrulanır</w:t>
            </w:r>
          </w:p>
        </w:tc>
        <w:tc>
          <w:tcPr>
            <w:tcW w:type="dxa" w:w="1361"/>
            <w:shd w:val="clear" w:color="auto" w:fill="D9E2F3"/>
          </w:tcPr>
          <w:p>
            <w:r/>
            <w:r>
              <w:rPr>
                <w:b/>
                <w:sz w:val="16"/>
              </w:rPr>
              <w:t>Bugünkü durum</w:t>
            </w:r>
          </w:p>
        </w:tc>
        <w:tc>
          <w:tcPr>
            <w:tcW w:type="dxa" w:w="2381"/>
            <w:shd w:val="clear" w:color="auto" w:fill="D9E2F3"/>
          </w:tcPr>
          <w:p>
            <w:r/>
            <w:r>
              <w:rPr>
                <w:b/>
                <w:sz w:val="16"/>
              </w:rPr>
              <w:t>Dayanak</w:t>
            </w:r>
          </w:p>
        </w:tc>
      </w:tr>
      <w:tr>
        <w:tc>
          <w:tcPr>
            <w:tcW w:type="dxa" w:w="567"/>
          </w:tcPr>
          <w:p>
            <w:pPr>
              <w:spacing w:after="20"/>
            </w:pPr>
            <w:r/>
            <w:r>
              <w:rPr>
                <w:sz w:val="16"/>
              </w:rPr>
              <w:t>1.a</w:t>
            </w:r>
          </w:p>
        </w:tc>
        <w:tc>
          <w:tcPr>
            <w:tcW w:type="dxa" w:w="2381"/>
          </w:tcPr>
          <w:p>
            <w:pPr>
              <w:spacing w:after="20"/>
            </w:pPr>
            <w:r/>
            <w:r>
              <w:rPr>
                <w:sz w:val="16"/>
              </w:rPr>
              <w:t>Firma düzeyi kimden-kime alacak/borç verisi (e-fatura eşleşmesi) erişilebilir</w:t>
            </w:r>
          </w:p>
        </w:tc>
        <w:tc>
          <w:tcPr>
            <w:tcW w:type="dxa" w:w="2381"/>
          </w:tcPr>
          <w:p>
            <w:pPr>
              <w:spacing w:after="20"/>
            </w:pPr>
            <w:r/>
            <w:r>
              <w:rPr>
                <w:sz w:val="16"/>
              </w:rPr>
              <w:t>GİB e-fatura kayıtlarından alacaklı–borçlu çiftleri; depo yalnız sektör düzeyi içerir</w:t>
            </w:r>
          </w:p>
        </w:tc>
        <w:tc>
          <w:tcPr>
            <w:tcW w:type="dxa" w:w="1361"/>
            <w:shd w:val="clear" w:color="auto" w:fill="FFF2CC"/>
          </w:tcPr>
          <w:p>
            <w:pPr>
              <w:spacing w:after="20"/>
            </w:pPr>
            <w:r/>
            <w:r>
              <w:rPr>
                <w:sz w:val="16"/>
              </w:rPr>
              <w:t>ölçülemedi</w:t>
            </w:r>
          </w:p>
        </w:tc>
        <w:tc>
          <w:tcPr>
            <w:tcW w:type="dxa" w:w="2381"/>
          </w:tcPr>
          <w:p>
            <w:pPr>
              <w:spacing w:after="20"/>
            </w:pPr>
            <w:r/>
            <w:r>
              <w:rPr>
                <w:sz w:val="16"/>
              </w:rPr>
              <w:t>ADIM1_NACE.md “Ne denmez”; mahsup/README.md sınır 5</w:t>
            </w:r>
          </w:p>
        </w:tc>
      </w:tr>
      <w:tr>
        <w:tc>
          <w:tcPr>
            <w:tcW w:type="dxa" w:w="567"/>
          </w:tcPr>
          <w:p>
            <w:pPr>
              <w:spacing w:after="20"/>
            </w:pPr>
            <w:r/>
            <w:r>
              <w:rPr>
                <w:sz w:val="16"/>
              </w:rPr>
              <w:t>1.b</w:t>
            </w:r>
          </w:p>
        </w:tc>
        <w:tc>
          <w:tcPr>
            <w:tcW w:type="dxa" w:w="2381"/>
          </w:tcPr>
          <w:p>
            <w:pPr>
              <w:spacing w:after="20"/>
            </w:pPr>
            <w:r/>
            <w:r>
              <w:rPr>
                <w:sz w:val="16"/>
              </w:rPr>
              <w:t>Firma ağı yoğun (yoğunluk ≥ 0,75 bandında netleşme medyanı 0,896)</w:t>
            </w:r>
          </w:p>
        </w:tc>
        <w:tc>
          <w:tcPr>
            <w:tcW w:type="dxa" w:w="2381"/>
          </w:tcPr>
          <w:p>
            <w:pPr>
              <w:spacing w:after="20"/>
            </w:pPr>
            <w:r/>
            <w:r>
              <w:rPr>
                <w:sz w:val="16"/>
              </w:rPr>
              <w:t>E-fatura ağı üzerinde kenar yoğunluğu ölçümü</w:t>
            </w:r>
          </w:p>
        </w:tc>
        <w:tc>
          <w:tcPr>
            <w:tcW w:type="dxa" w:w="1361"/>
            <w:shd w:val="clear" w:color="auto" w:fill="FFF2CC"/>
          </w:tcPr>
          <w:p>
            <w:pPr>
              <w:spacing w:after="20"/>
            </w:pPr>
            <w:r/>
            <w:r>
              <w:rPr>
                <w:sz w:val="16"/>
              </w:rPr>
              <w:t>ölçülemedi</w:t>
            </w:r>
          </w:p>
        </w:tc>
        <w:tc>
          <w:tcPr>
            <w:tcW w:type="dxa" w:w="2381"/>
          </w:tcPr>
          <w:p>
            <w:pPr>
              <w:spacing w:after="20"/>
            </w:pPr>
            <w:r/>
            <w:r>
              <w:rPr>
                <w:sz w:val="16"/>
              </w:rPr>
              <w:t>ADIM1_NACE.md (e); rev_adim1_sonuc.json</w:t>
            </w:r>
          </w:p>
        </w:tc>
      </w:tr>
      <w:tr>
        <w:tc>
          <w:tcPr>
            <w:tcW w:type="dxa" w:w="567"/>
          </w:tcPr>
          <w:p>
            <w:pPr>
              <w:spacing w:after="20"/>
            </w:pPr>
            <w:r/>
            <w:r>
              <w:rPr>
                <w:sz w:val="16"/>
              </w:rPr>
              <w:t>1.c</w:t>
            </w:r>
          </w:p>
        </w:tc>
        <w:tc>
          <w:tcPr>
            <w:tcW w:type="dxa" w:w="2381"/>
          </w:tcPr>
          <w:p>
            <w:pPr>
              <w:spacing w:after="20"/>
            </w:pPr>
            <w:r/>
            <w:r>
              <w:rPr>
                <w:sz w:val="16"/>
              </w:rPr>
              <w:t>Ulusal ölçekte merkezi takas kurumu (ya da işletici) mevcut</w:t>
            </w:r>
          </w:p>
        </w:tc>
        <w:tc>
          <w:tcPr>
            <w:tcW w:type="dxa" w:w="2381"/>
          </w:tcPr>
          <w:p>
            <w:pPr>
              <w:spacing w:after="20"/>
            </w:pPr>
            <w:r/>
            <w:r>
              <w:rPr>
                <w:sz w:val="16"/>
              </w:rPr>
              <w:t>Kurumsal kayıt; yasal dayanak</w:t>
            </w:r>
          </w:p>
        </w:tc>
        <w:tc>
          <w:tcPr>
            <w:tcW w:type="dxa" w:w="1361"/>
            <w:shd w:val="clear" w:color="auto" w:fill="F8CBAD"/>
          </w:tcPr>
          <w:p>
            <w:pPr>
              <w:spacing w:after="20"/>
            </w:pPr>
            <w:r/>
            <w:r>
              <w:rPr>
                <w:sz w:val="16"/>
              </w:rPr>
              <w:t>sağlanmıyor</w:t>
            </w:r>
          </w:p>
        </w:tc>
        <w:tc>
          <w:tcPr>
            <w:tcW w:type="dxa" w:w="2381"/>
          </w:tcPr>
          <w:p>
            <w:pPr>
              <w:spacing w:after="20"/>
            </w:pPr>
            <w:r/>
            <w:r>
              <w:rPr>
                <w:sz w:val="16"/>
              </w:rPr>
              <w:t>TEK_SISTEM.md:21; VAYSIS_INCELEME.md (tek Türk karşılığı; PitchBook “Out of Business”, 29.07.2025)</w:t>
            </w:r>
          </w:p>
        </w:tc>
      </w:tr>
      <w:tr>
        <w:tc>
          <w:tcPr>
            <w:tcW w:type="dxa" w:w="567"/>
          </w:tcPr>
          <w:p>
            <w:pPr>
              <w:spacing w:after="20"/>
            </w:pPr>
            <w:r/>
            <w:r>
              <w:rPr>
                <w:sz w:val="16"/>
              </w:rPr>
              <w:t>1.d</w:t>
            </w:r>
          </w:p>
        </w:tc>
        <w:tc>
          <w:tcPr>
            <w:tcW w:type="dxa" w:w="2381"/>
          </w:tcPr>
          <w:p>
            <w:pPr>
              <w:spacing w:after="20"/>
            </w:pPr>
            <w:r/>
            <w:r>
              <w:rPr>
                <w:sz w:val="16"/>
              </w:rPr>
              <w:t>Kapsam yalnız lira, vadesi gelmiş ihtilafsız borç</w:t>
            </w:r>
          </w:p>
        </w:tc>
        <w:tc>
          <w:tcPr>
            <w:tcW w:type="dxa" w:w="2381"/>
          </w:tcPr>
          <w:p>
            <w:pPr>
              <w:spacing w:after="20"/>
            </w:pPr>
            <w:r/>
            <w:r>
              <w:rPr>
                <w:sz w:val="16"/>
              </w:rPr>
              <w:t>Tasarım kuralı; uluslararası örneklerle uyum</w:t>
            </w:r>
          </w:p>
        </w:tc>
        <w:tc>
          <w:tcPr>
            <w:tcW w:type="dxa" w:w="1361"/>
            <w:shd w:val="clear" w:color="auto" w:fill="FFF2CC"/>
          </w:tcPr>
          <w:p>
            <w:pPr>
              <w:spacing w:after="20"/>
            </w:pPr>
            <w:r/>
            <w:r>
              <w:rPr>
                <w:sz w:val="16"/>
              </w:rPr>
              <w:t>ölçülemedi (tasarım kararı)</w:t>
            </w:r>
          </w:p>
        </w:tc>
        <w:tc>
          <w:tcPr>
            <w:tcW w:type="dxa" w:w="2381"/>
          </w:tcPr>
          <w:p>
            <w:pPr>
              <w:spacing w:after="20"/>
            </w:pPr>
            <w:r/>
            <w:r>
              <w:rPr>
                <w:sz w:val="16"/>
              </w:rPr>
              <w:t>RAPOR.md:21; ULUSLARARASI_UYGULAMALAR.md</w:t>
            </w:r>
          </w:p>
        </w:tc>
      </w:tr>
      <w:tr>
        <w:tc>
          <w:tcPr>
            <w:tcW w:type="dxa" w:w="567"/>
          </w:tcPr>
          <w:p>
            <w:pPr>
              <w:spacing w:after="20"/>
            </w:pPr>
            <w:r/>
            <w:r>
              <w:rPr>
                <w:sz w:val="16"/>
              </w:rPr>
              <w:t>1.e</w:t>
            </w:r>
          </w:p>
        </w:tc>
        <w:tc>
          <w:tcPr>
            <w:tcW w:type="dxa" w:w="2381"/>
          </w:tcPr>
          <w:p>
            <w:pPr>
              <w:spacing w:after="20"/>
            </w:pPr>
            <w:r/>
            <w:r>
              <w:rPr>
                <w:sz w:val="16"/>
              </w:rPr>
              <w:t>Tekrarlı mahsupta ahlaki tehlikeyi sınırlayan kural</w:t>
            </w:r>
          </w:p>
        </w:tc>
        <w:tc>
          <w:tcPr>
            <w:tcW w:type="dxa" w:w="2381"/>
          </w:tcPr>
          <w:p>
            <w:pPr>
              <w:spacing w:after="20"/>
            </w:pPr>
            <w:r/>
            <w:r>
              <w:rPr>
                <w:sz w:val="16"/>
              </w:rPr>
              <w:t>Uygulama takvimi ve yaptırım; modellenmedi</w:t>
            </w:r>
          </w:p>
        </w:tc>
        <w:tc>
          <w:tcPr>
            <w:tcW w:type="dxa" w:w="1361"/>
            <w:shd w:val="clear" w:color="auto" w:fill="FFF2CC"/>
          </w:tcPr>
          <w:p>
            <w:pPr>
              <w:spacing w:after="20"/>
            </w:pPr>
            <w:r/>
            <w:r>
              <w:rPr>
                <w:sz w:val="16"/>
              </w:rPr>
              <w:t>ölçülemedi</w:t>
            </w:r>
          </w:p>
        </w:tc>
        <w:tc>
          <w:tcPr>
            <w:tcW w:type="dxa" w:w="2381"/>
          </w:tcPr>
          <w:p>
            <w:pPr>
              <w:spacing w:after="20"/>
            </w:pPr>
            <w:r/>
            <w:r>
              <w:rPr>
                <w:sz w:val="16"/>
              </w:rPr>
              <w:t>mahsup/README.md sınır 6 (Rusya 1992)</w:t>
            </w:r>
          </w:p>
        </w:tc>
      </w:tr>
    </w:tbl>
    <w:p>
      <w:pPr>
        <w:spacing w:after="40"/>
      </w:pPr>
    </w:p>
    <w:p>
      <w:pPr>
        <w:jc w:val="both"/>
      </w:pPr>
      <w:r>
        <w:rPr>
          <w:b/>
        </w:rPr>
        <w:t xml:space="preserve">(21) </w:t>
      </w:r>
      <w:r>
        <w:rPr>
          <w:b/>
        </w:rPr>
        <w:t>Kıstas hükmü:</w:t>
      </w:r>
      <w:r>
        <w:t xml:space="preserve"> Kıstas bugün </w:t>
      </w:r>
      <w:r>
        <w:rPr>
          <w:b/>
        </w:rPr>
        <w:t>sağlanmamaktadır</w:t>
      </w:r>
      <w:r>
        <w:t xml:space="preserve">. Ulusal ölçekte merkezi takas kurumu bulunmamaktadır (1.c; depo, Adım 1’in tek Türk karşılığı olarak faaliyet dışı kaydı bulunan özel bir platformu kaydetmektedir; “ulusal işletici yok” hükmü bu kayıttan çıkarımdır </w:t>
      </w:r>
      <w:r>
        <w:rPr>
          <w:b/>
          <w:color w:val="A05200"/>
          <w:sz w:val="18"/>
        </w:rPr>
        <w:t>[aday]</w:t>
      </w:r>
      <w:r>
        <w:t xml:space="preserve">); ağ yoğunluğu ve firma düzeyi eşleşme ölçülemediği için (1.a, 1.b) adımın gerçek netleşme oranı 0,12 ile 0,91 arasında herhangi bir yerde olabilir (YAPILABILIRLIK.md:8) </w:t>
      </w:r>
      <w:r>
        <w:rPr>
          <w:b/>
          <w:color w:val="A05200"/>
          <w:sz w:val="18"/>
        </w:rPr>
        <w:t>[aday]</w:t>
      </w:r>
      <w:r>
        <w:t>.</w:t>
      </w:r>
    </w:p>
    <w:p>
      <w:pPr>
        <w:pStyle w:val="Heading2"/>
      </w:pPr>
      <w:r>
        <w:t>4.2 Gerekçe</w:t>
      </w:r>
    </w:p>
    <w:p>
      <w:pPr>
        <w:jc w:val="both"/>
      </w:pPr>
      <w:r>
        <w:rPr>
          <w:b/>
        </w:rPr>
        <w:t xml:space="preserve">(22) </w:t>
      </w:r>
      <w:r>
        <w:t xml:space="preserve">Teşhis bölümünde gösterildiği üzere, temerrütlerin büyük kısmı kilitli firmalardan oluşmaktadır. Kilit, sıranın sonucudur; sıranın düzeltilmesi için tüm tarafların alacak ve borçlarının aynı anda görülmesi gerekir. E-fatura, bu görünürlüğü sağlayabilecek mevcut kayıt altyapısıdır (RAPOR.md:21) </w:t>
      </w:r>
      <w:r>
        <w:rPr>
          <w:b/>
          <w:color w:val="0B6123"/>
          <w:sz w:val="18"/>
        </w:rPr>
        <w:t>[kanıt, metin]</w:t>
      </w:r>
      <w:r>
        <w:t xml:space="preserve">. Uluslararası kayıtta Slovenya (ePobot/AJPES, 2011’den beri zorunlu), Republika Srpska (MLK, 2015) ve Romanya (SIC, 1999’dan beri sürekli) aynı aracı ulusal ölçekte işletmektedir (ULUSLARARASI_UYGULAMALAR.md, Tablo 1) </w:t>
      </w:r>
      <w:r>
        <w:rPr>
          <w:b/>
          <w:color w:val="0B6123"/>
          <w:sz w:val="18"/>
        </w:rPr>
        <w:t>[kanıt, ikincil kaynak]</w:t>
      </w:r>
      <w:r>
        <w:t>.</w:t>
      </w:r>
    </w:p>
    <w:p>
      <w:pPr>
        <w:pStyle w:val="Heading2"/>
      </w:pPr>
      <w:r>
        <w:t>4.3 Mekanizma</w:t>
      </w:r>
    </w:p>
    <w:p>
      <w:pPr>
        <w:jc w:val="both"/>
      </w:pPr>
      <w:r>
        <w:rPr>
          <w:b/>
        </w:rPr>
        <w:t xml:space="preserve">(23) </w:t>
      </w:r>
      <w:r>
        <w:t xml:space="preserve">Her firmanın net pozisyonu sabit tutularak, mevcut ticari kenarlar üzerinde toplam brüt borcu en aza indiren minimum maliyetli akış problemi çözülür (Fleischman, Dini &amp; Littera 2020; mahsup/README.md “Teknik çekirdek”) </w:t>
      </w:r>
      <w:r>
        <w:rPr>
          <w:b/>
          <w:color w:val="0B6123"/>
          <w:sz w:val="18"/>
        </w:rPr>
        <w:t>[kanıt, yöntem]</w:t>
      </w:r>
      <w:r>
        <w:t xml:space="preserve">. Mahsup net pozisyonu korur; holdingin net borcu yerinde kalır (mahsup/README.md sınır 1) </w:t>
      </w:r>
      <w:r>
        <w:rPr>
          <w:b/>
          <w:color w:val="0B6123"/>
          <w:sz w:val="18"/>
        </w:rPr>
        <w:t>[kanıt]</w:t>
      </w:r>
      <w:r>
        <w:t xml:space="preserve">. F.4 stokunda doğrudan düşüş yoktur; etki, zinciri çeviren yeni kredi itişinin frenlenmesidir (TEK_SISTEM_KADEME.md) </w:t>
      </w:r>
      <w:r>
        <w:rPr>
          <w:b/>
          <w:color w:val="0B6123"/>
          <w:sz w:val="18"/>
        </w:rPr>
        <w:t>[kanıt, kural]</w:t>
      </w:r>
      <w:r>
        <w:t>.</w:t>
      </w:r>
    </w:p>
    <w:p>
      <w:pPr>
        <w:pStyle w:val="Heading2"/>
      </w:pPr>
      <w:r>
        <w:t>4.4 Doğurduğu sonuç</w:t>
      </w:r>
    </w:p>
    <w:p>
      <w:pPr>
        <w:jc w:val="both"/>
      </w:pPr>
      <w:r>
        <w:rPr>
          <w:b/>
        </w:rPr>
        <w:t xml:space="preserve">(24) </w:t>
      </w:r>
      <w:r>
        <w:t xml:space="preserve">Tam ağda mahsup köprü ihtiyacını 8.956,38’den 46,77 milyar TL’ye, temerrüdü 16’dan 3’e indirmektedir (Ek D) </w:t>
      </w:r>
      <w:r>
        <w:rPr>
          <w:b/>
          <w:color w:val="0B6123"/>
          <w:sz w:val="18"/>
        </w:rPr>
        <w:t>[kanıt, yerel koşu]</w:t>
      </w:r>
      <w:r>
        <w:t xml:space="preserve">. Ölçülmüş düğümlü ağda silinen 14.602,3 milyar TL’dir (%88,5; ADIM2_NACE_AG.md) </w:t>
      </w:r>
      <w:r>
        <w:rPr>
          <w:b/>
          <w:color w:val="0B6123"/>
          <w:sz w:val="18"/>
        </w:rPr>
        <w:t>[kanıt; kenarlar aday]</w:t>
      </w:r>
      <w:r>
        <w:t xml:space="preserve">. Seyrek ağda (yoğunluk 0,25) netleşme medyanı 0,265’e düşer; 2026-Q1 stoğuna taşındığında tam graf bandı 26.556,5–36.945,9, seyrek alt uç 4.939,2 milyar TL’dir (rev_adim1_sonuc.json) </w:t>
      </w:r>
      <w:r>
        <w:rPr>
          <w:b/>
          <w:color w:val="A05200"/>
          <w:sz w:val="18"/>
        </w:rPr>
        <w:t>[aday, oran taşıma]</w:t>
      </w:r>
      <w:r>
        <w:t>.</w:t>
      </w:r>
    </w:p>
    <w:p>
      <w:pPr>
        <w:jc w:val="both"/>
      </w:pPr>
      <w:r>
        <w:rPr>
          <w:b/>
        </w:rPr>
        <w:t xml:space="preserve">(25) </w:t>
      </w:r>
      <w:r>
        <w:t xml:space="preserve">Kademe takviminde K1 penceresi 2027-Q1–2027-Q4’tür; K1’in 2027-Q4 itiş azaltımı 2.029,6 milyar TL/yıl ve F.4 etkin farkı 1.268,4 milyar TL olarak hesaplanmıştır (TEK_SISTEM_KADEME.md) </w:t>
      </w:r>
      <w:r>
        <w:rPr>
          <w:b/>
          <w:color w:val="A05200"/>
          <w:sz w:val="18"/>
        </w:rPr>
        <w:t>[aday, senaryo takvimi; katman sonucu taşınmaz]</w:t>
      </w:r>
      <w:r>
        <w:t>.</w:t>
      </w:r>
    </w:p>
    <w:p>
      <w:pPr>
        <w:pStyle w:val="Heading2"/>
      </w:pPr>
      <w:r>
        <w:t>4.5 Maliyet</w:t>
      </w:r>
    </w:p>
    <w:p>
      <w:pPr>
        <w:jc w:val="both"/>
      </w:pPr>
      <w:r>
        <w:rPr>
          <w:b/>
        </w:rPr>
        <w:t xml:space="preserve">(26) </w:t>
      </w:r>
      <w:r>
        <w:t xml:space="preserve">Yürütme maliyeti (tespit + tahsil + idari), ortak stok 20.363,4 milyar TL’ye yalnız alt ρ = %0,4 uygulanarak </w:t>
      </w:r>
      <w:r>
        <w:rPr>
          <w:b/>
        </w:rPr>
        <w:t>81,5 milyar TL tek seferlik üst sınır</w:t>
      </w:r>
      <w:r>
        <w:t xml:space="preserve"> olarak hesaplanmıştır; ρ ≥ %9 gerçekçi olmayan tutar verdiği için uygulanmamıştır (BES_ADIM_MALIYET.md, Adım 1) </w:t>
      </w:r>
      <w:r>
        <w:rPr>
          <w:b/>
          <w:color w:val="A05200"/>
          <w:sz w:val="18"/>
        </w:rPr>
        <w:t>[aday, ρ bandı]</w:t>
      </w:r>
      <w:r>
        <w:t xml:space="preserve">. Bu, 2029 varsayım GSYH’sinin (141.198,5) %0,058’idir </w:t>
      </w:r>
      <w:r>
        <w:rPr>
          <w:b/>
          <w:color w:val="1F3A8F"/>
          <w:sz w:val="18"/>
        </w:rPr>
        <w:t>[türetilmiş; payda aday]</w:t>
      </w:r>
      <w:r>
        <w:t xml:space="preserve">. Adım 1’in kendine ait bir program maliyeti satırı yoktur (“maliyet: yok”) </w:t>
      </w:r>
      <w:r>
        <w:rPr>
          <w:b/>
          <w:color w:val="0B6123"/>
          <w:sz w:val="18"/>
        </w:rPr>
        <w:t>[kanıt]</w:t>
      </w:r>
      <w:r>
        <w:t>.</w:t>
      </w:r>
    </w:p>
    <w:p>
      <w:pPr>
        <w:pStyle w:val="Heading2"/>
      </w:pPr>
      <w:r>
        <w:t>4.6 Fayda</w:t>
      </w:r>
    </w:p>
    <w:p>
      <w:pPr>
        <w:jc w:val="both"/>
      </w:pPr>
      <w:r>
        <w:rPr>
          <w:b/>
        </w:rPr>
        <w:t xml:space="preserve">(27) </w:t>
      </w:r>
      <w:r>
        <w:t xml:space="preserve">Kilitli firmaların temerrütten çıkması, kredisiz açığın büyük ölçüde kapanması ve ara halkanın konkordato zincirinden çıkması (RAPOR.md:11, :29) </w:t>
      </w:r>
      <w:r>
        <w:rPr>
          <w:b/>
          <w:color w:val="0B6123"/>
          <w:sz w:val="18"/>
        </w:rPr>
        <w:t>[kanıt, metin; etkinin büyüklüğü aday]</w:t>
      </w:r>
      <w:r>
        <w:t xml:space="preserve">. Enflasyon üzerindeki doğrudan etki küçüktür: “tavan kabaca birkaç puandır”; akışın tamamı döngü olsa kredi itişi milli gelirin %8,3’ü kadar kalkar, fiyata üçte biri geçse yaklaşık 2,5 puan (RAPOR.md:39) </w:t>
      </w:r>
      <w:r>
        <w:rPr>
          <w:b/>
          <w:color w:val="A05200"/>
          <w:sz w:val="18"/>
        </w:rPr>
        <w:t>[aday, üst sınır]</w:t>
      </w:r>
      <w:r>
        <w:t>.</w:t>
      </w:r>
    </w:p>
    <w:p>
      <w:pPr>
        <w:pStyle w:val="Heading2"/>
      </w:pPr>
      <w:r>
        <w:t>4.7 Amaç</w:t>
      </w:r>
    </w:p>
    <w:p>
      <w:pPr>
        <w:jc w:val="both"/>
      </w:pPr>
      <w:r>
        <w:rPr>
          <w:b/>
        </w:rPr>
        <w:t xml:space="preserve">(28) </w:t>
      </w:r>
      <w:r>
        <w:t>Ödeme gücü olan firmaların sıra nedeniyle temerrüde düşmesini önlemek; kilitli ile batığı ayırarak kamu kaynağının yalnız gerçek zarar için kullanılmasını sağlamak; zinciri çeviren yeni banka kredisini azaltmak.</w:t>
      </w:r>
    </w:p>
    <w:tbl>
      <w:tblPr>
        <w:tblStyle w:val="TableGrid"/>
        <w:tblW w:type="auto" w:w="0"/>
        <w:tblLook w:firstColumn="1" w:firstRow="1" w:lastColumn="0" w:lastRow="0" w:noHBand="0" w:noVBand="1" w:val="04A0"/>
      </w:tblPr>
      <w:tblGrid>
        <w:gridCol w:w="9242"/>
      </w:tblGrid>
      <w:tr>
        <w:tc>
          <w:tcPr>
            <w:tcW w:type="dxa" w:w="9241"/>
            <w:shd w:val="clear" w:color="auto" w:fill="E2EFDA"/>
          </w:tcPr>
          <w:p>
            <w:r/>
            <w:r>
              <w:rPr>
                <w:b/>
                <w:sz w:val="20"/>
              </w:rPr>
              <w:t>Adım 1 bulgu hükmü</w:t>
            </w:r>
          </w:p>
          <w:p>
            <w:pPr>
              <w:spacing w:after="40"/>
              <w:jc w:val="both"/>
            </w:pPr>
            <w:r>
              <w:rPr>
                <w:b/>
                <w:sz w:val="19"/>
              </w:rPr>
              <w:t>Koşullu yapılabilir; kıstas bugün sağlanmıyor.</w:t>
            </w:r>
            <w:r>
              <w:rPr>
                <w:sz w:val="19"/>
              </w:rPr>
              <w:t xml:space="preserve"> Adım, Adım 2–5’ten bağımsız olarak tek başına uygulanabilecek tek adımdır ve teşhise doğrudan dokunur. Önce 1.a ve 1.b’nin GİB e-fatura verisiyle ölçülmesi, ardından 1.c için kurumsal işletici belirlenmesi gerekmektedir. CIMER_METNI.md §12’deki “kimden-kime verisiyle gerçek tutarın hesaplanması” ve “gönüllü küçük örneklemde pilot” talepleri, kıstasın doğrulanma yoludur.</w:t>
            </w:r>
          </w:p>
        </w:tc>
      </w:tr>
    </w:tbl>
    <w:p>
      <w:pPr>
        <w:spacing w:after="40"/>
      </w:pPr>
    </w:p>
    <w:p>
      <w:r>
        <w:br w:type="page"/>
      </w:r>
    </w:p>
    <w:p>
      <w:pPr>
        <w:pStyle w:val="Heading1"/>
      </w:pPr>
      <w:r>
        <w:t>5. Adım 2 — Kalan Net Borcun Akışla Ödenmesi (Ağ/Likidite)</w:t>
      </w:r>
    </w:p>
    <w:p>
      <w:pPr>
        <w:jc w:val="both"/>
      </w:pPr>
      <w:r>
        <w:rPr>
          <w:b/>
        </w:rPr>
        <w:t xml:space="preserve">(29) </w:t>
      </w:r>
      <w:r>
        <w:t xml:space="preserve">Tanım: “Kalan net borç silinmez. Üst halkadan alta bir akış planıyla ödenir. Ödenmeyen kısım ücret borcu olarak yazılır.” (RAPOR.md:22) </w:t>
      </w:r>
      <w:r>
        <w:rPr>
          <w:b/>
          <w:color w:val="0B6123"/>
          <w:sz w:val="18"/>
        </w:rPr>
        <w:t>[kanıt, metin]</w:t>
      </w:r>
      <w:r>
        <w:t xml:space="preserve">. Modelde karşılığı </w:t>
      </w:r>
      <w:r>
        <w:rPr>
          <w:rFonts w:ascii="Consolas" w:hAnsi="Consolas"/>
          <w:sz w:val="19"/>
        </w:rPr>
        <w:t>sirali_odeme</w:t>
      </w:r>
      <w:r>
        <w:t xml:space="preserve"> + şart kaldıracıdır (mahsup/README.md aşama 3–4); depo kararında “Ağ/likidite” satırıdır (YAPILABILIRLIK.md:9) </w:t>
      </w:r>
      <w:r>
        <w:rPr>
          <w:b/>
          <w:color w:val="0B6123"/>
          <w:sz w:val="18"/>
        </w:rPr>
        <w:t>[kanıt]</w:t>
      </w:r>
      <w:r>
        <w:t>.</w:t>
      </w:r>
    </w:p>
    <w:p>
      <w:pPr>
        <w:pStyle w:val="Heading2"/>
      </w:pPr>
      <w:r>
        <w:t>5.1 Başlangıç kıstası</w:t>
      </w:r>
    </w:p>
    <w:p>
      <w:pPr>
        <w:jc w:val="both"/>
      </w:pPr>
      <w:r>
        <w:rPr>
          <w:b/>
        </w:rPr>
        <w:t xml:space="preserve">(30) </w:t>
      </w:r>
      <w:r>
        <w:t xml:space="preserve">YAPILABILIRLIK.md:22 Adım 2 için üç koşulun </w:t>
      </w:r>
      <w:r>
        <w:rPr>
          <w:b/>
        </w:rPr>
        <w:t>birlikte</w:t>
      </w:r>
      <w:r>
        <w:t xml:space="preserve"> sağlanmasını aramaktadır. Bu belgede, Adım 2’nin Adım 1 mahsubuna bağımlılığı dördüncü kıstas olarak açıkça yazılmıştır.</w:t>
      </w:r>
    </w:p>
    <w:p>
      <w:pPr>
        <w:keepNext/>
        <w:spacing w:after="40"/>
        <w:jc w:val="left"/>
      </w:pPr>
      <w:r>
        <w:rPr>
          <w:b/>
          <w:sz w:val="19"/>
        </w:rPr>
        <w:t>Tablo 5.1 — Adım 2 başlangıç kıstası</w:t>
      </w:r>
    </w:p>
    <w:tbl>
      <w:tblPr>
        <w:tblStyle w:val="TableGrid"/>
        <w:tblW w:type="auto" w:w="0"/>
        <w:jc w:val="center"/>
        <w:tblLayout w:type="fixed"/>
        <w:tblLook w:firstColumn="1" w:firstRow="1" w:lastColumn="0" w:lastRow="0" w:noHBand="0" w:noVBand="1" w:val="04A0"/>
      </w:tblPr>
      <w:tblGrid>
        <w:gridCol w:w="567"/>
        <w:gridCol w:w="2268"/>
        <w:gridCol w:w="2154"/>
        <w:gridCol w:w="1361"/>
        <w:gridCol w:w="2721"/>
      </w:tblGrid>
      <w:tr>
        <w:trPr>
          <w:tblHeader w:val="true"/>
        </w:trPr>
        <w:tc>
          <w:tcPr>
            <w:tcW w:type="dxa" w:w="567"/>
            <w:shd w:val="clear" w:color="auto" w:fill="D9E2F3"/>
          </w:tcPr>
          <w:p>
            <w:r/>
            <w:r>
              <w:rPr>
                <w:b/>
                <w:sz w:val="16"/>
              </w:rPr>
              <w:t>No</w:t>
            </w:r>
          </w:p>
        </w:tc>
        <w:tc>
          <w:tcPr>
            <w:tcW w:type="dxa" w:w="2268"/>
            <w:shd w:val="clear" w:color="auto" w:fill="D9E2F3"/>
          </w:tcPr>
          <w:p>
            <w:r/>
            <w:r>
              <w:rPr>
                <w:b/>
                <w:sz w:val="16"/>
              </w:rPr>
              <w:t>Kıstas</w:t>
            </w:r>
          </w:p>
        </w:tc>
        <w:tc>
          <w:tcPr>
            <w:tcW w:type="dxa" w:w="2154"/>
            <w:shd w:val="clear" w:color="auto" w:fill="D9E2F3"/>
          </w:tcPr>
          <w:p>
            <w:r/>
            <w:r>
              <w:rPr>
                <w:b/>
                <w:sz w:val="16"/>
              </w:rPr>
              <w:t>Nasıl doğrulanır</w:t>
            </w:r>
          </w:p>
        </w:tc>
        <w:tc>
          <w:tcPr>
            <w:tcW w:type="dxa" w:w="1361"/>
            <w:shd w:val="clear" w:color="auto" w:fill="D9E2F3"/>
          </w:tcPr>
          <w:p>
            <w:r/>
            <w:r>
              <w:rPr>
                <w:b/>
                <w:sz w:val="16"/>
              </w:rPr>
              <w:t>Bugünkü durum</w:t>
            </w:r>
          </w:p>
        </w:tc>
        <w:tc>
          <w:tcPr>
            <w:tcW w:type="dxa" w:w="2721"/>
            <w:shd w:val="clear" w:color="auto" w:fill="D9E2F3"/>
          </w:tcPr>
          <w:p>
            <w:r/>
            <w:r>
              <w:rPr>
                <w:b/>
                <w:sz w:val="16"/>
              </w:rPr>
              <w:t>Dayanak</w:t>
            </w:r>
          </w:p>
        </w:tc>
      </w:tr>
      <w:tr>
        <w:tc>
          <w:tcPr>
            <w:tcW w:type="dxa" w:w="567"/>
          </w:tcPr>
          <w:p>
            <w:pPr>
              <w:spacing w:after="20"/>
            </w:pPr>
            <w:r/>
            <w:r>
              <w:rPr>
                <w:sz w:val="16"/>
              </w:rPr>
              <w:t>2.a</w:t>
            </w:r>
          </w:p>
        </w:tc>
        <w:tc>
          <w:tcPr>
            <w:tcW w:type="dxa" w:w="2268"/>
          </w:tcPr>
          <w:p>
            <w:pPr>
              <w:spacing w:after="20"/>
            </w:pPr>
            <w:r/>
            <w:r>
              <w:rPr>
                <w:sz w:val="16"/>
              </w:rPr>
              <w:t>YP maruziyeti korunmuş ya da kurla değerlenen yükümlülük karşılanmış</w:t>
            </w:r>
          </w:p>
        </w:tc>
        <w:tc>
          <w:tcPr>
            <w:tcW w:type="dxa" w:w="2154"/>
          </w:tcPr>
          <w:p>
            <w:pPr>
              <w:spacing w:after="20"/>
            </w:pPr>
            <w:r/>
            <w:r>
              <w:rPr>
                <w:sz w:val="16"/>
              </w:rPr>
              <w:t>fx_maruziyet.csv; banka kalanı ve köprünün sıfırlanması</w:t>
            </w:r>
          </w:p>
        </w:tc>
        <w:tc>
          <w:tcPr>
            <w:tcW w:type="dxa" w:w="1361"/>
            <w:shd w:val="clear" w:color="auto" w:fill="F8CBAD"/>
          </w:tcPr>
          <w:p>
            <w:pPr>
              <w:spacing w:after="20"/>
            </w:pPr>
            <w:r/>
            <w:r>
              <w:rPr>
                <w:sz w:val="16"/>
              </w:rPr>
              <w:t>sağlanmıyor</w:t>
            </w:r>
          </w:p>
        </w:tc>
        <w:tc>
          <w:tcPr>
            <w:tcW w:type="dxa" w:w="2721"/>
          </w:tcPr>
          <w:p>
            <w:pPr>
              <w:spacing w:after="20"/>
            </w:pPr>
            <w:r/>
            <w:r>
              <w:rPr>
                <w:sz w:val="16"/>
              </w:rPr>
              <w:t xml:space="preserve">fx_durdur_sonuc.json </w:t>
            </w:r>
            <w:r>
              <w:rPr>
                <w:rFonts w:ascii="Consolas" w:hAnsi="Consolas"/>
                <w:sz w:val="19"/>
              </w:rPr>
              <w:t>yp_maruziyeti_korunmus: false</w:t>
            </w:r>
            <w:r>
              <w:rPr>
                <w:sz w:val="16"/>
              </w:rPr>
              <w:t xml:space="preserve">, </w:t>
            </w:r>
            <w:r>
              <w:rPr>
                <w:rFonts w:ascii="Consolas" w:hAnsi="Consolas"/>
                <w:sz w:val="19"/>
              </w:rPr>
              <w:t>kur_yukumluluk_karsilanmis: false</w:t>
            </w:r>
            <w:r>
              <w:rPr>
                <w:sz w:val="16"/>
              </w:rPr>
              <w:t>; banka kalanı 336,58, köprü 443,87</w:t>
            </w:r>
          </w:p>
        </w:tc>
      </w:tr>
      <w:tr>
        <w:tc>
          <w:tcPr>
            <w:tcW w:type="dxa" w:w="567"/>
          </w:tcPr>
          <w:p>
            <w:pPr>
              <w:spacing w:after="20"/>
            </w:pPr>
            <w:r/>
            <w:r>
              <w:rPr>
                <w:sz w:val="16"/>
              </w:rPr>
              <w:t>2.b</w:t>
            </w:r>
          </w:p>
        </w:tc>
        <w:tc>
          <w:tcPr>
            <w:tcW w:type="dxa" w:w="2268"/>
          </w:tcPr>
          <w:p>
            <w:pPr>
              <w:spacing w:after="20"/>
            </w:pPr>
            <w:r/>
            <w:r>
              <w:rPr>
                <w:sz w:val="16"/>
              </w:rPr>
              <w:t>Firma ağı yoğun ya da merkezi takas var</w:t>
            </w:r>
          </w:p>
        </w:tc>
        <w:tc>
          <w:tcPr>
            <w:tcW w:type="dxa" w:w="2154"/>
          </w:tcPr>
          <w:p>
            <w:pPr>
              <w:spacing w:after="20"/>
            </w:pPr>
            <w:r/>
            <w:r>
              <w:rPr>
                <w:sz w:val="16"/>
              </w:rPr>
              <w:t>Adım 1 kıstası 1.b–1.c</w:t>
            </w:r>
          </w:p>
        </w:tc>
        <w:tc>
          <w:tcPr>
            <w:tcW w:type="dxa" w:w="1361"/>
            <w:shd w:val="clear" w:color="auto" w:fill="F8CBAD"/>
          </w:tcPr>
          <w:p>
            <w:pPr>
              <w:spacing w:after="20"/>
            </w:pPr>
            <w:r/>
            <w:r>
              <w:rPr>
                <w:sz w:val="16"/>
              </w:rPr>
              <w:t>sağlanmıyor</w:t>
            </w:r>
          </w:p>
        </w:tc>
        <w:tc>
          <w:tcPr>
            <w:tcW w:type="dxa" w:w="2721"/>
          </w:tcPr>
          <w:p>
            <w:pPr>
              <w:spacing w:after="20"/>
            </w:pPr>
            <w:r/>
            <w:r>
              <w:rPr>
                <w:sz w:val="16"/>
              </w:rPr>
              <w:t xml:space="preserve">fx_durdur_sonuc.json </w:t>
            </w:r>
            <w:r>
              <w:rPr>
                <w:rFonts w:ascii="Consolas" w:hAnsi="Consolas"/>
                <w:sz w:val="19"/>
              </w:rPr>
              <w:t>ag_yogun_veya_merkezi_takas: false</w:t>
            </w:r>
            <w:r>
              <w:rPr>
                <w:sz w:val="16"/>
              </w:rPr>
              <w:t>; Tablo 4.1</w:t>
            </w:r>
          </w:p>
        </w:tc>
      </w:tr>
      <w:tr>
        <w:tc>
          <w:tcPr>
            <w:tcW w:type="dxa" w:w="567"/>
          </w:tcPr>
          <w:p>
            <w:pPr>
              <w:spacing w:after="20"/>
            </w:pPr>
            <w:r/>
            <w:r>
              <w:rPr>
                <w:sz w:val="16"/>
              </w:rPr>
              <w:t>2.c</w:t>
            </w:r>
          </w:p>
        </w:tc>
        <w:tc>
          <w:tcPr>
            <w:tcW w:type="dxa" w:w="2268"/>
          </w:tcPr>
          <w:p>
            <w:pPr>
              <w:spacing w:after="20"/>
            </w:pPr>
            <w:r/>
            <w:r>
              <w:rPr>
                <w:sz w:val="16"/>
              </w:rPr>
              <w:t>Köprü tesisi şok eşiğine göre boyutlanmış</w:t>
            </w:r>
          </w:p>
        </w:tc>
        <w:tc>
          <w:tcPr>
            <w:tcW w:type="dxa" w:w="2154"/>
          </w:tcPr>
          <w:p>
            <w:pPr>
              <w:spacing w:after="20"/>
            </w:pPr>
            <w:r/>
            <w:r>
              <w:rPr>
                <w:sz w:val="16"/>
              </w:rPr>
              <w:t>Köprü üst ucu ile şok eşiklerinin karşılaştırılması</w:t>
            </w:r>
          </w:p>
        </w:tc>
        <w:tc>
          <w:tcPr>
            <w:tcW w:type="dxa" w:w="1361"/>
            <w:shd w:val="clear" w:color="auto" w:fill="F8CBAD"/>
          </w:tcPr>
          <w:p>
            <w:pPr>
              <w:spacing w:after="20"/>
            </w:pPr>
            <w:r/>
            <w:r>
              <w:rPr>
                <w:sz w:val="16"/>
              </w:rPr>
              <w:t>sağlanmıyor</w:t>
            </w:r>
          </w:p>
        </w:tc>
        <w:tc>
          <w:tcPr>
            <w:tcW w:type="dxa" w:w="2721"/>
          </w:tcPr>
          <w:p>
            <w:pPr>
              <w:spacing w:after="20"/>
            </w:pPr>
            <w:r/>
            <w:r>
              <w:rPr>
                <w:sz w:val="16"/>
              </w:rPr>
              <w:t xml:space="preserve">fx_durdur_sonuc.json </w:t>
            </w:r>
            <w:r>
              <w:rPr>
                <w:rFonts w:ascii="Consolas" w:hAnsi="Consolas"/>
                <w:sz w:val="19"/>
              </w:rPr>
              <w:t>kopru_boyutlandi: false</w:t>
            </w:r>
            <w:r>
              <w:rPr>
                <w:sz w:val="16"/>
              </w:rPr>
              <w:t>; eşik kur %1 (YAPILABILIRLIK.md:57)</w:t>
            </w:r>
          </w:p>
        </w:tc>
      </w:tr>
      <w:tr>
        <w:tc>
          <w:tcPr>
            <w:tcW w:type="dxa" w:w="567"/>
          </w:tcPr>
          <w:p>
            <w:pPr>
              <w:spacing w:after="20"/>
            </w:pPr>
            <w:r/>
            <w:r>
              <w:rPr>
                <w:sz w:val="16"/>
              </w:rPr>
              <w:t>2.d</w:t>
            </w:r>
          </w:p>
        </w:tc>
        <w:tc>
          <w:tcPr>
            <w:tcW w:type="dxa" w:w="2268"/>
          </w:tcPr>
          <w:p>
            <w:pPr>
              <w:spacing w:after="20"/>
            </w:pPr>
            <w:r/>
            <w:r>
              <w:rPr>
                <w:sz w:val="16"/>
              </w:rPr>
              <w:t>Adım 1 mahsubu önce uygulanmış</w:t>
            </w:r>
          </w:p>
        </w:tc>
        <w:tc>
          <w:tcPr>
            <w:tcW w:type="dxa" w:w="2154"/>
          </w:tcPr>
          <w:p>
            <w:pPr>
              <w:spacing w:after="20"/>
            </w:pPr>
            <w:r/>
            <w:r>
              <w:rPr>
                <w:sz w:val="16"/>
              </w:rPr>
              <w:t>Mahsup sonrası aşamanın varlığı</w:t>
            </w:r>
          </w:p>
        </w:tc>
        <w:tc>
          <w:tcPr>
            <w:tcW w:type="dxa" w:w="1361"/>
            <w:shd w:val="clear" w:color="auto" w:fill="F8CBAD"/>
          </w:tcPr>
          <w:p>
            <w:pPr>
              <w:spacing w:after="20"/>
            </w:pPr>
            <w:r/>
            <w:r>
              <w:rPr>
                <w:sz w:val="16"/>
              </w:rPr>
              <w:t>sağlanmıyor</w:t>
            </w:r>
          </w:p>
        </w:tc>
        <w:tc>
          <w:tcPr>
            <w:tcW w:type="dxa" w:w="2721"/>
          </w:tcPr>
          <w:p>
            <w:pPr>
              <w:spacing w:after="20"/>
            </w:pPr>
            <w:r/>
            <w:r>
              <w:rPr>
                <w:sz w:val="16"/>
              </w:rPr>
              <w:t>Adım 1 kıstası tutmuyor; brüt köprü 8.956,38 (Ek D)</w:t>
            </w:r>
          </w:p>
        </w:tc>
      </w:tr>
    </w:tbl>
    <w:p>
      <w:pPr>
        <w:spacing w:after="40"/>
      </w:pPr>
    </w:p>
    <w:p>
      <w:pPr>
        <w:jc w:val="both"/>
      </w:pPr>
      <w:r>
        <w:rPr>
          <w:b/>
        </w:rPr>
        <w:t xml:space="preserve">(31) </w:t>
      </w:r>
      <w:r>
        <w:rPr>
          <w:b/>
        </w:rPr>
        <w:t>Kıstas hükmü:</w:t>
      </w:r>
      <w:r>
        <w:t xml:space="preserve"> Dört kıstasın hiçbiri sağlanmamaktadır. Analiz/senet taslağı, döviz stok artışının durdurulmasının bile 2.a’yı açmadığını kaydetmiştir: “mevcut maruziyet korunmuş sayılmaz (artış durur), kur yükümlülüğü karşılanmış sayılmaz” (SENET_ANALIZ.md:148) </w:t>
      </w:r>
      <w:r>
        <w:rPr>
          <w:b/>
          <w:color w:val="0B6123"/>
          <w:sz w:val="18"/>
        </w:rPr>
        <w:t>[kanıt]</w:t>
      </w:r>
      <w:r>
        <w:t>.</w:t>
      </w:r>
    </w:p>
    <w:p>
      <w:pPr>
        <w:pStyle w:val="Heading2"/>
      </w:pPr>
      <w:r>
        <w:t>5.2 Gerekçe</w:t>
      </w:r>
    </w:p>
    <w:p>
      <w:pPr>
        <w:jc w:val="both"/>
      </w:pPr>
      <w:r>
        <w:rPr>
          <w:b/>
        </w:rPr>
        <w:t xml:space="preserve">(32) </w:t>
      </w:r>
      <w:r>
        <w:t xml:space="preserve">Mahsup net borcu silmez; döngü kapandıktan sonra kalan net borç vardır ve ödenmelidir. Tasfiye yerine akış planı, “ara halka konkordato zincirinden çıkar” sonucunu hedefler (RAPOR.md:11) </w:t>
      </w:r>
      <w:r>
        <w:rPr>
          <w:b/>
          <w:color w:val="0B6123"/>
          <w:sz w:val="18"/>
        </w:rPr>
        <w:t>[kanıt, metin]</w:t>
      </w:r>
      <w:r>
        <w:t xml:space="preserve">. Holdingin ödemesinin vergi yapılandırma, teşvik veya ihale şartına bağlanması (şart kaldıracı), üst halkanın “vergi affı yerine bu kalanı ödemesi” düşüncesinin model karşılığıdır (mahsup/README.md aşama 4; RAPOR.md:11) </w:t>
      </w:r>
      <w:r>
        <w:rPr>
          <w:b/>
          <w:color w:val="0B6123"/>
          <w:sz w:val="18"/>
        </w:rPr>
        <w:t>[kanıt]</w:t>
      </w:r>
      <w:r>
        <w:t>.</w:t>
      </w:r>
    </w:p>
    <w:p>
      <w:pPr>
        <w:pStyle w:val="Heading2"/>
      </w:pPr>
      <w:r>
        <w:t>5.3 Mekanizma</w:t>
      </w:r>
    </w:p>
    <w:p>
      <w:pPr>
        <w:jc w:val="both"/>
      </w:pPr>
      <w:r>
        <w:rPr>
          <w:b/>
        </w:rPr>
        <w:t xml:space="preserve">(33) </w:t>
      </w:r>
      <w:r>
        <w:t>Kalan borç tur tur, yukarıdan aşağı ödenir; holding ödeme oranı 0,5 ve şart kaldıracı açıkken koşulur (</w:t>
      </w:r>
      <w:r>
        <w:rPr>
          <w:rFonts w:ascii="Consolas" w:hAnsi="Consolas"/>
          <w:sz w:val="19"/>
        </w:rPr>
        <w:t>Parametreler(holding_odeme_orani=0.5, sart_kaldiraci=True)</w:t>
      </w:r>
      <w:r>
        <w:t xml:space="preserve">; rev_sok.kopru_olc) </w:t>
      </w:r>
      <w:r>
        <w:rPr>
          <w:b/>
          <w:color w:val="0B6123"/>
          <w:sz w:val="18"/>
        </w:rPr>
        <w:t>[kanıt, kod]</w:t>
      </w:r>
      <w:r>
        <w:t xml:space="preserve">. Serbest kalan likiditenin ücrete geçişi β ile temsil edilir; β tavanı Σücret_aylık/(Σticari borç + Σücret_aylık) = 0,0439’dur ve sentetik 0,3 bu tavanın üstünde kaldığı için ana tablodan çıkarılmıştır (ADIM2_NACE_AG.md; rev_adim2_sonuc.json) </w:t>
      </w:r>
      <w:r>
        <w:rPr>
          <w:b/>
          <w:color w:val="0B6123"/>
          <w:sz w:val="18"/>
        </w:rPr>
        <w:t>[kanıt, tavan; bant aday]</w:t>
      </w:r>
      <w:r>
        <w:t xml:space="preserve">. β köprüyü değiştirmez (YAPILABILIRLIK.md:9) </w:t>
      </w:r>
      <w:r>
        <w:rPr>
          <w:b/>
          <w:color w:val="0B6123"/>
          <w:sz w:val="18"/>
        </w:rPr>
        <w:t>[kanıt]</w:t>
      </w:r>
      <w:r>
        <w:t>.</w:t>
      </w:r>
    </w:p>
    <w:p>
      <w:pPr>
        <w:jc w:val="both"/>
      </w:pPr>
      <w:r>
        <w:rPr>
          <w:b/>
        </w:rPr>
        <w:t xml:space="preserve">(34) </w:t>
      </w:r>
      <w:r>
        <w:t xml:space="preserve">Kur değer kaybı, F.4 2026-Q1 stoğuna (25.339,8 milyar TL) YP payı %54,44 ile uygulanır; değerleme farkı Sektör Bilançoları 2024 banka kredisi kısım paylarıyla BANKA düğümüne vade = 1 borç olarak eklenir (YAPILABILIRLIK.md:45–47) </w:t>
      </w:r>
      <w:r>
        <w:rPr>
          <w:b/>
          <w:color w:val="0B6123"/>
          <w:sz w:val="18"/>
        </w:rPr>
        <w:t>[kanıt, formül; dağılım ve vade aday]</w:t>
      </w:r>
      <w:r>
        <w:t xml:space="preserve">. δ = %19,29 iken değerleme artışı s0·yp·δ = 2.660,8843 milyar TL’dir (SENET_ANALIZ.md:5) </w:t>
      </w:r>
      <w:r>
        <w:rPr>
          <w:b/>
          <w:color w:val="0B6123"/>
          <w:sz w:val="18"/>
        </w:rPr>
        <w:t>[kanıt, formül]</w:t>
      </w:r>
      <w:r>
        <w:t>.</w:t>
      </w:r>
    </w:p>
    <w:p>
      <w:pPr>
        <w:pStyle w:val="Heading2"/>
      </w:pPr>
      <w:r>
        <w:t>5.4 Doğurduğu sonuç</w:t>
      </w:r>
    </w:p>
    <w:p>
      <w:pPr>
        <w:keepNext/>
        <w:spacing w:after="40"/>
        <w:jc w:val="left"/>
      </w:pPr>
      <w:r>
        <w:rPr>
          <w:b/>
          <w:sz w:val="19"/>
        </w:rPr>
        <w:t>Tablo 5.2 — Adım 2 köprü ve temerrüt sonuçları</w:t>
      </w:r>
    </w:p>
    <w:tbl>
      <w:tblPr>
        <w:tblStyle w:val="TableGrid"/>
        <w:tblW w:type="auto" w:w="0"/>
        <w:jc w:val="center"/>
        <w:tblLayout w:type="fixed"/>
        <w:tblLook w:firstColumn="1" w:firstRow="1" w:lastColumn="0" w:lastRow="0" w:noHBand="0" w:noVBand="1" w:val="04A0"/>
      </w:tblPr>
      <w:tblGrid>
        <w:gridCol w:w="2721"/>
        <w:gridCol w:w="1474"/>
        <w:gridCol w:w="2154"/>
        <w:gridCol w:w="1361"/>
        <w:gridCol w:w="1361"/>
      </w:tblGrid>
      <w:tr>
        <w:trPr>
          <w:tblHeader w:val="true"/>
        </w:trPr>
        <w:tc>
          <w:tcPr>
            <w:tcW w:type="dxa" w:w="2721"/>
            <w:shd w:val="clear" w:color="auto" w:fill="D9E2F3"/>
          </w:tcPr>
          <w:p>
            <w:r/>
            <w:r>
              <w:rPr>
                <w:b/>
                <w:sz w:val="17"/>
              </w:rPr>
              <w:t>Durum</w:t>
            </w:r>
          </w:p>
        </w:tc>
        <w:tc>
          <w:tcPr>
            <w:tcW w:type="dxa" w:w="1474"/>
            <w:shd w:val="clear" w:color="auto" w:fill="D9E2F3"/>
          </w:tcPr>
          <w:p>
            <w:r/>
            <w:r>
              <w:rPr>
                <w:b/>
                <w:sz w:val="17"/>
              </w:rPr>
              <w:t>Temerrüt</w:t>
            </w:r>
          </w:p>
        </w:tc>
        <w:tc>
          <w:tcPr>
            <w:tcW w:type="dxa" w:w="2154"/>
            <w:shd w:val="clear" w:color="auto" w:fill="D9E2F3"/>
          </w:tcPr>
          <w:p>
            <w:r/>
            <w:r>
              <w:rPr>
                <w:b/>
                <w:sz w:val="17"/>
              </w:rPr>
              <w:t>Köprü (milyar TL)</w:t>
            </w:r>
          </w:p>
        </w:tc>
        <w:tc>
          <w:tcPr>
            <w:tcW w:type="dxa" w:w="1361"/>
            <w:shd w:val="clear" w:color="auto" w:fill="D9E2F3"/>
          </w:tcPr>
          <w:p>
            <w:r/>
            <w:r>
              <w:rPr>
                <w:b/>
                <w:sz w:val="17"/>
              </w:rPr>
              <w:t>Etiket</w:t>
            </w:r>
          </w:p>
        </w:tc>
        <w:tc>
          <w:tcPr>
            <w:tcW w:type="dxa" w:w="1361"/>
            <w:shd w:val="clear" w:color="auto" w:fill="D9E2F3"/>
          </w:tcPr>
          <w:p>
            <w:r/>
            <w:r>
              <w:rPr>
                <w:b/>
                <w:sz w:val="17"/>
              </w:rPr>
              <w:t>Kaynak</w:t>
            </w:r>
          </w:p>
        </w:tc>
      </w:tr>
      <w:tr>
        <w:tc>
          <w:tcPr>
            <w:tcW w:type="dxa" w:w="2721"/>
          </w:tcPr>
          <w:p>
            <w:pPr>
              <w:spacing w:after="20"/>
            </w:pPr>
            <w:r/>
            <w:r>
              <w:rPr>
                <w:sz w:val="17"/>
              </w:rPr>
              <w:t>Tam ağ, λ = 1, δ = 0</w:t>
            </w:r>
          </w:p>
        </w:tc>
        <w:tc>
          <w:tcPr>
            <w:tcW w:type="dxa" w:w="1474"/>
          </w:tcPr>
          <w:p>
            <w:pPr>
              <w:spacing w:after="20"/>
            </w:pPr>
            <w:r/>
            <w:r>
              <w:rPr>
                <w:sz w:val="17"/>
              </w:rPr>
              <w:t>3 kısım</w:t>
            </w:r>
          </w:p>
        </w:tc>
        <w:tc>
          <w:tcPr>
            <w:tcW w:type="dxa" w:w="2154"/>
          </w:tcPr>
          <w:p>
            <w:pPr>
              <w:spacing w:after="20"/>
            </w:pPr>
            <w:r/>
            <w:r>
              <w:rPr>
                <w:sz w:val="17"/>
              </w:rPr>
              <w:t>52,4</w:t>
            </w:r>
          </w:p>
        </w:tc>
        <w:tc>
          <w:tcPr>
            <w:tcW w:type="dxa" w:w="1361"/>
          </w:tcPr>
          <w:p>
            <w:pPr>
              <w:spacing w:after="20"/>
            </w:pPr>
            <w:r/>
            <w:r>
              <w:rPr>
                <w:b/>
                <w:color w:val="0B6123"/>
                <w:sz w:val="17"/>
              </w:rPr>
              <w:t>[kanıt]</w:t>
            </w:r>
          </w:p>
        </w:tc>
        <w:tc>
          <w:tcPr>
            <w:tcW w:type="dxa" w:w="1361"/>
          </w:tcPr>
          <w:p>
            <w:pPr>
              <w:spacing w:after="20"/>
            </w:pPr>
            <w:r/>
            <w:r>
              <w:rPr>
                <w:sz w:val="17"/>
              </w:rPr>
              <w:t>YAPILABILIRLIK.md:55</w:t>
            </w:r>
          </w:p>
        </w:tc>
      </w:tr>
      <w:tr>
        <w:tc>
          <w:tcPr>
            <w:tcW w:type="dxa" w:w="2721"/>
          </w:tcPr>
          <w:p>
            <w:pPr>
              <w:spacing w:after="20"/>
            </w:pPr>
            <w:r/>
            <w:r>
              <w:rPr>
                <w:sz w:val="17"/>
              </w:rPr>
              <w:t>Tam ağ, λ* = 1,0357, δ = 0</w:t>
            </w:r>
          </w:p>
        </w:tc>
        <w:tc>
          <w:tcPr>
            <w:tcW w:type="dxa" w:w="1474"/>
          </w:tcPr>
          <w:p>
            <w:pPr>
              <w:spacing w:after="20"/>
            </w:pPr>
            <w:r/>
            <w:r>
              <w:rPr>
                <w:sz w:val="17"/>
              </w:rPr>
              <w:t>3</w:t>
            </w:r>
          </w:p>
        </w:tc>
        <w:tc>
          <w:tcPr>
            <w:tcW w:type="dxa" w:w="2154"/>
          </w:tcPr>
          <w:p>
            <w:pPr>
              <w:spacing w:after="20"/>
            </w:pPr>
            <w:r/>
            <w:r>
              <w:rPr>
                <w:sz w:val="17"/>
              </w:rPr>
              <w:t>46,77</w:t>
            </w:r>
          </w:p>
        </w:tc>
        <w:tc>
          <w:tcPr>
            <w:tcW w:type="dxa" w:w="1361"/>
          </w:tcPr>
          <w:p>
            <w:pPr>
              <w:spacing w:after="20"/>
            </w:pPr>
            <w:r/>
            <w:r>
              <w:rPr>
                <w:b/>
                <w:color w:val="0B6123"/>
                <w:sz w:val="17"/>
              </w:rPr>
              <w:t>[kanıt, yerel koşu]</w:t>
            </w:r>
          </w:p>
        </w:tc>
        <w:tc>
          <w:tcPr>
            <w:tcW w:type="dxa" w:w="1361"/>
          </w:tcPr>
          <w:p>
            <w:pPr>
              <w:spacing w:after="20"/>
            </w:pPr>
            <w:r/>
            <w:r>
              <w:rPr>
                <w:sz w:val="17"/>
              </w:rPr>
              <w:t>Ek D</w:t>
            </w:r>
          </w:p>
        </w:tc>
      </w:tr>
      <w:tr>
        <w:tc>
          <w:tcPr>
            <w:tcW w:type="dxa" w:w="2721"/>
          </w:tcPr>
          <w:p>
            <w:pPr>
              <w:spacing w:after="20"/>
            </w:pPr>
            <w:r/>
            <w:r>
              <w:rPr>
                <w:sz w:val="17"/>
              </w:rPr>
              <w:t>Tam ağ, λ = 1, δ = %10</w:t>
            </w:r>
          </w:p>
        </w:tc>
        <w:tc>
          <w:tcPr>
            <w:tcW w:type="dxa" w:w="1474"/>
          </w:tcPr>
          <w:p>
            <w:pPr>
              <w:spacing w:after="20"/>
            </w:pPr>
            <w:r/>
            <w:r>
              <w:rPr>
                <w:sz w:val="17"/>
              </w:rPr>
              <w:t>7 kısım</w:t>
            </w:r>
          </w:p>
        </w:tc>
        <w:tc>
          <w:tcPr>
            <w:tcW w:type="dxa" w:w="2154"/>
          </w:tcPr>
          <w:p>
            <w:pPr>
              <w:spacing w:after="20"/>
            </w:pPr>
            <w:r/>
            <w:r>
              <w:rPr>
                <w:sz w:val="17"/>
              </w:rPr>
              <w:t>220,8</w:t>
            </w:r>
          </w:p>
        </w:tc>
        <w:tc>
          <w:tcPr>
            <w:tcW w:type="dxa" w:w="1361"/>
          </w:tcPr>
          <w:p>
            <w:pPr>
              <w:spacing w:after="20"/>
            </w:pPr>
            <w:r/>
            <w:r>
              <w:rPr>
                <w:b/>
                <w:color w:val="0B6123"/>
                <w:sz w:val="17"/>
              </w:rPr>
              <w:t>[kanıt]</w:t>
            </w:r>
          </w:p>
        </w:tc>
        <w:tc>
          <w:tcPr>
            <w:tcW w:type="dxa" w:w="1361"/>
          </w:tcPr>
          <w:p>
            <w:pPr>
              <w:spacing w:after="20"/>
            </w:pPr>
            <w:r/>
            <w:r>
              <w:rPr>
                <w:sz w:val="17"/>
              </w:rPr>
              <w:t>YAPILABILIRLIK.md:55</w:t>
            </w:r>
          </w:p>
        </w:tc>
      </w:tr>
      <w:tr>
        <w:tc>
          <w:tcPr>
            <w:tcW w:type="dxa" w:w="2721"/>
          </w:tcPr>
          <w:p>
            <w:pPr>
              <w:spacing w:after="20"/>
            </w:pPr>
            <w:r/>
            <w:r>
              <w:rPr>
                <w:sz w:val="17"/>
              </w:rPr>
              <w:t>Tam ağ, λ* , δ = %19,29</w:t>
            </w:r>
          </w:p>
        </w:tc>
        <w:tc>
          <w:tcPr>
            <w:tcW w:type="dxa" w:w="1474"/>
          </w:tcPr>
          <w:p>
            <w:pPr>
              <w:spacing w:after="20"/>
            </w:pPr>
            <w:r/>
            <w:r>
              <w:rPr>
                <w:sz w:val="17"/>
              </w:rPr>
              <w:t>7</w:t>
            </w:r>
          </w:p>
        </w:tc>
        <w:tc>
          <w:tcPr>
            <w:tcW w:type="dxa" w:w="2154"/>
          </w:tcPr>
          <w:p>
            <w:pPr>
              <w:spacing w:after="20"/>
            </w:pPr>
            <w:r/>
            <w:r>
              <w:rPr>
                <w:sz w:val="17"/>
              </w:rPr>
              <w:t>443,87</w:t>
            </w:r>
          </w:p>
        </w:tc>
        <w:tc>
          <w:tcPr>
            <w:tcW w:type="dxa" w:w="1361"/>
          </w:tcPr>
          <w:p>
            <w:pPr>
              <w:spacing w:after="20"/>
            </w:pPr>
            <w:r/>
            <w:r>
              <w:rPr>
                <w:b/>
                <w:color w:val="0B6123"/>
                <w:sz w:val="17"/>
              </w:rPr>
              <w:t>[kanıt]</w:t>
            </w:r>
          </w:p>
        </w:tc>
        <w:tc>
          <w:tcPr>
            <w:tcW w:type="dxa" w:w="1361"/>
          </w:tcPr>
          <w:p>
            <w:pPr>
              <w:spacing w:after="20"/>
            </w:pPr>
            <w:r/>
            <w:r>
              <w:rPr>
                <w:sz w:val="17"/>
              </w:rPr>
              <w:t>SENET_ANALIZ.md:54</w:t>
            </w:r>
          </w:p>
        </w:tc>
      </w:tr>
      <w:tr>
        <w:tc>
          <w:tcPr>
            <w:tcW w:type="dxa" w:w="2721"/>
          </w:tcPr>
          <w:p>
            <w:pPr>
              <w:spacing w:after="20"/>
            </w:pPr>
            <w:r/>
            <w:r>
              <w:rPr>
                <w:sz w:val="17"/>
              </w:rPr>
              <w:t>Tam ağ, λ = 1, δ = %30</w:t>
            </w:r>
          </w:p>
        </w:tc>
        <w:tc>
          <w:tcPr>
            <w:tcW w:type="dxa" w:w="1474"/>
          </w:tcPr>
          <w:p>
            <w:pPr>
              <w:spacing w:after="20"/>
            </w:pPr>
            <w:r/>
            <w:r>
              <w:rPr>
                <w:sz w:val="17"/>
              </w:rPr>
              <w:t>10 kısım</w:t>
            </w:r>
          </w:p>
        </w:tc>
        <w:tc>
          <w:tcPr>
            <w:tcW w:type="dxa" w:w="2154"/>
          </w:tcPr>
          <w:p>
            <w:pPr>
              <w:spacing w:after="20"/>
            </w:pPr>
            <w:r/>
            <w:r>
              <w:rPr>
                <w:sz w:val="17"/>
              </w:rPr>
              <w:t>964,8</w:t>
            </w:r>
          </w:p>
        </w:tc>
        <w:tc>
          <w:tcPr>
            <w:tcW w:type="dxa" w:w="1361"/>
          </w:tcPr>
          <w:p>
            <w:pPr>
              <w:spacing w:after="20"/>
            </w:pPr>
            <w:r/>
            <w:r>
              <w:rPr>
                <w:b/>
                <w:color w:val="0B6123"/>
                <w:sz w:val="17"/>
              </w:rPr>
              <w:t>[kanıt]</w:t>
            </w:r>
          </w:p>
        </w:tc>
        <w:tc>
          <w:tcPr>
            <w:tcW w:type="dxa" w:w="1361"/>
          </w:tcPr>
          <w:p>
            <w:pPr>
              <w:spacing w:after="20"/>
            </w:pPr>
            <w:r/>
            <w:r>
              <w:rPr>
                <w:sz w:val="17"/>
              </w:rPr>
              <w:t>YAPILABILIRLIK.md:55</w:t>
            </w:r>
          </w:p>
        </w:tc>
      </w:tr>
      <w:tr>
        <w:tc>
          <w:tcPr>
            <w:tcW w:type="dxa" w:w="2721"/>
          </w:tcPr>
          <w:p>
            <w:pPr>
              <w:spacing w:after="20"/>
            </w:pPr>
            <w:r/>
            <w:r>
              <w:rPr>
                <w:sz w:val="17"/>
              </w:rPr>
              <w:t>Tam ağ, λ = 1, δ = %50</w:t>
            </w:r>
          </w:p>
        </w:tc>
        <w:tc>
          <w:tcPr>
            <w:tcW w:type="dxa" w:w="1474"/>
          </w:tcPr>
          <w:p>
            <w:pPr>
              <w:spacing w:after="20"/>
            </w:pPr>
            <w:r/>
            <w:r>
              <w:rPr>
                <w:sz w:val="17"/>
              </w:rPr>
              <w:t>15 kısım</w:t>
            </w:r>
          </w:p>
        </w:tc>
        <w:tc>
          <w:tcPr>
            <w:tcW w:type="dxa" w:w="2154"/>
          </w:tcPr>
          <w:p>
            <w:pPr>
              <w:spacing w:after="20"/>
            </w:pPr>
            <w:r/>
            <w:r>
              <w:rPr>
                <w:sz w:val="17"/>
              </w:rPr>
              <w:t>3.474,3</w:t>
            </w:r>
          </w:p>
        </w:tc>
        <w:tc>
          <w:tcPr>
            <w:tcW w:type="dxa" w:w="1361"/>
          </w:tcPr>
          <w:p>
            <w:pPr>
              <w:spacing w:after="20"/>
            </w:pPr>
            <w:r/>
            <w:r>
              <w:rPr>
                <w:b/>
                <w:color w:val="0B6123"/>
                <w:sz w:val="17"/>
              </w:rPr>
              <w:t>[kanıt]</w:t>
            </w:r>
          </w:p>
        </w:tc>
        <w:tc>
          <w:tcPr>
            <w:tcW w:type="dxa" w:w="1361"/>
          </w:tcPr>
          <w:p>
            <w:pPr>
              <w:spacing w:after="20"/>
            </w:pPr>
            <w:r/>
            <w:r>
              <w:rPr>
                <w:sz w:val="17"/>
              </w:rPr>
              <w:t>YAPILABILIRLIK.md:55</w:t>
            </w:r>
          </w:p>
        </w:tc>
      </w:tr>
      <w:tr>
        <w:tc>
          <w:tcPr>
            <w:tcW w:type="dxa" w:w="2721"/>
          </w:tcPr>
          <w:p>
            <w:pPr>
              <w:spacing w:after="20"/>
            </w:pPr>
            <w:r/>
            <w:r>
              <w:rPr>
                <w:sz w:val="17"/>
              </w:rPr>
              <w:t>Yoğunluk 0,25, δ = 0 (30 tohum)</w:t>
            </w:r>
          </w:p>
        </w:tc>
        <w:tc>
          <w:tcPr>
            <w:tcW w:type="dxa" w:w="1474"/>
          </w:tcPr>
          <w:p>
            <w:pPr>
              <w:spacing w:after="20"/>
            </w:pPr>
            <w:r/>
            <w:r>
              <w:rPr>
                <w:sz w:val="17"/>
              </w:rPr>
              <w:t>4–15 (ortanca 11)</w:t>
            </w:r>
          </w:p>
        </w:tc>
        <w:tc>
          <w:tcPr>
            <w:tcW w:type="dxa" w:w="2154"/>
          </w:tcPr>
          <w:p>
            <w:pPr>
              <w:spacing w:after="20"/>
            </w:pPr>
            <w:r/>
            <w:r>
              <w:rPr>
                <w:sz w:val="17"/>
              </w:rPr>
              <w:t>62,5–7.461,8 (ortanca 3.786,8)</w:t>
            </w:r>
          </w:p>
        </w:tc>
        <w:tc>
          <w:tcPr>
            <w:tcW w:type="dxa" w:w="1361"/>
          </w:tcPr>
          <w:p>
            <w:pPr>
              <w:spacing w:after="20"/>
            </w:pPr>
            <w:r/>
            <w:r>
              <w:rPr>
                <w:b/>
                <w:color w:val="0B6123"/>
                <w:sz w:val="17"/>
              </w:rPr>
              <w:t>[kanıt; yoğunluk aday]</w:t>
            </w:r>
          </w:p>
        </w:tc>
        <w:tc>
          <w:tcPr>
            <w:tcW w:type="dxa" w:w="1361"/>
          </w:tcPr>
          <w:p>
            <w:pPr>
              <w:spacing w:after="20"/>
            </w:pPr>
            <w:r/>
            <w:r>
              <w:rPr>
                <w:sz w:val="17"/>
              </w:rPr>
              <w:t>YAPILABILIRLIK.md:57</w:t>
            </w:r>
          </w:p>
        </w:tc>
      </w:tr>
      <w:tr>
        <w:tc>
          <w:tcPr>
            <w:tcW w:type="dxa" w:w="2721"/>
          </w:tcPr>
          <w:p>
            <w:pPr>
              <w:spacing w:after="20"/>
            </w:pPr>
            <w:r/>
            <w:r>
              <w:rPr>
                <w:sz w:val="17"/>
              </w:rPr>
              <w:t>Yoğunluk 0,25, δ = %19,29 (30 tohum)</w:t>
            </w:r>
          </w:p>
        </w:tc>
        <w:tc>
          <w:tcPr>
            <w:tcW w:type="dxa" w:w="1474"/>
          </w:tcPr>
          <w:p>
            <w:pPr>
              <w:spacing w:after="20"/>
            </w:pPr>
            <w:r/>
            <w:r>
              <w:rPr>
                <w:sz w:val="17"/>
              </w:rPr>
              <w:t>8–15 (ortanca 13)</w:t>
            </w:r>
          </w:p>
        </w:tc>
        <w:tc>
          <w:tcPr>
            <w:tcW w:type="dxa" w:w="2154"/>
          </w:tcPr>
          <w:p>
            <w:pPr>
              <w:spacing w:after="20"/>
            </w:pPr>
            <w:r/>
            <w:r>
              <w:rPr>
                <w:sz w:val="17"/>
              </w:rPr>
              <w:t>472,84–8.250,86 (ortanca 4.810,19)</w:t>
            </w:r>
          </w:p>
        </w:tc>
        <w:tc>
          <w:tcPr>
            <w:tcW w:type="dxa" w:w="1361"/>
          </w:tcPr>
          <w:p>
            <w:pPr>
              <w:spacing w:after="20"/>
            </w:pPr>
            <w:r/>
            <w:r>
              <w:rPr>
                <w:b/>
                <w:color w:val="0B6123"/>
                <w:sz w:val="17"/>
              </w:rPr>
              <w:t>[kanıt; yoğunluk aday]</w:t>
            </w:r>
          </w:p>
        </w:tc>
        <w:tc>
          <w:tcPr>
            <w:tcW w:type="dxa" w:w="1361"/>
          </w:tcPr>
          <w:p>
            <w:pPr>
              <w:spacing w:after="20"/>
            </w:pPr>
            <w:r/>
            <w:r>
              <w:rPr>
                <w:sz w:val="17"/>
              </w:rPr>
              <w:t>SENET_ANALIZ.md “Döviz stok…”</w:t>
            </w:r>
          </w:p>
        </w:tc>
      </w:tr>
    </w:tbl>
    <w:p>
      <w:pPr>
        <w:spacing w:after="40"/>
      </w:pPr>
    </w:p>
    <w:p>
      <w:pPr>
        <w:jc w:val="both"/>
      </w:pPr>
      <w:r>
        <w:rPr>
          <w:b/>
        </w:rPr>
        <w:t xml:space="preserve">(35) </w:t>
      </w:r>
      <w:r>
        <w:t xml:space="preserve">Eşikler: λ = 1’de köprü yayımlanmış üst ucu (52,4) kur %1 iken aşılır (55,5); temerrüt 3’ün üstüne kur %3 iken çıkar. λ* üst uçta (1,0471) eşikler %3 (kredi 54,2) ve %4’tür (YAPILABILIRLIK.md:55) </w:t>
      </w:r>
      <w:r>
        <w:rPr>
          <w:b/>
          <w:color w:val="0B6123"/>
          <w:sz w:val="18"/>
        </w:rPr>
        <w:t>[kanıt]</w:t>
      </w:r>
      <w:r>
        <w:t xml:space="preserve">. Kırılganlık hükmü bu eşiklere dayanır (YAPILABILIRLIK.md:61) </w:t>
      </w:r>
      <w:r>
        <w:rPr>
          <w:b/>
          <w:color w:val="A05200"/>
          <w:sz w:val="18"/>
        </w:rPr>
        <w:t>[aday, hüküm]</w:t>
      </w:r>
      <w:r>
        <w:t xml:space="preserve">. Kur şoku olmadan da seyrek ağda koşul bozulmaktadır (YAPILABILIRLIK.md:57) </w:t>
      </w:r>
      <w:r>
        <w:rPr>
          <w:b/>
          <w:color w:val="0B6123"/>
          <w:sz w:val="18"/>
        </w:rPr>
        <w:t>[kanıt]</w:t>
      </w:r>
      <w:r>
        <w:t>.</w:t>
      </w:r>
    </w:p>
    <w:p>
      <w:pPr>
        <w:pStyle w:val="Heading2"/>
      </w:pPr>
      <w:r>
        <w:t>5.5 Maliyet</w:t>
      </w:r>
    </w:p>
    <w:p>
      <w:pPr>
        <w:jc w:val="both"/>
      </w:pPr>
      <w:r>
        <w:rPr>
          <w:b/>
        </w:rPr>
        <w:t xml:space="preserve">(36) </w:t>
      </w:r>
      <w:r>
        <w:t xml:space="preserve">Yürütme maliyeti: mahsupla silinen 14.602,3 milyar TL’ye yalnız ρ = %0,4 uygulanarak </w:t>
      </w:r>
      <w:r>
        <w:rPr>
          <w:b/>
        </w:rPr>
        <w:t>58,4 milyar TL tek seferlik üst sınır</w:t>
      </w:r>
      <w:r>
        <w:t xml:space="preserve"> (BES_ADIM_MALIYET.md, Adım 2) </w:t>
      </w:r>
      <w:r>
        <w:rPr>
          <w:b/>
          <w:color w:val="A05200"/>
          <w:sz w:val="18"/>
        </w:rPr>
        <w:t>[aday, ρ]</w:t>
      </w:r>
      <w:r>
        <w:t xml:space="preserve">; 2029 varsayım GSYH’sinin %0,041’i </w:t>
      </w:r>
      <w:r>
        <w:rPr>
          <w:b/>
          <w:color w:val="1F3A8F"/>
          <w:sz w:val="18"/>
        </w:rPr>
        <w:t>[türetilmiş]</w:t>
      </w:r>
      <w:r>
        <w:t xml:space="preserve">. Köprü bir maliyet değil, geri dönen likidite ihtiyacıdır: en olası senaryoda tam ağ köprüsü 443,87 milyar TL = 2026 GSYH’sinin (84.425) %0,53’ü; yoğunluk 0,25 ortancası 4.810,19 = %5,70’i </w:t>
      </w:r>
      <w:r>
        <w:rPr>
          <w:b/>
          <w:color w:val="1F3A8F"/>
          <w:sz w:val="18"/>
        </w:rPr>
        <w:t>[türetilmiş; GSYH 2026 aday]</w:t>
      </w:r>
      <w:r>
        <w:t xml:space="preserve">. Kurla değerlenen kısım (2.660,88) mahsup edilemediği için gerçek bir ek yük niteliğindedir </w:t>
      </w:r>
      <w:r>
        <w:rPr>
          <w:b/>
          <w:color w:val="0B6123"/>
          <w:sz w:val="18"/>
        </w:rPr>
        <w:t>[kanıt, formül]</w:t>
      </w:r>
      <w:r>
        <w:t>.</w:t>
      </w:r>
    </w:p>
    <w:p>
      <w:pPr>
        <w:pStyle w:val="Heading2"/>
      </w:pPr>
      <w:r>
        <w:t>5.6 Fayda</w:t>
      </w:r>
    </w:p>
    <w:p>
      <w:pPr>
        <w:jc w:val="both"/>
      </w:pPr>
      <w:r>
        <w:rPr>
          <w:b/>
        </w:rPr>
        <w:t xml:space="preserve">(37) </w:t>
      </w:r>
      <w:r>
        <w:t xml:space="preserve">Kalan net borcun tasfiyesiz ödenmesi; ücretini ödeyemeyen firma sayısının batık firma sayısına inmesi (“mekanizma gürültüyü temizliyor, gerçek zararı bırakıyor”; mahsup/README.md örnek çıktı) </w:t>
      </w:r>
      <w:r>
        <w:rPr>
          <w:b/>
          <w:color w:val="0B6123"/>
          <w:sz w:val="18"/>
        </w:rPr>
        <w:t>[kanıt, sentetik ağ]</w:t>
      </w:r>
      <w:r>
        <w:t xml:space="preserve">. Ölçülmüş düğümlü ağda, λ = 1 ve β = 0,0439 iken korunan istihdam brüt 651.881’den şart sonrası 19.789.007’ye çıkmaktadır (ADIM2_NACE_AG.md) </w:t>
      </w:r>
      <w:r>
        <w:rPr>
          <w:b/>
          <w:color w:val="0B6123"/>
          <w:sz w:val="18"/>
        </w:rPr>
        <w:t>[kanıt; kenarlar aday]</w:t>
      </w:r>
      <w:r>
        <w:t xml:space="preserve">. Ücret piyasa kanalı aynı satırda 9,1 milyar TL’dir </w:t>
      </w:r>
      <w:r>
        <w:rPr>
          <w:b/>
          <w:color w:val="0B6123"/>
          <w:sz w:val="18"/>
        </w:rPr>
        <w:t>[kanıt; β tavanı]</w:t>
      </w:r>
      <w:r>
        <w:t>.</w:t>
      </w:r>
    </w:p>
    <w:p>
      <w:pPr>
        <w:pStyle w:val="Heading2"/>
      </w:pPr>
      <w:r>
        <w:t>5.7 Amaç</w:t>
      </w:r>
    </w:p>
    <w:p>
      <w:pPr>
        <w:jc w:val="both"/>
      </w:pPr>
      <w:r>
        <w:rPr>
          <w:b/>
        </w:rPr>
        <w:t xml:space="preserve">(38) </w:t>
      </w:r>
      <w:r>
        <w:t>Mahsuptan sonra kalan net borcu, banka kredisine başvurmadan ve borç silmeden, üst halkadan alt halkaya akışla ödetmek; alta inen payı ücret olarak yazmak.</w:t>
      </w:r>
    </w:p>
    <w:tbl>
      <w:tblPr>
        <w:tblStyle w:val="TableGrid"/>
        <w:tblW w:type="auto" w:w="0"/>
        <w:tblLook w:firstColumn="1" w:firstRow="1" w:lastColumn="0" w:lastRow="0" w:noHBand="0" w:noVBand="1" w:val="04A0"/>
      </w:tblPr>
      <w:tblGrid>
        <w:gridCol w:w="9242"/>
      </w:tblGrid>
      <w:tr>
        <w:tc>
          <w:tcPr>
            <w:tcW w:type="dxa" w:w="9241"/>
            <w:shd w:val="clear" w:color="auto" w:fill="FCE4D6"/>
          </w:tcPr>
          <w:p>
            <w:r/>
            <w:r>
              <w:rPr>
                <w:b/>
                <w:sz w:val="20"/>
              </w:rPr>
              <w:t>Adım 2 bulgu hükmü</w:t>
            </w:r>
          </w:p>
          <w:p>
            <w:pPr>
              <w:spacing w:after="40"/>
              <w:jc w:val="both"/>
            </w:pPr>
            <w:r>
              <w:rPr>
                <w:b/>
                <w:sz w:val="19"/>
              </w:rPr>
              <w:t>Kırılgan / koşullu yapılabilir</w:t>
            </w:r>
            <w:r>
              <w:rPr>
                <w:sz w:val="19"/>
              </w:rPr>
              <w:t xml:space="preserve"> (YAPILABILIRLIK.md:9, :27). Adım 2 tek başına uygulanamaz: Adım 1 mahsubu olmadan köprü 8.956,38 milyar TL düzeyindedir. Adım 1 uygulanmış olsa bile, döviz koşulu (2.a) ve köprü boyutlandırması (2.c) karşılanmadıkça kur %1–3 düzeyindeki bir şok koşulu bozmaktadır. Uygulanabilirlik için asgari şart: (i) Adım 1 kıstasının sağlanması, (ii) YP yükümlülüğünün ayrı bir araçla karşılanması, (iii) köprü tesisinin en az şok eşiği üst ucuna göre boyutlanması.</w:t>
            </w:r>
          </w:p>
        </w:tc>
      </w:tr>
    </w:tbl>
    <w:p>
      <w:pPr>
        <w:spacing w:after="40"/>
      </w:pPr>
    </w:p>
    <w:p>
      <w:r>
        <w:br w:type="page"/>
      </w:r>
    </w:p>
    <w:p>
      <w:pPr>
        <w:pStyle w:val="Heading1"/>
      </w:pPr>
      <w:r>
        <w:t>6. Adım 3 — Akışın Krediyle Çevrilmemesi ve Eski Stok Faizinin Durması</w:t>
      </w:r>
    </w:p>
    <w:p>
      <w:pPr>
        <w:jc w:val="both"/>
      </w:pPr>
      <w:r>
        <w:rPr>
          <w:b/>
        </w:rPr>
        <w:t xml:space="preserve">(39) </w:t>
      </w:r>
      <w:r>
        <w:t xml:space="preserve">Tanım: “Bu akış banka kredisiyle çevrilmez. Yeni faiz faturası doğmaz. Eski stokun faizi durur, ta ki stok ödenene kadar.” (RAPOR.md:23) </w:t>
      </w:r>
      <w:r>
        <w:rPr>
          <w:b/>
          <w:color w:val="0B6123"/>
          <w:sz w:val="18"/>
        </w:rPr>
        <w:t>[kanıt, metin]</w:t>
      </w:r>
      <w:r>
        <w:t xml:space="preserve">. Kural: </w:t>
      </w:r>
      <w:r>
        <w:rPr>
          <w:rFonts w:ascii="Consolas" w:hAnsi="Consolas"/>
          <w:sz w:val="19"/>
        </w:rPr>
        <w:t>D_t = κ·u2_t·S₀; I_t = ψ·(r_t/4)·D_t; F NL += I_t, ödeyen hazne NL −= I_t; ΣNL = 0</w:t>
      </w:r>
      <w:r>
        <w:t xml:space="preserve"> (ADIM3_FAIZ_DURMA.md) </w:t>
      </w:r>
      <w:r>
        <w:rPr>
          <w:b/>
          <w:color w:val="0B6123"/>
          <w:sz w:val="18"/>
        </w:rPr>
        <w:t>[kanıt, kural; κ aday]</w:t>
      </w:r>
      <w:r>
        <w:t>.</w:t>
      </w:r>
    </w:p>
    <w:p>
      <w:pPr>
        <w:pStyle w:val="Heading2"/>
      </w:pPr>
      <w:r>
        <w:t>6.1 Başlangıç kıstası</w:t>
      </w:r>
    </w:p>
    <w:p>
      <w:pPr>
        <w:keepNext/>
        <w:spacing w:after="40"/>
        <w:jc w:val="left"/>
      </w:pPr>
      <w:r>
        <w:rPr>
          <w:b/>
          <w:sz w:val="19"/>
        </w:rPr>
        <w:t>Tablo 6.1 — Adım 3 başlangıç kıstası</w:t>
      </w:r>
    </w:p>
    <w:tbl>
      <w:tblPr>
        <w:tblStyle w:val="TableGrid"/>
        <w:tblW w:type="auto" w:w="0"/>
        <w:jc w:val="center"/>
        <w:tblLayout w:type="fixed"/>
        <w:tblLook w:firstColumn="1" w:firstRow="1" w:lastColumn="0" w:lastRow="0" w:noHBand="0" w:noVBand="1" w:val="04A0"/>
      </w:tblPr>
      <w:tblGrid>
        <w:gridCol w:w="567"/>
        <w:gridCol w:w="2268"/>
        <w:gridCol w:w="2268"/>
        <w:gridCol w:w="1814"/>
        <w:gridCol w:w="2154"/>
      </w:tblGrid>
      <w:tr>
        <w:trPr>
          <w:tblHeader w:val="true"/>
        </w:trPr>
        <w:tc>
          <w:tcPr>
            <w:tcW w:type="dxa" w:w="567"/>
            <w:shd w:val="clear" w:color="auto" w:fill="D9E2F3"/>
          </w:tcPr>
          <w:p>
            <w:r/>
            <w:r>
              <w:rPr>
                <w:b/>
                <w:sz w:val="16"/>
              </w:rPr>
              <w:t>No</w:t>
            </w:r>
          </w:p>
        </w:tc>
        <w:tc>
          <w:tcPr>
            <w:tcW w:type="dxa" w:w="2268"/>
            <w:shd w:val="clear" w:color="auto" w:fill="D9E2F3"/>
          </w:tcPr>
          <w:p>
            <w:r/>
            <w:r>
              <w:rPr>
                <w:b/>
                <w:sz w:val="16"/>
              </w:rPr>
              <w:t>Kıstas</w:t>
            </w:r>
          </w:p>
        </w:tc>
        <w:tc>
          <w:tcPr>
            <w:tcW w:type="dxa" w:w="2268"/>
            <w:shd w:val="clear" w:color="auto" w:fill="D9E2F3"/>
          </w:tcPr>
          <w:p>
            <w:r/>
            <w:r>
              <w:rPr>
                <w:b/>
                <w:sz w:val="16"/>
              </w:rPr>
              <w:t>Nasıl doğrulanır</w:t>
            </w:r>
          </w:p>
        </w:tc>
        <w:tc>
          <w:tcPr>
            <w:tcW w:type="dxa" w:w="1814"/>
            <w:shd w:val="clear" w:color="auto" w:fill="D9E2F3"/>
          </w:tcPr>
          <w:p>
            <w:r/>
            <w:r>
              <w:rPr>
                <w:b/>
                <w:sz w:val="16"/>
              </w:rPr>
              <w:t>Bugünkü durum</w:t>
            </w:r>
          </w:p>
        </w:tc>
        <w:tc>
          <w:tcPr>
            <w:tcW w:type="dxa" w:w="2154"/>
            <w:shd w:val="clear" w:color="auto" w:fill="D9E2F3"/>
          </w:tcPr>
          <w:p>
            <w:r/>
            <w:r>
              <w:rPr>
                <w:b/>
                <w:sz w:val="16"/>
              </w:rPr>
              <w:t>Dayanak</w:t>
            </w:r>
          </w:p>
        </w:tc>
      </w:tr>
      <w:tr>
        <w:tc>
          <w:tcPr>
            <w:tcW w:type="dxa" w:w="567"/>
          </w:tcPr>
          <w:p>
            <w:pPr>
              <w:spacing w:after="20"/>
            </w:pPr>
            <w:r/>
            <w:r>
              <w:rPr>
                <w:sz w:val="16"/>
              </w:rPr>
              <w:t>3.a</w:t>
            </w:r>
          </w:p>
        </w:tc>
        <w:tc>
          <w:tcPr>
            <w:tcW w:type="dxa" w:w="2268"/>
          </w:tcPr>
          <w:p>
            <w:pPr>
              <w:spacing w:after="20"/>
            </w:pPr>
            <w:r/>
            <w:r>
              <w:rPr>
                <w:sz w:val="16"/>
              </w:rPr>
              <w:t>κ (kapsam payı) küçük tutulmuş</w:t>
            </w:r>
          </w:p>
        </w:tc>
        <w:tc>
          <w:tcPr>
            <w:tcW w:type="dxa" w:w="2268"/>
          </w:tcPr>
          <w:p>
            <w:pPr>
              <w:spacing w:after="20"/>
            </w:pPr>
            <w:r/>
            <w:r>
              <w:rPr>
                <w:sz w:val="16"/>
              </w:rPr>
              <w:t>Tasarım kararı; κ = 0,25 seçimi</w:t>
            </w:r>
          </w:p>
        </w:tc>
        <w:tc>
          <w:tcPr>
            <w:tcW w:type="dxa" w:w="1814"/>
            <w:shd w:val="clear" w:color="auto" w:fill="E2EFDA"/>
          </w:tcPr>
          <w:p>
            <w:pPr>
              <w:spacing w:after="20"/>
            </w:pPr>
            <w:r/>
            <w:r>
              <w:rPr>
                <w:sz w:val="16"/>
              </w:rPr>
              <w:t>sağlanıyor (en olası senaryoda tasarım gereği)</w:t>
            </w:r>
          </w:p>
        </w:tc>
        <w:tc>
          <w:tcPr>
            <w:tcW w:type="dxa" w:w="2154"/>
          </w:tcPr>
          <w:p>
            <w:pPr>
              <w:spacing w:after="20"/>
            </w:pPr>
            <w:r/>
            <w:r>
              <w:rPr>
                <w:sz w:val="16"/>
              </w:rPr>
              <w:t>YAPILABILIRLIK.md:10; κ varsayım (ADIM3_FAIZ_DURMA.md)</w:t>
            </w:r>
          </w:p>
        </w:tc>
      </w:tr>
      <w:tr>
        <w:tc>
          <w:tcPr>
            <w:tcW w:type="dxa" w:w="567"/>
          </w:tcPr>
          <w:p>
            <w:pPr>
              <w:spacing w:after="20"/>
            </w:pPr>
            <w:r/>
            <w:r>
              <w:rPr>
                <w:sz w:val="16"/>
              </w:rPr>
              <w:t>3.b</w:t>
            </w:r>
          </w:p>
        </w:tc>
        <w:tc>
          <w:tcPr>
            <w:tcW w:type="dxa" w:w="2268"/>
          </w:tcPr>
          <w:p>
            <w:pPr>
              <w:spacing w:after="20"/>
            </w:pPr>
            <w:r/>
            <w:r>
              <w:rPr>
                <w:sz w:val="16"/>
              </w:rPr>
              <w:t>Faiz düşüş patikası</w:t>
            </w:r>
          </w:p>
        </w:tc>
        <w:tc>
          <w:tcPr>
            <w:tcW w:type="dxa" w:w="2268"/>
          </w:tcPr>
          <w:p>
            <w:pPr>
              <w:spacing w:after="20"/>
            </w:pPr>
            <w:r/>
            <w:r>
              <w:rPr>
                <w:sz w:val="16"/>
              </w:rPr>
              <w:t>TP.KTF17 ve TL stok faizi seyrinin izlenmesi; r_TL patikası varsayım</w:t>
            </w:r>
          </w:p>
        </w:tc>
        <w:tc>
          <w:tcPr>
            <w:tcW w:type="dxa" w:w="1814"/>
            <w:shd w:val="clear" w:color="auto" w:fill="FFF2CC"/>
          </w:tcPr>
          <w:p>
            <w:pPr>
              <w:spacing w:after="20"/>
            </w:pPr>
            <w:r/>
            <w:r>
              <w:rPr>
                <w:sz w:val="16"/>
              </w:rPr>
              <w:t>ölçülemedi (ileriye dönük); birleşik streste sağlanmıyor</w:t>
            </w:r>
          </w:p>
        </w:tc>
        <w:tc>
          <w:tcPr>
            <w:tcW w:type="dxa" w:w="2154"/>
          </w:tcPr>
          <w:p>
            <w:pPr>
              <w:spacing w:after="20"/>
            </w:pPr>
            <w:r/>
            <w:r>
              <w:rPr>
                <w:sz w:val="16"/>
              </w:rPr>
              <w:t>rev_adim3_sonuc.json (r_TL “varsayim patika”); YAPILABILIRLIK.md:61</w:t>
            </w:r>
          </w:p>
        </w:tc>
      </w:tr>
      <w:tr>
        <w:tc>
          <w:tcPr>
            <w:tcW w:type="dxa" w:w="567"/>
          </w:tcPr>
          <w:p>
            <w:pPr>
              <w:spacing w:after="20"/>
            </w:pPr>
            <w:r/>
            <w:r>
              <w:rPr>
                <w:sz w:val="16"/>
              </w:rPr>
              <w:t>3.c</w:t>
            </w:r>
          </w:p>
        </w:tc>
        <w:tc>
          <w:tcPr>
            <w:tcW w:type="dxa" w:w="2268"/>
          </w:tcPr>
          <w:p>
            <w:pPr>
              <w:spacing w:after="20"/>
            </w:pPr>
            <w:r/>
            <w:r>
              <w:rPr>
                <w:sz w:val="16"/>
              </w:rPr>
              <w:t>Ödeyen hazne (B′ ya da K′) açıkça seçilmiş</w:t>
            </w:r>
          </w:p>
        </w:tc>
        <w:tc>
          <w:tcPr>
            <w:tcW w:type="dxa" w:w="2268"/>
          </w:tcPr>
          <w:p>
            <w:pPr>
              <w:spacing w:after="20"/>
            </w:pPr>
            <w:r/>
            <w:r>
              <w:rPr>
                <w:sz w:val="16"/>
              </w:rPr>
              <w:t>Kurumsal karar</w:t>
            </w:r>
          </w:p>
        </w:tc>
        <w:tc>
          <w:tcPr>
            <w:tcW w:type="dxa" w:w="1814"/>
            <w:shd w:val="clear" w:color="auto" w:fill="F8CBAD"/>
          </w:tcPr>
          <w:p>
            <w:pPr>
              <w:spacing w:after="20"/>
            </w:pPr>
            <w:r/>
            <w:r>
              <w:rPr>
                <w:sz w:val="16"/>
              </w:rPr>
              <w:t>sağlanmıyor</w:t>
            </w:r>
          </w:p>
        </w:tc>
        <w:tc>
          <w:tcPr>
            <w:tcW w:type="dxa" w:w="2154"/>
          </w:tcPr>
          <w:p>
            <w:pPr>
              <w:spacing w:after="20"/>
            </w:pPr>
            <w:r/>
            <w:r>
              <w:rPr>
                <w:sz w:val="16"/>
              </w:rPr>
              <w:t>ADIM3_FAIZ_DURMA.md SFC; CIMER_METNI.md §6 (“bu kararı vermek… kurumlarınızındır”)</w:t>
            </w:r>
          </w:p>
        </w:tc>
      </w:tr>
      <w:tr>
        <w:tc>
          <w:tcPr>
            <w:tcW w:type="dxa" w:w="567"/>
          </w:tcPr>
          <w:p>
            <w:pPr>
              <w:spacing w:after="20"/>
            </w:pPr>
            <w:r/>
            <w:r>
              <w:rPr>
                <w:sz w:val="16"/>
              </w:rPr>
              <w:t>3.d</w:t>
            </w:r>
          </w:p>
        </w:tc>
        <w:tc>
          <w:tcPr>
            <w:tcW w:type="dxa" w:w="2268"/>
          </w:tcPr>
          <w:p>
            <w:pPr>
              <w:spacing w:after="20"/>
            </w:pPr>
            <w:r/>
            <w:r>
              <w:rPr>
                <w:sz w:val="16"/>
              </w:rPr>
              <w:t>Akış krediyle çevrilmeyecek kadar küçük köprü (Adım 1–2 sonrası)</w:t>
            </w:r>
          </w:p>
        </w:tc>
        <w:tc>
          <w:tcPr>
            <w:tcW w:type="dxa" w:w="2268"/>
          </w:tcPr>
          <w:p>
            <w:pPr>
              <w:spacing w:after="20"/>
            </w:pPr>
            <w:r/>
            <w:r>
              <w:rPr>
                <w:sz w:val="16"/>
              </w:rPr>
              <w:t>Mahsup sonrası köprü</w:t>
            </w:r>
          </w:p>
        </w:tc>
        <w:tc>
          <w:tcPr>
            <w:tcW w:type="dxa" w:w="1814"/>
            <w:shd w:val="clear" w:color="auto" w:fill="F8CBAD"/>
          </w:tcPr>
          <w:p>
            <w:pPr>
              <w:spacing w:after="20"/>
            </w:pPr>
            <w:r/>
            <w:r>
              <w:rPr>
                <w:sz w:val="16"/>
              </w:rPr>
              <w:t>sağlanmıyor</w:t>
            </w:r>
          </w:p>
        </w:tc>
        <w:tc>
          <w:tcPr>
            <w:tcW w:type="dxa" w:w="2154"/>
          </w:tcPr>
          <w:p>
            <w:pPr>
              <w:spacing w:after="20"/>
            </w:pPr>
            <w:r/>
            <w:r>
              <w:rPr>
                <w:sz w:val="16"/>
              </w:rPr>
              <w:t>Adım 1–2 kıstasları; köprü 443,87 (SENET_ANALIZ.md:54)</w:t>
            </w:r>
          </w:p>
        </w:tc>
      </w:tr>
    </w:tbl>
    <w:p>
      <w:pPr>
        <w:spacing w:after="40"/>
      </w:pPr>
    </w:p>
    <w:p>
      <w:pPr>
        <w:jc w:val="both"/>
      </w:pPr>
      <w:r>
        <w:rPr>
          <w:b/>
        </w:rPr>
        <w:t xml:space="preserve">(40) </w:t>
      </w:r>
      <w:r>
        <w:rPr>
          <w:b/>
        </w:rPr>
        <w:t>Kıstas hükmü:</w:t>
      </w:r>
      <w:r>
        <w:t xml:space="preserve"> Kıstas </w:t>
      </w:r>
      <w:r>
        <w:rPr>
          <w:b/>
        </w:rPr>
        <w:t>kısmen</w:t>
      </w:r>
      <w:r>
        <w:t xml:space="preserve"> sağlanmaktadır. κ küçük seçilebilir; ancak faiz düşüş patikası ileriye dönük bir varsayımdır ve ödeyen hazne seçilmemiştir. Adım 3’ün ilk cümlesi (“akış krediyle çevrilmez”) Adım 1–2’nin başarısına bağlıdır; ikinci cümlesi (“eski stokun faizi durur”) ise bağımsız bir transfer kuralıdır.</w:t>
      </w:r>
    </w:p>
    <w:p>
      <w:pPr>
        <w:pStyle w:val="Heading2"/>
      </w:pPr>
      <w:r>
        <w:t>6.2 Gerekçe</w:t>
      </w:r>
    </w:p>
    <w:p>
      <w:pPr>
        <w:jc w:val="both"/>
      </w:pPr>
      <w:r>
        <w:rPr>
          <w:b/>
        </w:rPr>
        <w:t xml:space="preserve">(41) </w:t>
      </w:r>
      <w:r>
        <w:t xml:space="preserve">2025’te firma finansman gideri 4.300 milyar liradır; bu, duran ticari stokun faizidir (RAPOR.md:37) </w:t>
      </w:r>
      <w:r>
        <w:rPr>
          <w:b/>
          <w:color w:val="0B6123"/>
          <w:sz w:val="18"/>
        </w:rPr>
        <w:t>[kanıt, metin]</w:t>
      </w:r>
      <w:r>
        <w:t xml:space="preserve">. Ölçülmüş referansta finansmanın faaliyet kârına oranı 2023’te 0,558, 2024’te 0,839’dur (MALIYET_KAR_ORANI.md) </w:t>
      </w:r>
      <w:r>
        <w:rPr>
          <w:b/>
          <w:color w:val="0B6123"/>
          <w:sz w:val="18"/>
        </w:rPr>
        <w:t>[kanıt]</w:t>
      </w:r>
      <w:r>
        <w:t xml:space="preserve">. Zincir banka kredisiyle çevrilmeyince “yeni faiz maliyete yazılmaz, fiyata da eklenmez” (RAPOR.md:37) </w:t>
      </w:r>
      <w:r>
        <w:rPr>
          <w:b/>
          <w:color w:val="0B6123"/>
          <w:sz w:val="18"/>
        </w:rPr>
        <w:t>[kanıt, metin; etki aday]</w:t>
      </w:r>
      <w:r>
        <w:t>.</w:t>
      </w:r>
    </w:p>
    <w:p>
      <w:pPr>
        <w:pStyle w:val="Heading2"/>
      </w:pPr>
      <w:r>
        <w:t>6.3 Mekanizma</w:t>
      </w:r>
    </w:p>
    <w:p>
      <w:pPr>
        <w:jc w:val="both"/>
      </w:pPr>
      <w:r>
        <w:rPr>
          <w:b/>
        </w:rPr>
        <w:t xml:space="preserve">(42) </w:t>
      </w:r>
      <w:r>
        <w:t xml:space="preserve">S₀ = 25.339,8 milyar TL (F.4, 2026-Q1, ölçüm). r_t, ticari kredi faizidir (TP.KTF17); son gözlem 2026-09’da %53,19, sonrası sabit (varsayım). ψ = 3.143,4 / (0,6038 × 14.527,5) = 0,3584 (ölçüm türevi). u2, K2 penceresi 2028-Q1–2028-Q4 doğrusal (ADIM3_FAIZ_DURMA.md) </w:t>
      </w:r>
      <w:r>
        <w:rPr>
          <w:b/>
          <w:color w:val="0B6123"/>
          <w:sz w:val="18"/>
        </w:rPr>
        <w:t>[kanıt/aday karışık, satırlarda belirtildiği gibi]</w:t>
      </w:r>
      <w:r>
        <w:t xml:space="preserve">. Revize koşuda ψ’nin 1’den büyük çıkabildiği (sb_ayni_kapsam 1,112) görülmüş ve ψ uygulanmadan sözleşme faizi kullanılmıştır (rev_adim3_sonuc.json) </w:t>
      </w:r>
      <w:r>
        <w:rPr>
          <w:b/>
          <w:color w:val="0B6123"/>
          <w:sz w:val="18"/>
        </w:rPr>
        <w:t>[kanıt]</w:t>
      </w:r>
      <w:r>
        <w:t>.</w:t>
      </w:r>
    </w:p>
    <w:p>
      <w:pPr>
        <w:jc w:val="both"/>
      </w:pPr>
      <w:r>
        <w:rPr>
          <w:b/>
        </w:rPr>
        <w:t xml:space="preserve">(43) </w:t>
      </w:r>
      <w:r>
        <w:t xml:space="preserve">SFC: F’nin ödemediği faiz B′’nin almadığı faizdir; B′ yerine K′ üstlenirse sütun değişir, toplam değişmez; ikisi toplanmaz (ADIM3_FAIZ_DURMA.md) </w:t>
      </w:r>
      <w:r>
        <w:rPr>
          <w:b/>
          <w:color w:val="0B6123"/>
          <w:sz w:val="18"/>
        </w:rPr>
        <w:t>[kanıt, kimlik]</w:t>
      </w:r>
      <w:r>
        <w:t>.</w:t>
      </w:r>
    </w:p>
    <w:p>
      <w:pPr>
        <w:pStyle w:val="Heading2"/>
      </w:pPr>
      <w:r>
        <w:t>6.4 Doğurduğu sonuç</w:t>
      </w:r>
    </w:p>
    <w:p>
      <w:pPr>
        <w:keepNext/>
        <w:spacing w:after="40"/>
        <w:jc w:val="left"/>
      </w:pPr>
      <w:r>
        <w:rPr>
          <w:b/>
          <w:sz w:val="19"/>
        </w:rPr>
        <w:t>Tablo 6.2 — Yıllık duran faiz, eski kural (milyar TL; ADIM3_FAIZ_DURMA.md) [kanıt formül; κ ve r aday]</w:t>
      </w:r>
    </w:p>
    <w:tbl>
      <w:tblPr>
        <w:tblStyle w:val="TableGrid"/>
        <w:tblW w:type="auto" w:w="0"/>
        <w:jc w:val="center"/>
        <w:tblLayout w:type="fixed"/>
        <w:tblLook w:firstColumn="1" w:firstRow="1" w:lastColumn="0" w:lastRow="0" w:noHBand="0" w:noVBand="1" w:val="04A0"/>
      </w:tblPr>
      <w:tblGrid>
        <w:gridCol w:w="907"/>
        <w:gridCol w:w="1474"/>
        <w:gridCol w:w="1474"/>
        <w:gridCol w:w="1474"/>
        <w:gridCol w:w="1474"/>
        <w:gridCol w:w="1701"/>
      </w:tblGrid>
      <w:tr>
        <w:trPr>
          <w:tblHeader w:val="true"/>
        </w:trPr>
        <w:tc>
          <w:tcPr>
            <w:tcW w:type="dxa" w:w="907"/>
            <w:shd w:val="clear" w:color="auto" w:fill="D9E2F3"/>
          </w:tcPr>
          <w:p>
            <w:r/>
            <w:r>
              <w:rPr>
                <w:b/>
                <w:sz w:val="18"/>
              </w:rPr>
              <w:t>κ</w:t>
            </w:r>
          </w:p>
        </w:tc>
        <w:tc>
          <w:tcPr>
            <w:tcW w:type="dxa" w:w="1474"/>
            <w:shd w:val="clear" w:color="auto" w:fill="D9E2F3"/>
          </w:tcPr>
          <w:p>
            <w:r/>
            <w:r>
              <w:rPr>
                <w:b/>
                <w:sz w:val="18"/>
              </w:rPr>
              <w:t>2028</w:t>
            </w:r>
          </w:p>
        </w:tc>
        <w:tc>
          <w:tcPr>
            <w:tcW w:type="dxa" w:w="1474"/>
            <w:shd w:val="clear" w:color="auto" w:fill="D9E2F3"/>
          </w:tcPr>
          <w:p>
            <w:r/>
            <w:r>
              <w:rPr>
                <w:b/>
                <w:sz w:val="18"/>
              </w:rPr>
              <w:t>2029</w:t>
            </w:r>
          </w:p>
        </w:tc>
        <w:tc>
          <w:tcPr>
            <w:tcW w:type="dxa" w:w="1474"/>
            <w:shd w:val="clear" w:color="auto" w:fill="D9E2F3"/>
          </w:tcPr>
          <w:p>
            <w:r/>
            <w:r>
              <w:rPr>
                <w:b/>
                <w:sz w:val="18"/>
              </w:rPr>
              <w:t>2030</w:t>
            </w:r>
          </w:p>
        </w:tc>
        <w:tc>
          <w:tcPr>
            <w:tcW w:type="dxa" w:w="1474"/>
            <w:shd w:val="clear" w:color="auto" w:fill="D9E2F3"/>
          </w:tcPr>
          <w:p>
            <w:r/>
            <w:r>
              <w:rPr>
                <w:b/>
                <w:sz w:val="18"/>
              </w:rPr>
              <w:t>2031</w:t>
            </w:r>
          </w:p>
        </w:tc>
        <w:tc>
          <w:tcPr>
            <w:tcW w:type="dxa" w:w="1701"/>
            <w:shd w:val="clear" w:color="auto" w:fill="D9E2F3"/>
          </w:tcPr>
          <w:p>
            <w:r/>
            <w:r>
              <w:rPr>
                <w:b/>
                <w:sz w:val="18"/>
              </w:rPr>
              <w:t>2029 / FG2024</w:t>
            </w:r>
          </w:p>
        </w:tc>
      </w:tr>
      <w:tr>
        <w:tc>
          <w:tcPr>
            <w:tcW w:type="dxa" w:w="907"/>
          </w:tcPr>
          <w:p>
            <w:pPr>
              <w:spacing w:after="20"/>
            </w:pPr>
            <w:r/>
            <w:r>
              <w:rPr>
                <w:sz w:val="18"/>
              </w:rPr>
              <w:t>0,25</w:t>
            </w:r>
          </w:p>
        </w:tc>
        <w:tc>
          <w:tcPr>
            <w:tcW w:type="dxa" w:w="1474"/>
          </w:tcPr>
          <w:p>
            <w:pPr>
              <w:spacing w:after="20"/>
            </w:pPr>
            <w:r/>
            <w:r>
              <w:rPr>
                <w:sz w:val="18"/>
              </w:rPr>
              <w:t>754,8</w:t>
            </w:r>
          </w:p>
        </w:tc>
        <w:tc>
          <w:tcPr>
            <w:tcW w:type="dxa" w:w="1474"/>
          </w:tcPr>
          <w:p>
            <w:pPr>
              <w:spacing w:after="20"/>
            </w:pPr>
            <w:r/>
            <w:r>
              <w:rPr>
                <w:sz w:val="18"/>
              </w:rPr>
              <w:t>1.207,7</w:t>
            </w:r>
          </w:p>
        </w:tc>
        <w:tc>
          <w:tcPr>
            <w:tcW w:type="dxa" w:w="1474"/>
          </w:tcPr>
          <w:p>
            <w:pPr>
              <w:spacing w:after="20"/>
            </w:pPr>
            <w:r/>
            <w:r>
              <w:rPr>
                <w:sz w:val="18"/>
              </w:rPr>
              <w:t>1.207,7</w:t>
            </w:r>
          </w:p>
        </w:tc>
        <w:tc>
          <w:tcPr>
            <w:tcW w:type="dxa" w:w="1474"/>
          </w:tcPr>
          <w:p>
            <w:pPr>
              <w:spacing w:after="20"/>
            </w:pPr>
            <w:r/>
            <w:r>
              <w:rPr>
                <w:sz w:val="18"/>
              </w:rPr>
              <w:t>1.207,7</w:t>
            </w:r>
          </w:p>
        </w:tc>
        <w:tc>
          <w:tcPr>
            <w:tcW w:type="dxa" w:w="1701"/>
          </w:tcPr>
          <w:p>
            <w:pPr>
              <w:spacing w:after="20"/>
            </w:pPr>
            <w:r/>
            <w:r>
              <w:rPr>
                <w:sz w:val="18"/>
              </w:rPr>
              <w:t>0,38×</w:t>
            </w:r>
          </w:p>
        </w:tc>
      </w:tr>
      <w:tr>
        <w:tc>
          <w:tcPr>
            <w:tcW w:type="dxa" w:w="907"/>
          </w:tcPr>
          <w:p>
            <w:pPr>
              <w:spacing w:after="20"/>
            </w:pPr>
            <w:r/>
            <w:r>
              <w:rPr>
                <w:sz w:val="18"/>
              </w:rPr>
              <w:t>0,50</w:t>
            </w:r>
          </w:p>
        </w:tc>
        <w:tc>
          <w:tcPr>
            <w:tcW w:type="dxa" w:w="1474"/>
          </w:tcPr>
          <w:p>
            <w:pPr>
              <w:spacing w:after="20"/>
            </w:pPr>
            <w:r/>
            <w:r>
              <w:rPr>
                <w:sz w:val="18"/>
              </w:rPr>
              <w:t>1.509,6</w:t>
            </w:r>
          </w:p>
        </w:tc>
        <w:tc>
          <w:tcPr>
            <w:tcW w:type="dxa" w:w="1474"/>
          </w:tcPr>
          <w:p>
            <w:pPr>
              <w:spacing w:after="20"/>
            </w:pPr>
            <w:r/>
            <w:r>
              <w:rPr>
                <w:sz w:val="18"/>
              </w:rPr>
              <w:t>2.415,4</w:t>
            </w:r>
          </w:p>
        </w:tc>
        <w:tc>
          <w:tcPr>
            <w:tcW w:type="dxa" w:w="1474"/>
          </w:tcPr>
          <w:p>
            <w:pPr>
              <w:spacing w:after="20"/>
            </w:pPr>
            <w:r/>
            <w:r>
              <w:rPr>
                <w:sz w:val="18"/>
              </w:rPr>
              <w:t>2.415,4</w:t>
            </w:r>
          </w:p>
        </w:tc>
        <w:tc>
          <w:tcPr>
            <w:tcW w:type="dxa" w:w="1474"/>
          </w:tcPr>
          <w:p>
            <w:pPr>
              <w:spacing w:after="20"/>
            </w:pPr>
            <w:r/>
            <w:r>
              <w:rPr>
                <w:sz w:val="18"/>
              </w:rPr>
              <w:t>2.415,4</w:t>
            </w:r>
          </w:p>
        </w:tc>
        <w:tc>
          <w:tcPr>
            <w:tcW w:type="dxa" w:w="1701"/>
          </w:tcPr>
          <w:p>
            <w:pPr>
              <w:spacing w:after="20"/>
            </w:pPr>
            <w:r/>
            <w:r>
              <w:rPr>
                <w:sz w:val="18"/>
              </w:rPr>
              <w:t>0,77×</w:t>
            </w:r>
          </w:p>
        </w:tc>
      </w:tr>
      <w:tr>
        <w:tc>
          <w:tcPr>
            <w:tcW w:type="dxa" w:w="907"/>
          </w:tcPr>
          <w:p>
            <w:pPr>
              <w:spacing w:after="20"/>
            </w:pPr>
            <w:r/>
            <w:r>
              <w:rPr>
                <w:sz w:val="18"/>
              </w:rPr>
              <w:t>1,00</w:t>
            </w:r>
          </w:p>
        </w:tc>
        <w:tc>
          <w:tcPr>
            <w:tcW w:type="dxa" w:w="1474"/>
          </w:tcPr>
          <w:p>
            <w:pPr>
              <w:spacing w:after="20"/>
            </w:pPr>
            <w:r/>
            <w:r>
              <w:rPr>
                <w:sz w:val="18"/>
              </w:rPr>
              <w:t>3.019,3</w:t>
            </w:r>
          </w:p>
        </w:tc>
        <w:tc>
          <w:tcPr>
            <w:tcW w:type="dxa" w:w="1474"/>
          </w:tcPr>
          <w:p>
            <w:pPr>
              <w:spacing w:after="20"/>
            </w:pPr>
            <w:r/>
            <w:r>
              <w:rPr>
                <w:sz w:val="18"/>
              </w:rPr>
              <w:t>4.830,8</w:t>
            </w:r>
          </w:p>
        </w:tc>
        <w:tc>
          <w:tcPr>
            <w:tcW w:type="dxa" w:w="1474"/>
          </w:tcPr>
          <w:p>
            <w:pPr>
              <w:spacing w:after="20"/>
            </w:pPr>
            <w:r/>
            <w:r>
              <w:rPr>
                <w:sz w:val="18"/>
              </w:rPr>
              <w:t>4.830,8</w:t>
            </w:r>
          </w:p>
        </w:tc>
        <w:tc>
          <w:tcPr>
            <w:tcW w:type="dxa" w:w="1474"/>
          </w:tcPr>
          <w:p>
            <w:pPr>
              <w:spacing w:after="20"/>
            </w:pPr>
            <w:r/>
            <w:r>
              <w:rPr>
                <w:sz w:val="18"/>
              </w:rPr>
              <w:t>4.830,8</w:t>
            </w:r>
          </w:p>
        </w:tc>
        <w:tc>
          <w:tcPr>
            <w:tcW w:type="dxa" w:w="1701"/>
          </w:tcPr>
          <w:p>
            <w:pPr>
              <w:spacing w:after="20"/>
            </w:pPr>
            <w:r/>
            <w:r>
              <w:rPr>
                <w:sz w:val="18"/>
              </w:rPr>
              <w:t>1,54×</w:t>
            </w:r>
          </w:p>
        </w:tc>
      </w:tr>
    </w:tbl>
    <w:p>
      <w:pPr>
        <w:spacing w:after="40"/>
      </w:pPr>
    </w:p>
    <w:p>
      <w:pPr>
        <w:jc w:val="both"/>
      </w:pPr>
      <w:r>
        <w:rPr>
          <w:b/>
        </w:rPr>
        <w:t xml:space="preserve">(44) </w:t>
      </w:r>
      <w:r>
        <w:t xml:space="preserve">Revize koşuda (nominal büyüyen stok, TL/YP ayrımı) 2029 sözleşme faizi κ = 0,25, δ = 0 iken 1.616,4 milyar TL’dir (2029 GSYH’sinin %1,14’ü); κ = 1 için 2029 bandı 4.527,2–31.224,7 milyar TL ve FG2024 katı 1,44–9,93’tür (YAPILABILIRLIK.md:51, :53; rev_adim3_sonuc.json) </w:t>
      </w:r>
      <w:r>
        <w:rPr>
          <w:b/>
          <w:color w:val="0B6123"/>
          <w:sz w:val="18"/>
        </w:rPr>
        <w:t>[kanıt formül; κ, g ve r aday]</w:t>
      </w:r>
      <w:r>
        <w:t>.</w:t>
      </w:r>
    </w:p>
    <w:p>
      <w:pPr>
        <w:pStyle w:val="Heading2"/>
      </w:pPr>
      <w:r>
        <w:t>6.5 Maliyet</w:t>
      </w:r>
    </w:p>
    <w:p>
      <w:pPr>
        <w:jc w:val="both"/>
      </w:pPr>
      <w:r>
        <w:rPr>
          <w:b/>
        </w:rPr>
        <w:t xml:space="preserve">(45) </w:t>
      </w:r>
      <w:r>
        <w:t xml:space="preserve">Adım 3 bir </w:t>
      </w:r>
      <w:r>
        <w:rPr>
          <w:b/>
        </w:rPr>
        <w:t>transferdir</w:t>
      </w:r>
      <w:r>
        <w:t xml:space="preserve">: ΣNL = 0 (YAPILABILIRLIK.md:10) </w:t>
      </w:r>
      <w:r>
        <w:rPr>
          <w:b/>
          <w:color w:val="0B6123"/>
          <w:sz w:val="18"/>
        </w:rPr>
        <w:t>[kanıt]</w:t>
      </w:r>
      <w:r>
        <w:t xml:space="preserve">. Ekonomi bütünü açısından net maliyet yaratmaz; alacaklının veya kamunun gelir kaybını borçluya aktarır. Bu nedenle “maliyet” iki ayrı satırda okunmalıdır: (i) ödeyen haznenin taşıdığı transfer (κ = 0,25’te 2029’da 1.616,4 milyar TL = GSYH’nin %1,14’ü), (ii) yürütme maliyeti: duran faizin ρ katı, 2029’da κ = 0,25 için 4,8 (ρ %0,4) – 108,7 (ρ %9) – 350,2 (ρ %29) milyar TL/yıl (BES_ADIM_MALIYET.md) </w:t>
      </w:r>
      <w:r>
        <w:rPr>
          <w:b/>
          <w:color w:val="A05200"/>
          <w:sz w:val="18"/>
        </w:rPr>
        <w:t>[aday, ρ ve κ]</w:t>
      </w:r>
      <w:r>
        <w:t xml:space="preserve">. GSYH_PAY.md yüksek senaryosunda yürütme maliyetinin büyük kısmı Adım 3’ten gelir (2029: 1.400,9 milyar TL) </w:t>
      </w:r>
      <w:r>
        <w:rPr>
          <w:b/>
          <w:color w:val="A05200"/>
          <w:sz w:val="18"/>
        </w:rPr>
        <w:t>[aday]</w:t>
      </w:r>
      <w:r>
        <w:t>.</w:t>
      </w:r>
    </w:p>
    <w:p>
      <w:pPr>
        <w:pStyle w:val="Heading2"/>
      </w:pPr>
      <w:r>
        <w:t>6.6 Fayda</w:t>
      </w:r>
    </w:p>
    <w:p>
      <w:pPr>
        <w:jc w:val="both"/>
      </w:pPr>
      <w:r>
        <w:rPr>
          <w:b/>
        </w:rPr>
        <w:t xml:space="preserve">(46) </w:t>
      </w:r>
      <w:r>
        <w:t xml:space="preserve">Firmalar açısından faiz yükünün durması ve fiyata yeni faiz eklenmemesi. Fayda borçlu kesim için gerçek, ekonomi bütünü için dağılımsaldır. Bankalar açısından “döngüyü çeviren taze kredi azalır; eski stokun faizi sürer” (RAPOR.md:33) </w:t>
      </w:r>
      <w:r>
        <w:rPr>
          <w:b/>
          <w:color w:val="0B6123"/>
          <w:sz w:val="18"/>
        </w:rPr>
        <w:t>[kanıt, metin]</w:t>
      </w:r>
      <w:r>
        <w:t xml:space="preserve"> cümlesi ile faizin durması kuralı arasında gerilim vardır: faiz B′ üzerinde durursa bankanın gelir kaybı doğar; K′ üstlenirse bütçe yükü doğar.</w:t>
      </w:r>
    </w:p>
    <w:p>
      <w:pPr>
        <w:pStyle w:val="Heading2"/>
      </w:pPr>
      <w:r>
        <w:t>6.7 Amaç</w:t>
      </w:r>
    </w:p>
    <w:p>
      <w:pPr>
        <w:jc w:val="both"/>
      </w:pPr>
      <w:r>
        <w:rPr>
          <w:b/>
        </w:rPr>
        <w:t xml:space="preserve">(47) </w:t>
      </w:r>
      <w:r>
        <w:t>Mahsup ve akış planı süresince borçlunun yeni faiz yükü altında yeniden kilitlenmesini önlemek; stok ödenene kadar faiz tahakkukunu dondurmak.</w:t>
      </w:r>
    </w:p>
    <w:tbl>
      <w:tblPr>
        <w:tblStyle w:val="TableGrid"/>
        <w:tblW w:type="auto" w:w="0"/>
        <w:tblLook w:firstColumn="1" w:firstRow="1" w:lastColumn="0" w:lastRow="0" w:noHBand="0" w:noVBand="1" w:val="04A0"/>
      </w:tblPr>
      <w:tblGrid>
        <w:gridCol w:w="9242"/>
      </w:tblGrid>
      <w:tr>
        <w:tc>
          <w:tcPr>
            <w:tcW w:type="dxa" w:w="9241"/>
            <w:shd w:val="clear" w:color="auto" w:fill="FCE4D6"/>
          </w:tcPr>
          <w:p>
            <w:r/>
            <w:r>
              <w:rPr>
                <w:b/>
                <w:sz w:val="20"/>
              </w:rPr>
              <w:t>Adım 3 bulgu hükmü</w:t>
            </w:r>
          </w:p>
          <w:p>
            <w:pPr>
              <w:spacing w:after="40"/>
              <w:jc w:val="both"/>
            </w:pPr>
            <w:r>
              <w:rPr>
                <w:b/>
                <w:sz w:val="19"/>
              </w:rPr>
              <w:t>Kısmen yapılabilir.</w:t>
            </w:r>
            <w:r>
              <w:rPr>
                <w:sz w:val="19"/>
              </w:rPr>
              <w:t xml:space="preserve"> “Faizin durması” bileşeni, ödeyen hazne seçildiği ve κ küçük tutulduğu ölçüde Adım 1–2’den bağımsız uygulanabilir bir transfer kuralıdır. “Akışın krediyle çevrilmemesi” bileşeni ise Adım 1–2’ye bağımlıdır. Birleşik streste (kur %30, faiz %55, azami büyüme) κ = 0,25’te 2029 faizi 8.142,1 milyar TL’ye (%5,77 GSYH) çıkmakta ve koşul tutmamaktadır (YAPILABILIRLIK.md:59, :61) </w:t>
            </w:r>
            <w:r>
              <w:rPr>
                <w:b/>
                <w:color w:val="0B6123"/>
                <w:sz w:val="19"/>
              </w:rPr>
              <w:t>[kanıt formül; şok aday]</w:t>
            </w:r>
            <w:r>
              <w:rPr>
                <w:sz w:val="19"/>
              </w:rPr>
              <w:t>.</w:t>
            </w:r>
          </w:p>
        </w:tc>
      </w:tr>
    </w:tbl>
    <w:p>
      <w:pPr>
        <w:spacing w:after="40"/>
      </w:pPr>
    </w:p>
    <w:p>
      <w:r>
        <w:br w:type="page"/>
      </w:r>
    </w:p>
    <w:p>
      <w:pPr>
        <w:pStyle w:val="Heading1"/>
      </w:pPr>
      <w:r>
        <w:t>7. Adım 4 — Tasarrufun Adres Yönlendirmesi ve Hedef Primli Senet</w:t>
      </w:r>
    </w:p>
    <w:p>
      <w:pPr>
        <w:jc w:val="both"/>
      </w:pPr>
      <w:r>
        <w:rPr>
          <w:b/>
        </w:rPr>
        <w:t xml:space="preserve">(48) </w:t>
      </w:r>
      <w:r>
        <w:t xml:space="preserve">Tanım: “Tasarruf, dolar ve arsa yerine hedef senedine gider. Senet üretimi finanse eder. Para her gün çekilmez, senedi başkasına satarak çıkılır.” (RAPOR.md:24) </w:t>
      </w:r>
      <w:r>
        <w:rPr>
          <w:b/>
          <w:color w:val="0B6123"/>
          <w:sz w:val="18"/>
        </w:rPr>
        <w:t>[kanıt, metin]</w:t>
      </w:r>
      <w:r>
        <w:t xml:space="preserve">. Senedin adı hedef primli endeksli senettir; anapara liradır ve enflasyona endekslidir; kupon faiz değildir; prim, tutan hedefin yarattığı tasarruftan ödenir; “Prim havadan gelmez” (RAPOR.md:17) </w:t>
      </w:r>
      <w:r>
        <w:rPr>
          <w:b/>
          <w:color w:val="0B6123"/>
          <w:sz w:val="18"/>
        </w:rPr>
        <w:t>[kanıt, metin]</w:t>
      </w:r>
      <w:r>
        <w:t xml:space="preserve">. Depoda </w:t>
      </w:r>
      <w:r>
        <w:rPr>
          <w:rFonts w:ascii="Consolas" w:hAnsi="Consolas"/>
          <w:sz w:val="19"/>
        </w:rPr>
        <w:t>adim4.csv</w:t>
      </w:r>
      <w:r>
        <w:t xml:space="preserve"> senet satırı </w:t>
      </w:r>
      <w:r>
        <w:rPr>
          <w:rFonts w:ascii="Consolas" w:hAnsi="Consolas"/>
          <w:sz w:val="19"/>
        </w:rPr>
        <w:t>modellenmedi</w:t>
      </w:r>
      <w:r>
        <w:t xml:space="preserve"> durumundadır ve </w:t>
      </w:r>
      <w:r>
        <w:rPr>
          <w:rFonts w:ascii="Consolas" w:hAnsi="Consolas"/>
          <w:sz w:val="19"/>
        </w:rPr>
        <w:t>senet_kilit.txt</w:t>
      </w:r>
      <w:r>
        <w:t xml:space="preserve"> korunmaktadır (BES_ADIM.md; YAPILABILIRLIK.md “Taslak işareti”) </w:t>
      </w:r>
      <w:r>
        <w:rPr>
          <w:b/>
          <w:color w:val="0B6123"/>
          <w:sz w:val="18"/>
        </w:rPr>
        <w:t>[kanıt]</w:t>
      </w:r>
      <w:r>
        <w:t xml:space="preserve">. PR #29 ile eklenen analiz/senet/ taslağı bu kilidin dışındadır ve değerlendirmenin girdisi değildir </w:t>
      </w:r>
      <w:r>
        <w:rPr>
          <w:b/>
          <w:color w:val="0B6123"/>
          <w:sz w:val="18"/>
        </w:rPr>
        <w:t>[kanıt]</w:t>
      </w:r>
      <w:r>
        <w:t>.</w:t>
      </w:r>
    </w:p>
    <w:p>
      <w:pPr>
        <w:pStyle w:val="Heading2"/>
      </w:pPr>
      <w:r>
        <w:t>7.1 Başlangıç kıstası</w:t>
      </w:r>
    </w:p>
    <w:p>
      <w:pPr>
        <w:keepNext/>
        <w:spacing w:after="40"/>
        <w:jc w:val="left"/>
      </w:pPr>
      <w:r>
        <w:rPr>
          <w:b/>
          <w:sz w:val="19"/>
        </w:rPr>
        <w:t>Tablo 7.1 — Adım 4 başlangıç kıstası</w:t>
      </w:r>
    </w:p>
    <w:tbl>
      <w:tblPr>
        <w:tblStyle w:val="TableGrid"/>
        <w:tblW w:type="auto" w:w="0"/>
        <w:jc w:val="center"/>
        <w:tblLayout w:type="fixed"/>
        <w:tblLook w:firstColumn="1" w:firstRow="1" w:lastColumn="0" w:lastRow="0" w:noHBand="0" w:noVBand="1" w:val="04A0"/>
      </w:tblPr>
      <w:tblGrid>
        <w:gridCol w:w="567"/>
        <w:gridCol w:w="2268"/>
        <w:gridCol w:w="2041"/>
        <w:gridCol w:w="1361"/>
        <w:gridCol w:w="2835"/>
      </w:tblGrid>
      <w:tr>
        <w:trPr>
          <w:tblHeader w:val="true"/>
        </w:trPr>
        <w:tc>
          <w:tcPr>
            <w:tcW w:type="dxa" w:w="567"/>
            <w:shd w:val="clear" w:color="auto" w:fill="D9E2F3"/>
          </w:tcPr>
          <w:p>
            <w:r/>
            <w:r>
              <w:rPr>
                <w:b/>
                <w:sz w:val="16"/>
              </w:rPr>
              <w:t>No</w:t>
            </w:r>
          </w:p>
        </w:tc>
        <w:tc>
          <w:tcPr>
            <w:tcW w:type="dxa" w:w="2268"/>
            <w:shd w:val="clear" w:color="auto" w:fill="D9E2F3"/>
          </w:tcPr>
          <w:p>
            <w:r/>
            <w:r>
              <w:rPr>
                <w:b/>
                <w:sz w:val="16"/>
              </w:rPr>
              <w:t>Kıstas</w:t>
            </w:r>
          </w:p>
        </w:tc>
        <w:tc>
          <w:tcPr>
            <w:tcW w:type="dxa" w:w="2041"/>
            <w:shd w:val="clear" w:color="auto" w:fill="D9E2F3"/>
          </w:tcPr>
          <w:p>
            <w:r/>
            <w:r>
              <w:rPr>
                <w:b/>
                <w:sz w:val="16"/>
              </w:rPr>
              <w:t>Nasıl doğrulanır</w:t>
            </w:r>
          </w:p>
        </w:tc>
        <w:tc>
          <w:tcPr>
            <w:tcW w:type="dxa" w:w="1361"/>
            <w:shd w:val="clear" w:color="auto" w:fill="D9E2F3"/>
          </w:tcPr>
          <w:p>
            <w:r/>
            <w:r>
              <w:rPr>
                <w:b/>
                <w:sz w:val="16"/>
              </w:rPr>
              <w:t>Bugünkü durum</w:t>
            </w:r>
          </w:p>
        </w:tc>
        <w:tc>
          <w:tcPr>
            <w:tcW w:type="dxa" w:w="2835"/>
            <w:shd w:val="clear" w:color="auto" w:fill="D9E2F3"/>
          </w:tcPr>
          <w:p>
            <w:r/>
            <w:r>
              <w:rPr>
                <w:b/>
                <w:sz w:val="16"/>
              </w:rPr>
              <w:t>Dayanak</w:t>
            </w:r>
          </w:p>
        </w:tc>
      </w:tr>
      <w:tr>
        <w:tc>
          <w:tcPr>
            <w:tcW w:type="dxa" w:w="567"/>
          </w:tcPr>
          <w:p>
            <w:pPr>
              <w:spacing w:after="20"/>
            </w:pPr>
            <w:r/>
            <w:r>
              <w:rPr>
                <w:sz w:val="16"/>
              </w:rPr>
              <w:t>4.a</w:t>
            </w:r>
          </w:p>
        </w:tc>
        <w:tc>
          <w:tcPr>
            <w:tcW w:type="dxa" w:w="2268"/>
          </w:tcPr>
          <w:p>
            <w:pPr>
              <w:spacing w:after="20"/>
            </w:pPr>
            <w:r/>
            <w:r>
              <w:rPr>
                <w:sz w:val="16"/>
              </w:rPr>
              <w:t>Kilit önce açılmış (Adım 1 mahsubu uygulanmış)</w:t>
            </w:r>
          </w:p>
        </w:tc>
        <w:tc>
          <w:tcPr>
            <w:tcW w:type="dxa" w:w="2041"/>
          </w:tcPr>
          <w:p>
            <w:pPr>
              <w:spacing w:after="20"/>
            </w:pPr>
            <w:r/>
            <w:r>
              <w:rPr>
                <w:sz w:val="16"/>
              </w:rPr>
              <w:t>Adım 1 kıstası</w:t>
            </w:r>
          </w:p>
        </w:tc>
        <w:tc>
          <w:tcPr>
            <w:tcW w:type="dxa" w:w="1361"/>
            <w:shd w:val="clear" w:color="auto" w:fill="F8CBAD"/>
          </w:tcPr>
          <w:p>
            <w:pPr>
              <w:spacing w:after="20"/>
            </w:pPr>
            <w:r/>
            <w:r>
              <w:rPr>
                <w:sz w:val="16"/>
              </w:rPr>
              <w:t>sağlanmıyor</w:t>
            </w:r>
          </w:p>
        </w:tc>
        <w:tc>
          <w:tcPr>
            <w:tcW w:type="dxa" w:w="2835"/>
          </w:tcPr>
          <w:p>
            <w:pPr>
              <w:spacing w:after="20"/>
            </w:pPr>
            <w:r/>
            <w:r>
              <w:rPr>
                <w:sz w:val="16"/>
              </w:rPr>
              <w:t>RAPOR.md:5 (“biri olmadan diğeri yarım kalır”); Tablo 4.1</w:t>
            </w:r>
          </w:p>
        </w:tc>
      </w:tr>
      <w:tr>
        <w:tc>
          <w:tcPr>
            <w:tcW w:type="dxa" w:w="567"/>
          </w:tcPr>
          <w:p>
            <w:pPr>
              <w:spacing w:after="20"/>
            </w:pPr>
            <w:r/>
            <w:r>
              <w:rPr>
                <w:sz w:val="16"/>
              </w:rPr>
              <w:t>4.b</w:t>
            </w:r>
          </w:p>
        </w:tc>
        <w:tc>
          <w:tcPr>
            <w:tcW w:type="dxa" w:w="2268"/>
          </w:tcPr>
          <w:p>
            <w:pPr>
              <w:spacing w:after="20"/>
            </w:pPr>
            <w:r/>
            <w:r>
              <w:rPr>
                <w:sz w:val="16"/>
              </w:rPr>
              <w:t>Banka kredisinin mevduat kaybına tepkisi belirlenmiş</w:t>
            </w:r>
          </w:p>
        </w:tc>
        <w:tc>
          <w:tcPr>
            <w:tcW w:type="dxa" w:w="2041"/>
          </w:tcPr>
          <w:p>
            <w:pPr>
              <w:spacing w:after="20"/>
            </w:pPr>
            <w:r/>
            <w:r>
              <w:rPr>
                <w:sz w:val="16"/>
              </w:rPr>
              <w:t>Kredi katsayısının nedensel tahmini</w:t>
            </w:r>
          </w:p>
        </w:tc>
        <w:tc>
          <w:tcPr>
            <w:tcW w:type="dxa" w:w="1361"/>
            <w:shd w:val="clear" w:color="auto" w:fill="FFF2CC"/>
          </w:tcPr>
          <w:p>
            <w:pPr>
              <w:spacing w:after="20"/>
            </w:pPr>
            <w:r/>
            <w:r>
              <w:rPr>
                <w:sz w:val="16"/>
              </w:rPr>
              <w:t>ölçülemedi</w:t>
            </w:r>
          </w:p>
        </w:tc>
        <w:tc>
          <w:tcPr>
            <w:tcW w:type="dxa" w:w="2835"/>
          </w:tcPr>
          <w:p>
            <w:pPr>
              <w:spacing w:after="20"/>
            </w:pPr>
            <w:r/>
            <w:r>
              <w:rPr>
                <w:sz w:val="16"/>
              </w:rPr>
              <w:t>Bant 0,08–0,787; eş-hareket, nedensellik değil (rev_adim4_sonuc.json)</w:t>
            </w:r>
          </w:p>
        </w:tc>
      </w:tr>
      <w:tr>
        <w:tc>
          <w:tcPr>
            <w:tcW w:type="dxa" w:w="567"/>
          </w:tcPr>
          <w:p>
            <w:pPr>
              <w:spacing w:after="20"/>
            </w:pPr>
            <w:r/>
            <w:r>
              <w:rPr>
                <w:sz w:val="16"/>
              </w:rPr>
              <w:t>4.c</w:t>
            </w:r>
          </w:p>
        </w:tc>
        <w:tc>
          <w:tcPr>
            <w:tcW w:type="dxa" w:w="2268"/>
          </w:tcPr>
          <w:p>
            <w:pPr>
              <w:spacing w:after="20"/>
            </w:pPr>
            <w:r/>
            <w:r>
              <w:rPr>
                <w:sz w:val="16"/>
              </w:rPr>
              <w:t>Elinde tutan kesimin emme kapasitesi yıllık dilime yeter</w:t>
            </w:r>
          </w:p>
        </w:tc>
        <w:tc>
          <w:tcPr>
            <w:tcW w:type="dxa" w:w="2041"/>
          </w:tcPr>
          <w:p>
            <w:pPr>
              <w:spacing w:after="20"/>
            </w:pPr>
            <w:r/>
            <w:r>
              <w:rPr>
                <w:sz w:val="16"/>
              </w:rPr>
              <w:t>DİBS elinde tutan dağılımı</w:t>
            </w:r>
          </w:p>
        </w:tc>
        <w:tc>
          <w:tcPr>
            <w:tcW w:type="dxa" w:w="1361"/>
            <w:shd w:val="clear" w:color="auto" w:fill="FCE4D6"/>
          </w:tcPr>
          <w:p>
            <w:pPr>
              <w:spacing w:after="20"/>
            </w:pPr>
            <w:r/>
            <w:r>
              <w:rPr>
                <w:sz w:val="16"/>
              </w:rPr>
              <w:t>kısmen</w:t>
            </w:r>
          </w:p>
        </w:tc>
        <w:tc>
          <w:tcPr>
            <w:tcW w:type="dxa" w:w="2835"/>
          </w:tcPr>
          <w:p>
            <w:pPr>
              <w:spacing w:after="20"/>
            </w:pPr>
            <w:r/>
            <w:r>
              <w:rPr>
                <w:sz w:val="16"/>
              </w:rPr>
              <w:t>H = 589,37 %10 dilimini almaz; geniş defter (2.322,32) %10’u alır, %30’u almaz; piyasa (10.339,8) her ikisini alır (SENET_ANALIZ.md:27)</w:t>
            </w:r>
          </w:p>
        </w:tc>
      </w:tr>
      <w:tr>
        <w:tc>
          <w:tcPr>
            <w:tcW w:type="dxa" w:w="567"/>
          </w:tcPr>
          <w:p>
            <w:pPr>
              <w:spacing w:after="20"/>
            </w:pPr>
            <w:r/>
            <w:r>
              <w:rPr>
                <w:sz w:val="16"/>
              </w:rPr>
              <w:t>4.d</w:t>
            </w:r>
          </w:p>
        </w:tc>
        <w:tc>
          <w:tcPr>
            <w:tcW w:type="dxa" w:w="2268"/>
          </w:tcPr>
          <w:p>
            <w:pPr>
              <w:spacing w:after="20"/>
            </w:pPr>
            <w:r/>
            <w:r>
              <w:rPr>
                <w:sz w:val="16"/>
              </w:rPr>
              <w:t>Gerçekleşen ithal ikamesi R ölçülebilir; endeks bacağı hesaplanmış</w:t>
            </w:r>
          </w:p>
        </w:tc>
        <w:tc>
          <w:tcPr>
            <w:tcW w:type="dxa" w:w="2041"/>
          </w:tcPr>
          <w:p>
            <w:pPr>
              <w:spacing w:after="20"/>
            </w:pPr>
            <w:r/>
            <w:r>
              <w:rPr>
                <w:sz w:val="16"/>
              </w:rPr>
              <w:t>Fiziki endeks; BEC ara mal ithalatı karşılaştırması</w:t>
            </w:r>
          </w:p>
        </w:tc>
        <w:tc>
          <w:tcPr>
            <w:tcW w:type="dxa" w:w="1361"/>
            <w:shd w:val="clear" w:color="auto" w:fill="F8CBAD"/>
          </w:tcPr>
          <w:p>
            <w:pPr>
              <w:spacing w:after="20"/>
            </w:pPr>
            <w:r/>
            <w:r>
              <w:rPr>
                <w:sz w:val="16"/>
              </w:rPr>
              <w:t>sağlanmıyor</w:t>
            </w:r>
          </w:p>
        </w:tc>
        <w:tc>
          <w:tcPr>
            <w:tcW w:type="dxa" w:w="2835"/>
          </w:tcPr>
          <w:p>
            <w:pPr>
              <w:spacing w:after="20"/>
            </w:pPr>
            <w:r/>
            <w:r>
              <w:rPr>
                <w:sz w:val="16"/>
              </w:rPr>
              <w:t>R ölçülmedi, τ = 0 → Π = 0; endeks “hesaplanmadi” (SENET_ANALIZ.md:92)</w:t>
            </w:r>
          </w:p>
        </w:tc>
      </w:tr>
      <w:tr>
        <w:tc>
          <w:tcPr>
            <w:tcW w:type="dxa" w:w="567"/>
          </w:tcPr>
          <w:p>
            <w:pPr>
              <w:spacing w:after="20"/>
            </w:pPr>
            <w:r/>
            <w:r>
              <w:rPr>
                <w:sz w:val="16"/>
              </w:rPr>
              <w:t>4.e</w:t>
            </w:r>
          </w:p>
        </w:tc>
        <w:tc>
          <w:tcPr>
            <w:tcW w:type="dxa" w:w="2268"/>
          </w:tcPr>
          <w:p>
            <w:pPr>
              <w:spacing w:after="20"/>
            </w:pPr>
            <w:r/>
            <w:r>
              <w:rPr>
                <w:sz w:val="16"/>
              </w:rPr>
              <w:t>Rant kapıları doğrulanabilir (e-fatura eşleşmesi, ilgili taraf, Sayıştay ödenmeyen emir)</w:t>
            </w:r>
          </w:p>
        </w:tc>
        <w:tc>
          <w:tcPr>
            <w:tcW w:type="dxa" w:w="2041"/>
          </w:tcPr>
          <w:p>
            <w:pPr>
              <w:spacing w:after="20"/>
            </w:pPr>
            <w:r/>
            <w:r>
              <w:rPr>
                <w:sz w:val="16"/>
              </w:rPr>
              <w:t>GİB eşleşmesi; KAP ilgili taraf; Muhasebat 320/103 bakiyeleri</w:t>
            </w:r>
          </w:p>
        </w:tc>
        <w:tc>
          <w:tcPr>
            <w:tcW w:type="dxa" w:w="1361"/>
            <w:shd w:val="clear" w:color="auto" w:fill="FFF2CC"/>
          </w:tcPr>
          <w:p>
            <w:pPr>
              <w:spacing w:after="20"/>
            </w:pPr>
            <w:r/>
            <w:r>
              <w:rPr>
                <w:sz w:val="16"/>
              </w:rPr>
              <w:t>ölçülemedi</w:t>
            </w:r>
          </w:p>
        </w:tc>
        <w:tc>
          <w:tcPr>
            <w:tcW w:type="dxa" w:w="2835"/>
          </w:tcPr>
          <w:p>
            <w:pPr>
              <w:spacing w:after="20"/>
            </w:pPr>
            <w:r/>
            <w:r>
              <w:rPr>
                <w:sz w:val="16"/>
              </w:rPr>
              <w:t xml:space="preserve">VADELI_KALICILIK.md kapı 3 “bulunamadı”; rant_sonuc.json </w:t>
            </w:r>
            <w:r>
              <w:rPr>
                <w:rFonts w:ascii="Consolas" w:hAnsi="Consolas"/>
                <w:sz w:val="19"/>
              </w:rPr>
              <w:t>k5_siki_uygun_pay: 0</w:t>
            </w:r>
          </w:p>
        </w:tc>
      </w:tr>
      <w:tr>
        <w:tc>
          <w:tcPr>
            <w:tcW w:type="dxa" w:w="567"/>
          </w:tcPr>
          <w:p>
            <w:pPr>
              <w:spacing w:after="20"/>
            </w:pPr>
            <w:r/>
            <w:r>
              <w:rPr>
                <w:sz w:val="16"/>
              </w:rPr>
              <w:t>4.f</w:t>
            </w:r>
          </w:p>
        </w:tc>
        <w:tc>
          <w:tcPr>
            <w:tcW w:type="dxa" w:w="2268"/>
          </w:tcPr>
          <w:p>
            <w:pPr>
              <w:spacing w:after="20"/>
            </w:pPr>
            <w:r/>
            <w:r>
              <w:rPr>
                <w:sz w:val="16"/>
              </w:rPr>
              <w:t>Çıkış yalnız ikincil satışla; günlük nakde çevrim yok</w:t>
            </w:r>
          </w:p>
        </w:tc>
        <w:tc>
          <w:tcPr>
            <w:tcW w:type="dxa" w:w="2041"/>
          </w:tcPr>
          <w:p>
            <w:pPr>
              <w:spacing w:after="20"/>
            </w:pPr>
            <w:r/>
            <w:r>
              <w:rPr>
                <w:sz w:val="16"/>
              </w:rPr>
              <w:t>Tasarım kuralı ve ikincil piyasa varlığı</w:t>
            </w:r>
          </w:p>
        </w:tc>
        <w:tc>
          <w:tcPr>
            <w:tcW w:type="dxa" w:w="1361"/>
            <w:shd w:val="clear" w:color="auto" w:fill="FFF2CC"/>
          </w:tcPr>
          <w:p>
            <w:pPr>
              <w:spacing w:after="20"/>
            </w:pPr>
            <w:r/>
            <w:r>
              <w:rPr>
                <w:sz w:val="16"/>
              </w:rPr>
              <w:t>ölçülemedi</w:t>
            </w:r>
          </w:p>
        </w:tc>
        <w:tc>
          <w:tcPr>
            <w:tcW w:type="dxa" w:w="2835"/>
          </w:tcPr>
          <w:p>
            <w:pPr>
              <w:spacing w:after="20"/>
            </w:pPr>
            <w:r/>
            <w:r>
              <w:rPr>
                <w:sz w:val="16"/>
              </w:rPr>
              <w:t>RAPOR.md:47; SENET.md risk 4 (ikincil piyasa yok)</w:t>
            </w:r>
          </w:p>
        </w:tc>
      </w:tr>
    </w:tbl>
    <w:p>
      <w:pPr>
        <w:spacing w:after="40"/>
      </w:pPr>
    </w:p>
    <w:p>
      <w:pPr>
        <w:jc w:val="both"/>
      </w:pPr>
      <w:r>
        <w:rPr>
          <w:b/>
        </w:rPr>
        <w:t xml:space="preserve">(49) </w:t>
      </w:r>
      <w:r>
        <w:rPr>
          <w:b/>
        </w:rPr>
        <w:t>Kıstas hükmü:</w:t>
      </w:r>
      <w:r>
        <w:t xml:space="preserve"> Kıstas </w:t>
      </w:r>
      <w:r>
        <w:rPr>
          <w:b/>
        </w:rPr>
        <w:t>sağlanmamaktadır</w:t>
      </w:r>
      <w:r>
        <w:t xml:space="preserve">; temel parametre (4.b) ölçülemediği için YAPILABILIRLIK.md:11 hükmü “bu veriyle karar verilemez” olarak durmaktadır. Kredi tepkisi 7–10 kat belirsizdir (YAPILABILIRLIK.md:11) </w:t>
      </w:r>
      <w:r>
        <w:rPr>
          <w:b/>
          <w:color w:val="0B6123"/>
          <w:sz w:val="18"/>
        </w:rPr>
        <w:t>[kanıt]</w:t>
      </w:r>
      <w:r>
        <w:t>.</w:t>
      </w:r>
    </w:p>
    <w:p>
      <w:pPr>
        <w:pStyle w:val="Heading2"/>
      </w:pPr>
      <w:r>
        <w:t>7.2 Gerekçe</w:t>
      </w:r>
    </w:p>
    <w:p>
      <w:pPr>
        <w:jc w:val="both"/>
      </w:pPr>
      <w:r>
        <w:rPr>
          <w:b/>
        </w:rPr>
        <w:t xml:space="preserve">(50) </w:t>
      </w:r>
      <w:r>
        <w:t xml:space="preserve">RAPOR.md:15 sorusu şudur: mahsup ve ücretten arta kalan servet nereye gider? Model cevabı, servetin dolara, altına, vadeli mevduata, fona veya arsaya değil, üretim finansmanına gitmesidir </w:t>
      </w:r>
      <w:r>
        <w:rPr>
          <w:b/>
          <w:color w:val="0B6123"/>
          <w:sz w:val="18"/>
        </w:rPr>
        <w:t>[kanıt, metin]</w:t>
      </w:r>
      <w:r>
        <w:t xml:space="preserve">. Döviz tarafında brüt dış borç stoku 2023-Q4 → 2026-Q2 arasında 432,6’dan 539,0 milyar USD’ye çıkmıştır; özel sektör payı %55,1’den %59,0’a yükselmiştir (DOVIZ_EGILIM.md) </w:t>
      </w:r>
      <w:r>
        <w:rPr>
          <w:b/>
          <w:color w:val="0B6123"/>
          <w:sz w:val="18"/>
        </w:rPr>
        <w:t>[kanıt]</w:t>
      </w:r>
      <w:r>
        <w:t xml:space="preserve">. Amaç döviz borçlanmasını da kısmaktır (RAPOR.md:11) </w:t>
      </w:r>
      <w:r>
        <w:rPr>
          <w:b/>
          <w:color w:val="0B6123"/>
          <w:sz w:val="18"/>
        </w:rPr>
        <w:t>[kanıt, metin]</w:t>
      </w:r>
      <w:r>
        <w:t>.</w:t>
      </w:r>
    </w:p>
    <w:p>
      <w:pPr>
        <w:pStyle w:val="Heading2"/>
      </w:pPr>
      <w:r>
        <w:t>7.3 Mekanizma</w:t>
      </w:r>
    </w:p>
    <w:p>
      <w:pPr>
        <w:jc w:val="both"/>
      </w:pPr>
      <w:r>
        <w:rPr>
          <w:b/>
        </w:rPr>
        <w:t xml:space="preserve">(51) </w:t>
      </w:r>
      <w:r>
        <w:t xml:space="preserve">Adres stokları (2026-Q1, milyar TL): hane vadeli mevduat 8.322,4; firma vadeli mevduat 4.400,1; gerçek kişi YP mevduat 6.639,4; toplam 19.361,9 (ADIM4_ADRES_YONLENDIRME.md) </w:t>
      </w:r>
      <w:r>
        <w:rPr>
          <w:b/>
          <w:color w:val="0B6123"/>
          <w:sz w:val="18"/>
        </w:rPr>
        <w:t>[kanıt]</w:t>
      </w:r>
      <w:r>
        <w:t xml:space="preserve">. Çift sayım düzeltmesiyle önerilen taban </w:t>
      </w:r>
      <w:r>
        <w:rPr>
          <w:rFonts w:ascii="Consolas" w:hAnsi="Consolas"/>
          <w:sz w:val="19"/>
        </w:rPr>
        <w:t>A_ön</w:t>
      </w:r>
      <w:r>
        <w:t xml:space="preserve"> = 12.722,5 milyar TL; üç satır </w:t>
      </w:r>
      <w:r>
        <w:rPr>
          <w:rFonts w:ascii="Consolas" w:hAnsi="Consolas"/>
          <w:sz w:val="19"/>
        </w:rPr>
        <w:t>A_üç</w:t>
      </w:r>
      <w:r>
        <w:t xml:space="preserve"> = 19.361,9; bandın üstü 19.076,6 (rev_adim4_sonuc.json) </w:t>
      </w:r>
      <w:r>
        <w:rPr>
          <w:b/>
          <w:color w:val="0B6123"/>
          <w:sz w:val="18"/>
        </w:rPr>
        <w:t>[kanıt; ZP8’in YP içerdiği alt sınır mantığı]</w:t>
      </w:r>
      <w:r>
        <w:t>.</w:t>
      </w:r>
    </w:p>
    <w:p>
      <w:pPr>
        <w:jc w:val="both"/>
      </w:pPr>
      <w:r>
        <w:rPr>
          <w:b/>
        </w:rPr>
        <w:t xml:space="preserve">(52) </w:t>
      </w:r>
      <w:r>
        <w:t xml:space="preserve">Eski band kuralı: İhraç_t = θ · 19.361,9 · Δu3_t; K3 penceresi 2029-Q1–2029-Q4; θ ∈ {0,1; 0,25; 0,5}; vade 8 çeyrek; prim π ∈ {%2; %5}; ihraççı K′; kredi itişi B′ mevduat kaybı × 0,08 (ADIM4_ADRES_YONLENDIRME.md) </w:t>
      </w:r>
      <w:r>
        <w:rPr>
          <w:b/>
          <w:color w:val="A05200"/>
          <w:sz w:val="18"/>
        </w:rPr>
        <w:t>[aday, kural]</w:t>
      </w:r>
      <w:r>
        <w:t xml:space="preserve">. Taslakta kademe kuralı </w:t>
      </w:r>
      <w:r>
        <w:rPr>
          <w:rFonts w:ascii="Consolas" w:hAnsi="Consolas"/>
          <w:sz w:val="19"/>
        </w:rPr>
        <w:t>M_t = θ·A</w:t>
      </w:r>
      <w:r>
        <w:t xml:space="preserve">, stok ölçeği </w:t>
      </w:r>
      <w:r>
        <w:rPr>
          <w:rFonts w:ascii="Consolas" w:hAnsi="Consolas"/>
          <w:sz w:val="19"/>
        </w:rPr>
        <w:t>F = θA</w:t>
      </w:r>
      <w:r>
        <w:t xml:space="preserve">, akım ölçeği </w:t>
      </w:r>
      <w:r>
        <w:rPr>
          <w:rFonts w:ascii="Consolas" w:hAnsi="Consolas"/>
          <w:sz w:val="19"/>
        </w:rPr>
        <w:t>F = θA/4</w:t>
      </w:r>
      <w:r>
        <w:t xml:space="preserve"> ve prim </w:t>
      </w:r>
      <w:r>
        <w:rPr>
          <w:rFonts w:ascii="Consolas" w:hAnsi="Consolas"/>
          <w:sz w:val="19"/>
        </w:rPr>
        <w:t>Π = τ·min(πM, R)</w:t>
      </w:r>
      <w:r>
        <w:t xml:space="preserve"> olarak yazılmıştır (analiz/senet/bacak.py başlığı) </w:t>
      </w:r>
      <w:r>
        <w:rPr>
          <w:b/>
          <w:color w:val="A05200"/>
          <w:sz w:val="18"/>
        </w:rPr>
        <w:t>[aday, ölçek]</w:t>
      </w:r>
      <w:r>
        <w:t>.</w:t>
      </w:r>
    </w:p>
    <w:p>
      <w:pPr>
        <w:pStyle w:val="Heading3"/>
      </w:pPr>
      <w:r>
        <w:t>7.3.1 Kanal yok: θ’nın kilide bağlantısı</w:t>
      </w:r>
    </w:p>
    <w:p>
      <w:pPr>
        <w:jc w:val="both"/>
      </w:pPr>
      <w:r>
        <w:rPr>
          <w:b/>
        </w:rPr>
        <w:t xml:space="preserve">(53) </w:t>
      </w:r>
      <w:r>
        <w:t xml:space="preserve">Mevcut kodda </w:t>
      </w:r>
      <w:r>
        <w:rPr>
          <w:rFonts w:ascii="Consolas" w:hAnsi="Consolas"/>
          <w:sz w:val="19"/>
        </w:rPr>
        <w:t>kagit_patikasi</w:t>
      </w:r>
      <w:r>
        <w:t xml:space="preserve"> (adim4_adres_yonlendirme.py:50–68) mevduat→kâğıt takasını, düz primi ve 0,08 kredi daralmasını yazar; endeks bacağı “hesaplanmadi”dır. Üretim tesisi ve “prim havadan gelmez” sınırı bu fonksiyonda yoktur. %10 taban, metindeki kilidi açan nakit kanalı değildir (SENET_ANALIZ.md:37) </w:t>
      </w:r>
      <w:r>
        <w:rPr>
          <w:b/>
          <w:color w:val="0B6123"/>
          <w:sz w:val="18"/>
        </w:rPr>
        <w:t>[kanıt, kod okuması]</w:t>
      </w:r>
      <w:r>
        <w:t>.</w:t>
      </w:r>
    </w:p>
    <w:p>
      <w:pPr>
        <w:jc w:val="both"/>
      </w:pPr>
      <w:r>
        <w:rPr>
          <w:b/>
        </w:rPr>
        <w:t xml:space="preserve">(54) </w:t>
      </w:r>
      <w:r>
        <w:t xml:space="preserve">Bu bulgu kuramla </w:t>
      </w:r>
      <w:r>
        <w:rPr>
          <w:b/>
        </w:rPr>
        <w:t>tutarlıdır</w:t>
      </w:r>
      <w:r>
        <w:t xml:space="preserve">: kilidi mahsup açar (RAPOR.md:9, :21); adres, açılan paranın nereye gittiğini söyler (RAPOR.md:5); senedin her gün nakde çevrilmesi banka hücumuna döner (RAPOR.md:47) </w:t>
      </w:r>
      <w:r>
        <w:rPr>
          <w:b/>
          <w:color w:val="0B6123"/>
          <w:sz w:val="18"/>
        </w:rPr>
        <w:t>[kanıt, metin]</w:t>
      </w:r>
      <w:r>
        <w:t xml:space="preserve">. Dolayısıyla Adım 4’ün θ’sı kilit teşhisine çare değildir ve bu belge θ’yı kilit tedavisinin parametresi olarak değerlendirmemektedir. YAPILABILIRLIK.md:61 de Adım 4, 4.5 ve 5 için şok kanalı olmadığını kaydeder </w:t>
      </w:r>
      <w:r>
        <w:rPr>
          <w:b/>
          <w:color w:val="0B6123"/>
          <w:sz w:val="18"/>
        </w:rPr>
        <w:t>[kanıt]</w:t>
      </w:r>
      <w:r>
        <w:t>.</w:t>
      </w:r>
    </w:p>
    <w:p>
      <w:pPr>
        <w:pStyle w:val="Heading3"/>
      </w:pPr>
      <w:r>
        <w:t>7.3.2 Fungible bacak ve rant kapısı (taslak)</w:t>
      </w:r>
    </w:p>
    <w:p>
      <w:pPr>
        <w:jc w:val="both"/>
      </w:pPr>
      <w:r>
        <w:rPr>
          <w:b/>
        </w:rPr>
        <w:t xml:space="preserve">(55) </w:t>
      </w:r>
      <w:r>
        <w:t xml:space="preserve">Taslakta hasıla mahsup sonrası nakde eklenir; sıra bu nakdi BANKA’ya da harcayabilir (SENET_ANALIZ.md “Fungible bacak”) </w:t>
      </w:r>
      <w:r>
        <w:rPr>
          <w:b/>
          <w:color w:val="A05200"/>
          <w:sz w:val="18"/>
        </w:rPr>
        <w:t>[aday]</w:t>
      </w:r>
      <w:r>
        <w:t xml:space="preserve">. Tam ağda, δ = %19,29 ve bütçe 0 iken temerrüt 7, köprü 443,87, kilitli 10, batık 6’dır </w:t>
      </w:r>
      <w:r>
        <w:rPr>
          <w:b/>
          <w:color w:val="0B6123"/>
          <w:sz w:val="18"/>
        </w:rPr>
        <w:t>[kanıt]</w:t>
      </w:r>
      <w:r>
        <w:t xml:space="preserve">. Köprüyü sıfırlayan F*, açığa orantılı dağıtımda 443,87; borca orantılı dağıtımda 5.362,42 milyar TL’dir </w:t>
      </w:r>
      <w:r>
        <w:rPr>
          <w:b/>
          <w:color w:val="0B6123"/>
          <w:sz w:val="18"/>
        </w:rPr>
        <w:t>[kanıt, taslak]</w:t>
      </w:r>
      <w:r>
        <w:t xml:space="preserve">. θ = 0,10 stok (1.272,25) açığa orantılı dağıtıldığında temerrüt 0 ve köprü 0 olur, ancak brüt kilit etiketi 15’e çıkar; brüt kilit etiketi θ ızgarası içinde sıfırlanmaz. Taslak, bunun “yeni para gerekmiyor” cümlesine göre fazla nakit istediğini not eder </w:t>
      </w:r>
      <w:r>
        <w:rPr>
          <w:b/>
          <w:color w:val="A05200"/>
          <w:sz w:val="18"/>
        </w:rPr>
        <w:t>[aday, başarı ölçütü]</w:t>
      </w:r>
      <w:r>
        <w:t>.</w:t>
      </w:r>
    </w:p>
    <w:p>
      <w:pPr>
        <w:jc w:val="both"/>
      </w:pPr>
      <w:r>
        <w:rPr>
          <w:b/>
        </w:rPr>
        <w:t xml:space="preserve">(56) </w:t>
      </w:r>
      <w:r>
        <w:t xml:space="preserve">Rant kapısı koşulları (analiz/senet/rant.py başlığı) </w:t>
      </w:r>
      <w:r>
        <w:rPr>
          <w:b/>
          <w:color w:val="A05200"/>
          <w:sz w:val="18"/>
        </w:rPr>
        <w:t>[aday, tasarım]</w:t>
      </w:r>
      <w:r>
        <w:t xml:space="preserve">: </w:t>
      </w:r>
      <w:r>
        <w:rPr>
          <w:b/>
        </w:rPr>
        <w:t>K1</w:t>
      </w:r>
      <w:r>
        <w:t xml:space="preserve"> yalnız mahsup sonrası aracı firmanın ticari + ücret açığı; kendi nakdi önce bu borca yazılır; BANKA ve holding alacaklısına pay yok. </w:t>
      </w:r>
      <w:r>
        <w:rPr>
          <w:b/>
        </w:rPr>
        <w:t>K2</w:t>
      </w:r>
      <w:r>
        <w:t xml:space="preserve"> firma tavanı kendi açığı; fazla K′’de kalır. </w:t>
      </w:r>
      <w:r>
        <w:rPr>
          <w:b/>
        </w:rPr>
        <w:t>K3</w:t>
      </w:r>
      <w:r>
        <w:t xml:space="preserve"> yoğunlaşma tavanı 1/n. </w:t>
      </w:r>
      <w:r>
        <w:rPr>
          <w:b/>
        </w:rPr>
        <w:t>K4</w:t>
      </w:r>
      <w:r>
        <w:t xml:space="preserve"> fungible nakitte BANKA’ya kayan kısım ayrıca ölçülür. </w:t>
      </w:r>
      <w:r>
        <w:rPr>
          <w:b/>
        </w:rPr>
        <w:t>K5</w:t>
      </w:r>
      <w:r>
        <w:t xml:space="preserve"> e-fatura eşleşmesi ve Sayıştay ödenmeyen emri; depoda yok, sıkı okumada uygun pay 0. Prim yalnız gerçekleşen tasarruftan (R); endeks 1 ve R yok iken ödenen prim 0.</w:t>
      </w:r>
    </w:p>
    <w:p>
      <w:pPr>
        <w:keepNext/>
        <w:spacing w:after="40"/>
        <w:jc w:val="left"/>
      </w:pPr>
      <w:r>
        <w:rPr>
          <w:b/>
          <w:sz w:val="19"/>
        </w:rPr>
        <w:t>Tablo 7.2 — Rant kapısı sonuçları (SENET_ANALIZ.md:65–73; rant_sonuc.json)</w:t>
      </w:r>
    </w:p>
    <w:tbl>
      <w:tblPr>
        <w:tblStyle w:val="TableGrid"/>
        <w:tblW w:type="auto" w:w="0"/>
        <w:jc w:val="center"/>
        <w:tblLayout w:type="fixed"/>
        <w:tblLook w:firstColumn="1" w:firstRow="1" w:lastColumn="0" w:lastRow="0" w:noHBand="0" w:noVBand="1" w:val="04A0"/>
      </w:tblPr>
      <w:tblGrid>
        <w:gridCol w:w="3742"/>
        <w:gridCol w:w="3742"/>
        <w:gridCol w:w="1587"/>
      </w:tblGrid>
      <w:tr>
        <w:trPr>
          <w:tblHeader w:val="true"/>
        </w:trPr>
        <w:tc>
          <w:tcPr>
            <w:tcW w:type="dxa" w:w="3742"/>
            <w:shd w:val="clear" w:color="auto" w:fill="D9E2F3"/>
          </w:tcPr>
          <w:p>
            <w:r/>
            <w:r>
              <w:rPr>
                <w:b/>
                <w:sz w:val="17"/>
              </w:rPr>
              <w:t>Durum</w:t>
            </w:r>
          </w:p>
        </w:tc>
        <w:tc>
          <w:tcPr>
            <w:tcW w:type="dxa" w:w="3742"/>
            <w:shd w:val="clear" w:color="auto" w:fill="D9E2F3"/>
          </w:tcPr>
          <w:p>
            <w:r/>
            <w:r>
              <w:rPr>
                <w:b/>
                <w:sz w:val="17"/>
              </w:rPr>
              <w:t>Değer</w:t>
            </w:r>
          </w:p>
        </w:tc>
        <w:tc>
          <w:tcPr>
            <w:tcW w:type="dxa" w:w="1587"/>
            <w:shd w:val="clear" w:color="auto" w:fill="D9E2F3"/>
          </w:tcPr>
          <w:p>
            <w:r/>
            <w:r>
              <w:rPr>
                <w:b/>
                <w:sz w:val="17"/>
              </w:rPr>
              <w:t>Etiket</w:t>
            </w:r>
          </w:p>
        </w:tc>
      </w:tr>
      <w:tr>
        <w:tc>
          <w:tcPr>
            <w:tcW w:type="dxa" w:w="3742"/>
          </w:tcPr>
          <w:p>
            <w:pPr>
              <w:spacing w:after="20"/>
            </w:pPr>
            <w:r/>
            <w:r>
              <w:rPr>
                <w:sz w:val="17"/>
              </w:rPr>
              <w:t>Tam ağ, geniş bütçe: çekilen (aracı açığı kapanır)</w:t>
            </w:r>
          </w:p>
        </w:tc>
        <w:tc>
          <w:tcPr>
            <w:tcW w:type="dxa" w:w="3742"/>
          </w:tcPr>
          <w:p>
            <w:pPr>
              <w:spacing w:after="20"/>
            </w:pPr>
            <w:r/>
            <w:r>
              <w:rPr>
                <w:sz w:val="17"/>
              </w:rPr>
              <w:t>46,7747 milyar TL; aracı kalan 0; banka kalanı 336,5804</w:t>
            </w:r>
          </w:p>
        </w:tc>
        <w:tc>
          <w:tcPr>
            <w:tcW w:type="dxa" w:w="1587"/>
          </w:tcPr>
          <w:p>
            <w:pPr>
              <w:spacing w:after="20"/>
            </w:pPr>
            <w:r/>
            <w:r>
              <w:rPr>
                <w:b/>
                <w:color w:val="0B6123"/>
                <w:sz w:val="17"/>
              </w:rPr>
              <w:t>[kanıt, taslak]</w:t>
            </w:r>
          </w:p>
        </w:tc>
      </w:tr>
      <w:tr>
        <w:tc>
          <w:tcPr>
            <w:tcW w:type="dxa" w:w="3742"/>
          </w:tcPr>
          <w:p>
            <w:pPr>
              <w:spacing w:after="20"/>
            </w:pPr>
            <w:r/>
            <w:r>
              <w:rPr>
                <w:sz w:val="17"/>
              </w:rPr>
              <w:t>θ*_stok = 46,7747 / 12.722,5</w:t>
            </w:r>
          </w:p>
        </w:tc>
        <w:tc>
          <w:tcPr>
            <w:tcW w:type="dxa" w:w="3742"/>
          </w:tcPr>
          <w:p>
            <w:pPr>
              <w:spacing w:after="20"/>
            </w:pPr>
            <w:r/>
            <w:r>
              <w:rPr>
                <w:sz w:val="17"/>
              </w:rPr>
              <w:t>0,0037</w:t>
            </w:r>
          </w:p>
        </w:tc>
        <w:tc>
          <w:tcPr>
            <w:tcW w:type="dxa" w:w="1587"/>
          </w:tcPr>
          <w:p>
            <w:pPr>
              <w:spacing w:after="20"/>
            </w:pPr>
            <w:r/>
            <w:r>
              <w:rPr>
                <w:b/>
                <w:color w:val="0B6123"/>
                <w:sz w:val="17"/>
              </w:rPr>
              <w:t>[kanıt, taslak]</w:t>
            </w:r>
          </w:p>
        </w:tc>
      </w:tr>
      <w:tr>
        <w:tc>
          <w:tcPr>
            <w:tcW w:type="dxa" w:w="3742"/>
          </w:tcPr>
          <w:p>
            <w:pPr>
              <w:spacing w:after="20"/>
            </w:pPr>
            <w:r/>
            <w:r>
              <w:rPr>
                <w:sz w:val="17"/>
              </w:rPr>
              <w:t>Yoğunlaşma tavanı (1/n) ile tam ağ</w:t>
            </w:r>
          </w:p>
        </w:tc>
        <w:tc>
          <w:tcPr>
            <w:tcW w:type="dxa" w:w="3742"/>
          </w:tcPr>
          <w:p>
            <w:pPr>
              <w:spacing w:after="20"/>
            </w:pPr>
            <w:r/>
            <w:r>
              <w:rPr>
                <w:sz w:val="17"/>
              </w:rPr>
              <w:t>çekilen 13,16; aracı kalan 3,68; sonlu F* yok</w:t>
            </w:r>
          </w:p>
        </w:tc>
        <w:tc>
          <w:tcPr>
            <w:tcW w:type="dxa" w:w="1587"/>
          </w:tcPr>
          <w:p>
            <w:pPr>
              <w:spacing w:after="20"/>
            </w:pPr>
            <w:r/>
            <w:r>
              <w:rPr>
                <w:b/>
                <w:color w:val="0B6123"/>
                <w:sz w:val="17"/>
              </w:rPr>
              <w:t>[kanıt, taslak]</w:t>
            </w:r>
          </w:p>
        </w:tc>
      </w:tr>
      <w:tr>
        <w:tc>
          <w:tcPr>
            <w:tcW w:type="dxa" w:w="3742"/>
          </w:tcPr>
          <w:p>
            <w:pPr>
              <w:spacing w:after="20"/>
            </w:pPr>
            <w:r/>
            <w:r>
              <w:rPr>
                <w:sz w:val="17"/>
              </w:rPr>
              <w:t>Seyrek aracı F* (30 tohum)</w:t>
            </w:r>
          </w:p>
        </w:tc>
        <w:tc>
          <w:tcPr>
            <w:tcW w:type="dxa" w:w="3742"/>
          </w:tcPr>
          <w:p>
            <w:pPr>
              <w:spacing w:after="20"/>
            </w:pPr>
            <w:r/>
            <w:r>
              <w:rPr>
                <w:sz w:val="17"/>
              </w:rPr>
              <w:t>ortanca 2.453,4 (45,34–5.661,94), 30/30 sonlu → θ*_stok 0,193</w:t>
            </w:r>
          </w:p>
        </w:tc>
        <w:tc>
          <w:tcPr>
            <w:tcW w:type="dxa" w:w="1587"/>
          </w:tcPr>
          <w:p>
            <w:pPr>
              <w:spacing w:after="20"/>
            </w:pPr>
            <w:r/>
            <w:r>
              <w:rPr>
                <w:b/>
                <w:color w:val="0B6123"/>
                <w:sz w:val="17"/>
              </w:rPr>
              <w:t>[kanıt; yoğunluk aday]</w:t>
            </w:r>
          </w:p>
        </w:tc>
      </w:tr>
      <w:tr>
        <w:tc>
          <w:tcPr>
            <w:tcW w:type="dxa" w:w="3742"/>
          </w:tcPr>
          <w:p>
            <w:pPr>
              <w:spacing w:after="20"/>
            </w:pPr>
            <w:r/>
            <w:r>
              <w:rPr>
                <w:sz w:val="17"/>
              </w:rPr>
              <w:t>Seyrek, yoğunlaşma tavanıyla</w:t>
            </w:r>
          </w:p>
        </w:tc>
        <w:tc>
          <w:tcPr>
            <w:tcW w:type="dxa" w:w="3742"/>
          </w:tcPr>
          <w:p>
            <w:pPr>
              <w:spacing w:after="20"/>
            </w:pPr>
            <w:r/>
            <w:r>
              <w:rPr>
                <w:sz w:val="17"/>
              </w:rPr>
              <w:t>29/30 tohumda sonlu değil</w:t>
            </w:r>
          </w:p>
        </w:tc>
        <w:tc>
          <w:tcPr>
            <w:tcW w:type="dxa" w:w="1587"/>
          </w:tcPr>
          <w:p>
            <w:pPr>
              <w:spacing w:after="20"/>
            </w:pPr>
            <w:r/>
            <w:r>
              <w:rPr>
                <w:b/>
                <w:color w:val="0B6123"/>
                <w:sz w:val="17"/>
              </w:rPr>
              <w:t>[kanıt; yoğunluk aday]</w:t>
            </w:r>
          </w:p>
        </w:tc>
      </w:tr>
      <w:tr>
        <w:tc>
          <w:tcPr>
            <w:tcW w:type="dxa" w:w="3742"/>
          </w:tcPr>
          <w:p>
            <w:pPr>
              <w:spacing w:after="20"/>
            </w:pPr>
            <w:r/>
            <w:r>
              <w:rPr>
                <w:sz w:val="17"/>
              </w:rPr>
              <w:t>K5 sıkı okuma: kapıdan geçebilecek tutar</w:t>
            </w:r>
          </w:p>
        </w:tc>
        <w:tc>
          <w:tcPr>
            <w:tcW w:type="dxa" w:w="3742"/>
          </w:tcPr>
          <w:p>
            <w:pPr>
              <w:spacing w:after="20"/>
            </w:pPr>
            <w:r/>
            <w:r>
              <w:rPr>
                <w:sz w:val="17"/>
              </w:rPr>
              <w:t>0</w:t>
            </w:r>
          </w:p>
        </w:tc>
        <w:tc>
          <w:tcPr>
            <w:tcW w:type="dxa" w:w="1587"/>
          </w:tcPr>
          <w:p>
            <w:pPr>
              <w:spacing w:after="20"/>
            </w:pPr>
            <w:r/>
            <w:r>
              <w:rPr>
                <w:b/>
                <w:color w:val="A05200"/>
                <w:sz w:val="17"/>
              </w:rPr>
              <w:t>[aday, okuma]</w:t>
            </w:r>
          </w:p>
        </w:tc>
      </w:tr>
    </w:tbl>
    <w:p>
      <w:pPr>
        <w:spacing w:after="40"/>
      </w:pPr>
    </w:p>
    <w:p>
      <w:pPr>
        <w:jc w:val="both"/>
      </w:pPr>
      <w:r>
        <w:rPr>
          <w:b/>
        </w:rPr>
        <w:t xml:space="preserve">(57) </w:t>
      </w:r>
      <w:r>
        <w:t xml:space="preserve">Görev metnindeki “seyrek ortanca θ* ≈ 0,19–0,29” ifadesinin alt ucu depoda (0,193) bulunmuştur; 0,29 üst ucu depoda yazılı değildir (Ek C) </w:t>
      </w:r>
      <w:r>
        <w:rPr>
          <w:b/>
          <w:color w:val="9B1010"/>
          <w:sz w:val="18"/>
        </w:rPr>
        <w:t>[depo dışı]</w:t>
      </w:r>
      <w:r>
        <w:t xml:space="preserve">. Tam ağda aracı açığını kapatan tutar (46,77) ile mahsup sonrası köprü (46,77; Ek D) aynı düzeydedir. Bu, rant kapısının yalnız banka dışı (ticari + ücret) açığı finanse ettiği, kurla değerlenen banka kalanını (336,58) ise kapatmadığı yorumuyla tutarlıdır </w:t>
      </w:r>
      <w:r>
        <w:rPr>
          <w:b/>
          <w:color w:val="A05200"/>
          <w:sz w:val="18"/>
        </w:rPr>
        <w:t>[aday, yorum]</w:t>
      </w:r>
      <w:r>
        <w:t>.</w:t>
      </w:r>
    </w:p>
    <w:p>
      <w:pPr>
        <w:pStyle w:val="Heading3"/>
      </w:pPr>
      <w:r>
        <w:t>7.3.3 Kademeli %10 ve %30 geçiş</w:t>
      </w:r>
    </w:p>
    <w:p>
      <w:pPr>
        <w:keepNext/>
        <w:spacing w:after="40"/>
        <w:jc w:val="left"/>
      </w:pPr>
      <w:r>
        <w:rPr>
          <w:b/>
          <w:sz w:val="19"/>
        </w:rPr>
        <w:t>Tablo 7.3 — Kademe ve emme tavanı (SENET_ANALIZ.md:39–88; patika_sonuc.json) [kanıt; tavan sayma aday]</w:t>
      </w:r>
    </w:p>
    <w:tbl>
      <w:tblPr>
        <w:tblStyle w:val="TableGrid"/>
        <w:tblW w:type="auto" w:w="0"/>
        <w:jc w:val="center"/>
        <w:tblLayout w:type="fixed"/>
        <w:tblLook w:firstColumn="1" w:firstRow="1" w:lastColumn="0" w:lastRow="0" w:noHBand="0" w:noVBand="1" w:val="04A0"/>
      </w:tblPr>
      <w:tblGrid>
        <w:gridCol w:w="1928"/>
        <w:gridCol w:w="907"/>
        <w:gridCol w:w="1247"/>
        <w:gridCol w:w="1020"/>
        <w:gridCol w:w="1247"/>
        <w:gridCol w:w="1361"/>
        <w:gridCol w:w="1361"/>
      </w:tblGrid>
      <w:tr>
        <w:trPr>
          <w:tblHeader w:val="true"/>
        </w:trPr>
        <w:tc>
          <w:tcPr>
            <w:tcW w:type="dxa" w:w="1928"/>
            <w:shd w:val="clear" w:color="auto" w:fill="D9E2F3"/>
          </w:tcPr>
          <w:p>
            <w:r/>
            <w:r>
              <w:rPr>
                <w:b/>
                <w:sz w:val="17"/>
              </w:rPr>
              <w:t>Patika</w:t>
            </w:r>
          </w:p>
        </w:tc>
        <w:tc>
          <w:tcPr>
            <w:tcW w:type="dxa" w:w="907"/>
            <w:shd w:val="clear" w:color="auto" w:fill="D9E2F3"/>
          </w:tcPr>
          <w:p>
            <w:r/>
            <w:r>
              <w:rPr>
                <w:b/>
                <w:sz w:val="17"/>
              </w:rPr>
              <w:t>Adres</w:t>
            </w:r>
          </w:p>
        </w:tc>
        <w:tc>
          <w:tcPr>
            <w:tcW w:type="dxa" w:w="1247"/>
            <w:shd w:val="clear" w:color="auto" w:fill="D9E2F3"/>
          </w:tcPr>
          <w:p>
            <w:r/>
            <w:r>
              <w:rPr>
                <w:b/>
                <w:sz w:val="17"/>
              </w:rPr>
              <w:t>Yıllık akış</w:t>
            </w:r>
          </w:p>
        </w:tc>
        <w:tc>
          <w:tcPr>
            <w:tcW w:type="dxa" w:w="1020"/>
            <w:shd w:val="clear" w:color="auto" w:fill="D9E2F3"/>
          </w:tcPr>
          <w:p>
            <w:r/>
            <w:r>
              <w:rPr>
                <w:b/>
                <w:sz w:val="17"/>
              </w:rPr>
              <w:t>Çeyrek</w:t>
            </w:r>
          </w:p>
        </w:tc>
        <w:tc>
          <w:tcPr>
            <w:tcW w:type="dxa" w:w="1247"/>
            <w:shd w:val="clear" w:color="auto" w:fill="D9E2F3"/>
          </w:tcPr>
          <w:p>
            <w:r/>
            <w:r>
              <w:rPr>
                <w:b/>
                <w:sz w:val="17"/>
              </w:rPr>
              <w:t>H (589,37)</w:t>
            </w:r>
          </w:p>
        </w:tc>
        <w:tc>
          <w:tcPr>
            <w:tcW w:type="dxa" w:w="1361"/>
            <w:shd w:val="clear" w:color="auto" w:fill="D9E2F3"/>
          </w:tcPr>
          <w:p>
            <w:r/>
            <w:r>
              <w:rPr>
                <w:b/>
                <w:sz w:val="17"/>
              </w:rPr>
              <w:t>Geniş (2.322,32)</w:t>
            </w:r>
          </w:p>
        </w:tc>
        <w:tc>
          <w:tcPr>
            <w:tcW w:type="dxa" w:w="1361"/>
            <w:shd w:val="clear" w:color="auto" w:fill="D9E2F3"/>
          </w:tcPr>
          <w:p>
            <w:r/>
            <w:r>
              <w:rPr>
                <w:b/>
                <w:sz w:val="17"/>
              </w:rPr>
              <w:t>Piyasa (10.339,8)</w:t>
            </w:r>
          </w:p>
        </w:tc>
      </w:tr>
      <w:tr>
        <w:tc>
          <w:tcPr>
            <w:tcW w:type="dxa" w:w="1928"/>
          </w:tcPr>
          <w:p>
            <w:pPr>
              <w:spacing w:after="20"/>
            </w:pPr>
            <w:r/>
            <w:r>
              <w:rPr>
                <w:sz w:val="17"/>
              </w:rPr>
              <w:t>%10, 10 yıl</w:t>
            </w:r>
          </w:p>
        </w:tc>
        <w:tc>
          <w:tcPr>
            <w:tcW w:type="dxa" w:w="907"/>
          </w:tcPr>
          <w:p>
            <w:pPr>
              <w:spacing w:after="20"/>
            </w:pPr>
            <w:r/>
            <w:r>
              <w:rPr>
                <w:sz w:val="17"/>
              </w:rPr>
              <w:t>A_ön</w:t>
            </w:r>
          </w:p>
        </w:tc>
        <w:tc>
          <w:tcPr>
            <w:tcW w:type="dxa" w:w="1247"/>
          </w:tcPr>
          <w:p>
            <w:pPr>
              <w:spacing w:after="20"/>
            </w:pPr>
            <w:r/>
            <w:r>
              <w:rPr>
                <w:sz w:val="17"/>
              </w:rPr>
              <w:t>1.272,25</w:t>
            </w:r>
          </w:p>
        </w:tc>
        <w:tc>
          <w:tcPr>
            <w:tcW w:type="dxa" w:w="1020"/>
          </w:tcPr>
          <w:p>
            <w:pPr>
              <w:spacing w:after="20"/>
            </w:pPr>
            <w:r/>
            <w:r>
              <w:rPr>
                <w:sz w:val="17"/>
              </w:rPr>
              <w:t>318,06</w:t>
            </w:r>
          </w:p>
        </w:tc>
        <w:tc>
          <w:tcPr>
            <w:tcW w:type="dxa" w:w="1247"/>
          </w:tcPr>
          <w:p>
            <w:pPr>
              <w:spacing w:after="20"/>
            </w:pPr>
            <w:r/>
            <w:r>
              <w:rPr>
                <w:sz w:val="17"/>
              </w:rPr>
              <w:t>almaz</w:t>
            </w:r>
          </w:p>
        </w:tc>
        <w:tc>
          <w:tcPr>
            <w:tcW w:type="dxa" w:w="1361"/>
          </w:tcPr>
          <w:p>
            <w:pPr>
              <w:spacing w:after="20"/>
            </w:pPr>
            <w:r/>
            <w:r>
              <w:rPr>
                <w:sz w:val="17"/>
              </w:rPr>
              <w:t>alır</w:t>
            </w:r>
          </w:p>
        </w:tc>
        <w:tc>
          <w:tcPr>
            <w:tcW w:type="dxa" w:w="1361"/>
          </w:tcPr>
          <w:p>
            <w:pPr>
              <w:spacing w:after="20"/>
            </w:pPr>
            <w:r/>
            <w:r>
              <w:rPr>
                <w:sz w:val="17"/>
              </w:rPr>
              <w:t>alır</w:t>
            </w:r>
          </w:p>
        </w:tc>
      </w:tr>
      <w:tr>
        <w:tc>
          <w:tcPr>
            <w:tcW w:type="dxa" w:w="1928"/>
          </w:tcPr>
          <w:p>
            <w:pPr>
              <w:spacing w:after="20"/>
            </w:pPr>
            <w:r/>
            <w:r>
              <w:rPr>
                <w:sz w:val="17"/>
              </w:rPr>
              <w:t>%10, 10 yıl</w:t>
            </w:r>
          </w:p>
        </w:tc>
        <w:tc>
          <w:tcPr>
            <w:tcW w:type="dxa" w:w="907"/>
          </w:tcPr>
          <w:p>
            <w:pPr>
              <w:spacing w:after="20"/>
            </w:pPr>
            <w:r/>
            <w:r>
              <w:rPr>
                <w:sz w:val="17"/>
              </w:rPr>
              <w:t>A_üç</w:t>
            </w:r>
          </w:p>
        </w:tc>
        <w:tc>
          <w:tcPr>
            <w:tcW w:type="dxa" w:w="1247"/>
          </w:tcPr>
          <w:p>
            <w:pPr>
              <w:spacing w:after="20"/>
            </w:pPr>
            <w:r/>
            <w:r>
              <w:rPr>
                <w:sz w:val="17"/>
              </w:rPr>
              <w:t>1.936,19</w:t>
            </w:r>
          </w:p>
        </w:tc>
        <w:tc>
          <w:tcPr>
            <w:tcW w:type="dxa" w:w="1020"/>
          </w:tcPr>
          <w:p>
            <w:pPr>
              <w:spacing w:after="20"/>
            </w:pPr>
            <w:r/>
            <w:r>
              <w:rPr>
                <w:sz w:val="17"/>
              </w:rPr>
              <w:t>484,05</w:t>
            </w:r>
          </w:p>
        </w:tc>
        <w:tc>
          <w:tcPr>
            <w:tcW w:type="dxa" w:w="1247"/>
          </w:tcPr>
          <w:p>
            <w:pPr>
              <w:spacing w:after="20"/>
            </w:pPr>
            <w:r/>
            <w:r>
              <w:rPr>
                <w:sz w:val="17"/>
              </w:rPr>
              <w:t>almaz</w:t>
            </w:r>
          </w:p>
        </w:tc>
        <w:tc>
          <w:tcPr>
            <w:tcW w:type="dxa" w:w="1361"/>
          </w:tcPr>
          <w:p>
            <w:pPr>
              <w:spacing w:after="20"/>
            </w:pPr>
            <w:r/>
            <w:r>
              <w:rPr>
                <w:sz w:val="17"/>
              </w:rPr>
              <w:t>alır</w:t>
            </w:r>
          </w:p>
        </w:tc>
        <w:tc>
          <w:tcPr>
            <w:tcW w:type="dxa" w:w="1361"/>
          </w:tcPr>
          <w:p>
            <w:pPr>
              <w:spacing w:after="20"/>
            </w:pPr>
            <w:r/>
            <w:r>
              <w:rPr>
                <w:sz w:val="17"/>
              </w:rPr>
              <w:t>alır</w:t>
            </w:r>
          </w:p>
        </w:tc>
      </w:tr>
      <w:tr>
        <w:tc>
          <w:tcPr>
            <w:tcW w:type="dxa" w:w="1928"/>
          </w:tcPr>
          <w:p>
            <w:pPr>
              <w:spacing w:after="20"/>
            </w:pPr>
            <w:r/>
            <w:r>
              <w:rPr>
                <w:sz w:val="17"/>
              </w:rPr>
              <w:t>%30, yıl 1–3 (+yıl 4 %10)</w:t>
            </w:r>
          </w:p>
        </w:tc>
        <w:tc>
          <w:tcPr>
            <w:tcW w:type="dxa" w:w="907"/>
          </w:tcPr>
          <w:p>
            <w:pPr>
              <w:spacing w:after="20"/>
            </w:pPr>
            <w:r/>
            <w:r>
              <w:rPr>
                <w:sz w:val="17"/>
              </w:rPr>
              <w:t>A_ön</w:t>
            </w:r>
          </w:p>
        </w:tc>
        <w:tc>
          <w:tcPr>
            <w:tcW w:type="dxa" w:w="1247"/>
          </w:tcPr>
          <w:p>
            <w:pPr>
              <w:spacing w:after="20"/>
            </w:pPr>
            <w:r/>
            <w:r>
              <w:rPr>
                <w:sz w:val="17"/>
              </w:rPr>
              <w:t>3.816,75</w:t>
            </w:r>
          </w:p>
        </w:tc>
        <w:tc>
          <w:tcPr>
            <w:tcW w:type="dxa" w:w="1020"/>
          </w:tcPr>
          <w:p>
            <w:pPr>
              <w:spacing w:after="20"/>
            </w:pPr>
            <w:r/>
            <w:r>
              <w:rPr>
                <w:sz w:val="17"/>
              </w:rPr>
              <w:t>954,19</w:t>
            </w:r>
          </w:p>
        </w:tc>
        <w:tc>
          <w:tcPr>
            <w:tcW w:type="dxa" w:w="1247"/>
          </w:tcPr>
          <w:p>
            <w:pPr>
              <w:spacing w:after="20"/>
            </w:pPr>
            <w:r/>
            <w:r>
              <w:rPr>
                <w:sz w:val="17"/>
              </w:rPr>
              <w:t>almaz</w:t>
            </w:r>
          </w:p>
        </w:tc>
        <w:tc>
          <w:tcPr>
            <w:tcW w:type="dxa" w:w="1361"/>
          </w:tcPr>
          <w:p>
            <w:pPr>
              <w:spacing w:after="20"/>
            </w:pPr>
            <w:r/>
            <w:r>
              <w:rPr>
                <w:sz w:val="17"/>
              </w:rPr>
              <w:t>almaz</w:t>
            </w:r>
          </w:p>
        </w:tc>
        <w:tc>
          <w:tcPr>
            <w:tcW w:type="dxa" w:w="1361"/>
          </w:tcPr>
          <w:p>
            <w:pPr>
              <w:spacing w:after="20"/>
            </w:pPr>
            <w:r/>
            <w:r>
              <w:rPr>
                <w:sz w:val="17"/>
              </w:rPr>
              <w:t>alır</w:t>
            </w:r>
          </w:p>
        </w:tc>
      </w:tr>
      <w:tr>
        <w:tc>
          <w:tcPr>
            <w:tcW w:type="dxa" w:w="1928"/>
          </w:tcPr>
          <w:p>
            <w:pPr>
              <w:spacing w:after="20"/>
            </w:pPr>
            <w:r/>
            <w:r>
              <w:rPr>
                <w:sz w:val="17"/>
              </w:rPr>
              <w:t>%30, yıl 1–3 (+yıl 4 %10)</w:t>
            </w:r>
          </w:p>
        </w:tc>
        <w:tc>
          <w:tcPr>
            <w:tcW w:type="dxa" w:w="907"/>
          </w:tcPr>
          <w:p>
            <w:pPr>
              <w:spacing w:after="20"/>
            </w:pPr>
            <w:r/>
            <w:r>
              <w:rPr>
                <w:sz w:val="17"/>
              </w:rPr>
              <w:t>A_üç</w:t>
            </w:r>
          </w:p>
        </w:tc>
        <w:tc>
          <w:tcPr>
            <w:tcW w:type="dxa" w:w="1247"/>
          </w:tcPr>
          <w:p>
            <w:pPr>
              <w:spacing w:after="20"/>
            </w:pPr>
            <w:r/>
            <w:r>
              <w:rPr>
                <w:sz w:val="17"/>
              </w:rPr>
              <w:t>5.808,57</w:t>
            </w:r>
          </w:p>
        </w:tc>
        <w:tc>
          <w:tcPr>
            <w:tcW w:type="dxa" w:w="1020"/>
          </w:tcPr>
          <w:p>
            <w:pPr>
              <w:spacing w:after="20"/>
            </w:pPr>
            <w:r/>
            <w:r>
              <w:rPr>
                <w:sz w:val="17"/>
              </w:rPr>
              <w:t>1.452,14</w:t>
            </w:r>
          </w:p>
        </w:tc>
        <w:tc>
          <w:tcPr>
            <w:tcW w:type="dxa" w:w="1247"/>
          </w:tcPr>
          <w:p>
            <w:pPr>
              <w:spacing w:after="20"/>
            </w:pPr>
            <w:r/>
            <w:r>
              <w:rPr>
                <w:sz w:val="17"/>
              </w:rPr>
              <w:t>almaz</w:t>
            </w:r>
          </w:p>
        </w:tc>
        <w:tc>
          <w:tcPr>
            <w:tcW w:type="dxa" w:w="1361"/>
          </w:tcPr>
          <w:p>
            <w:pPr>
              <w:spacing w:after="20"/>
            </w:pPr>
            <w:r/>
            <w:r>
              <w:rPr>
                <w:sz w:val="17"/>
              </w:rPr>
              <w:t>almaz</w:t>
            </w:r>
          </w:p>
        </w:tc>
        <w:tc>
          <w:tcPr>
            <w:tcW w:type="dxa" w:w="1361"/>
          </w:tcPr>
          <w:p>
            <w:pPr>
              <w:spacing w:after="20"/>
            </w:pPr>
            <w:r/>
            <w:r>
              <w:rPr>
                <w:sz w:val="17"/>
              </w:rPr>
              <w:t>alır</w:t>
            </w:r>
          </w:p>
        </w:tc>
      </w:tr>
    </w:tbl>
    <w:p>
      <w:pPr>
        <w:spacing w:after="40"/>
      </w:pPr>
    </w:p>
    <w:p>
      <w:pPr>
        <w:jc w:val="both"/>
      </w:pPr>
      <w:r>
        <w:rPr>
          <w:b/>
        </w:rPr>
        <w:t xml:space="preserve">(58) </w:t>
      </w:r>
      <w:r>
        <w:t xml:space="preserve">Yıl 1 atıl TCMB fonlaması (açık bir kez varsayımı): θ = 0,10, </w:t>
      </w:r>
      <w:r>
        <w:rPr>
          <w:rFonts w:ascii="Consolas" w:hAnsi="Consolas"/>
          <w:sz w:val="19"/>
        </w:rPr>
        <w:t>A_ön</w:t>
      </w:r>
      <w:r>
        <w:t xml:space="preserve"> için 1.225,48 milyar TL = 2026 GSYH’sinin %1,45’i (kredi bandı 98–964); θ = 0,30, </w:t>
      </w:r>
      <w:r>
        <w:rPr>
          <w:rFonts w:ascii="Consolas" w:hAnsi="Consolas"/>
          <w:sz w:val="19"/>
        </w:rPr>
        <w:t>A_ön</w:t>
      </w:r>
      <w:r>
        <w:t xml:space="preserve"> için 3.769,98 = %4,47 (band 302–2.967); </w:t>
      </w:r>
      <w:r>
        <w:rPr>
          <w:rFonts w:ascii="Consolas" w:hAnsi="Consolas"/>
          <w:sz w:val="19"/>
        </w:rPr>
        <w:t>A_üç</w:t>
      </w:r>
      <w:r>
        <w:t xml:space="preserve"> için 5.761,80 = %6,82 (SENET_ANALIZ.md:48, :86) </w:t>
      </w:r>
      <w:r>
        <w:rPr>
          <w:b/>
          <w:color w:val="0B6123"/>
          <w:sz w:val="18"/>
        </w:rPr>
        <w:t>[kanıt, taslak; GSYH 2026 aday]</w:t>
      </w:r>
      <w:r>
        <w:t xml:space="preserve">. Brüt ihraç akışı olarak okunduğunda θ = 0,10 yıllık 1.272,25 = %1,51; θ = 0,30 yıllık 3.816,75 = %4,52’dir </w:t>
      </w:r>
      <w:r>
        <w:rPr>
          <w:b/>
          <w:color w:val="1F3A8F"/>
          <w:sz w:val="18"/>
        </w:rPr>
        <w:t>[türetilmiş]</w:t>
      </w:r>
      <w:r>
        <w:t xml:space="preserve">. θ = 0,10 patikasında atıl/GSYH 2029–2031’de %0,90 / %0,79 / %0,71’e iner; patika boyunca en yüksek değer yıl 1’dir (patika_sonuc.json) </w:t>
      </w:r>
      <w:r>
        <w:rPr>
          <w:b/>
          <w:color w:val="0B6123"/>
          <w:sz w:val="18"/>
        </w:rPr>
        <w:t>[kanıt; payda aday]</w:t>
      </w:r>
      <w:r>
        <w:t>. Görev metnindeki “%30 geçişte atıl TCMB fonlaması %4,52” ifadesi brüt akış oranıdır; depodaki atıl oran %4,47’dir (Ek C).</w:t>
      </w:r>
    </w:p>
    <w:p>
      <w:pPr>
        <w:jc w:val="both"/>
      </w:pPr>
      <w:r>
        <w:rPr>
          <w:b/>
        </w:rPr>
        <w:t xml:space="preserve">(59) </w:t>
      </w:r>
      <w:r>
        <w:t xml:space="preserve">Hane DİBS’i yıllık %30 dilimi (3.816,75) H defterinin 6,48 katıdır; yalnız DİBS piyasasının tamamı bu dilimi alabilir (oran 0,37) </w:t>
      </w:r>
      <w:r>
        <w:rPr>
          <w:b/>
          <w:color w:val="1F3A8F"/>
          <w:sz w:val="18"/>
        </w:rPr>
        <w:t>[türetilmiş]</w:t>
      </w:r>
      <w:r>
        <w:t xml:space="preserve">. Hane DİBS payı %4,6’dır (YAPILABILIRLIK.md:11; rev_adim4_sonuc.json S14 0,0461) </w:t>
      </w:r>
      <w:r>
        <w:rPr>
          <w:b/>
          <w:color w:val="0B6123"/>
          <w:sz w:val="18"/>
        </w:rPr>
        <w:t>[kanıt]</w:t>
      </w:r>
      <w:r>
        <w:t>.</w:t>
      </w:r>
    </w:p>
    <w:p>
      <w:pPr>
        <w:pStyle w:val="Heading3"/>
      </w:pPr>
      <w:r>
        <w:t>7.3.4 Prim ve ithalat tavanı</w:t>
      </w:r>
    </w:p>
    <w:p>
      <w:pPr>
        <w:jc w:val="both"/>
      </w:pPr>
      <w:r>
        <w:rPr>
          <w:b/>
        </w:rPr>
        <w:t xml:space="preserve">(60) </w:t>
      </w:r>
      <w:r>
        <w:t xml:space="preserve">Gerçekleşen R ölçülmemiştir; formül </w:t>
      </w:r>
      <w:r>
        <w:rPr>
          <w:rFonts w:ascii="Consolas" w:hAnsi="Consolas"/>
          <w:sz w:val="19"/>
        </w:rPr>
        <w:t>Π = τ·min(πM, R)</w:t>
      </w:r>
      <w:r>
        <w:t xml:space="preserve"> τ = 0 iken </w:t>
      </w:r>
      <w:r>
        <w:rPr>
          <w:b/>
        </w:rPr>
        <w:t>Π = 0</w:t>
      </w:r>
      <w:r>
        <w:t xml:space="preserve"> verir; ∂(temerrüt, köprü)/∂Π = 0 (SENET_ANALIZ.md:92) </w:t>
      </w:r>
      <w:r>
        <w:rPr>
          <w:b/>
          <w:color w:val="0B6123"/>
          <w:sz w:val="18"/>
        </w:rPr>
        <w:t>[kanıt, formül]</w:t>
      </w:r>
      <w:r>
        <w:t xml:space="preserve">. Tavan, gerçekleşen ikame değildir: Ticaret Bakanlığı “Ekonomik Görünüm Aralık 2025” (derleyen TÜİK) BEC sınıflamasında 2025 ara malı ithalatı 250.228 milyon USD, enerji (fasıl 27) 62.590 milyon USD’dir </w:t>
      </w:r>
      <w:r>
        <w:rPr>
          <w:b/>
          <w:color w:val="0B6123"/>
          <w:sz w:val="18"/>
        </w:rPr>
        <w:t>[kanıt, ikincil resmî kaynak]</w:t>
      </w:r>
      <w:r>
        <w:t xml:space="preserve">. 2025 aylık ortalama kur 39,4264 ile (aday) ara mal 9.865,59; ara − enerji (dar tavan) 7.397,89; ara + sermaye 12.029,78 milyar TL’dir (SENET_ANALIZ.md:104) </w:t>
      </w:r>
      <w:r>
        <w:rPr>
          <w:b/>
          <w:color w:val="A05200"/>
          <w:sz w:val="18"/>
        </w:rPr>
        <w:t>[aday, kur ve çıkarma]</w:t>
      </w:r>
      <w:r>
        <w:t>.</w:t>
      </w:r>
    </w:p>
    <w:p>
      <w:pPr>
        <w:keepNext/>
        <w:spacing w:after="40"/>
        <w:jc w:val="left"/>
      </w:pPr>
      <w:r>
        <w:rPr>
          <w:b/>
          <w:sz w:val="19"/>
        </w:rPr>
        <w:t>Tablo 7.4 — Yıllık tasarım kuponu / 2025 dar tavan (milyar TL; SENET_ANALIZ.md) [kanıt formül; ödenen prim 0]</w:t>
      </w:r>
    </w:p>
    <w:tbl>
      <w:tblPr>
        <w:tblStyle w:val="TableGrid"/>
        <w:tblW w:type="auto" w:w="0"/>
        <w:jc w:val="center"/>
        <w:tblLayout w:type="fixed"/>
        <w:tblLook w:firstColumn="1" w:firstRow="1" w:lastColumn="0" w:lastRow="0" w:noHBand="0" w:noVBand="1" w:val="04A0"/>
      </w:tblPr>
      <w:tblGrid>
        <w:gridCol w:w="1134"/>
        <w:gridCol w:w="1361"/>
        <w:gridCol w:w="2268"/>
        <w:gridCol w:w="2268"/>
      </w:tblGrid>
      <w:tr>
        <w:trPr>
          <w:tblHeader w:val="true"/>
        </w:trPr>
        <w:tc>
          <w:tcPr>
            <w:tcW w:type="dxa" w:w="1134"/>
            <w:shd w:val="clear" w:color="auto" w:fill="D9E2F3"/>
          </w:tcPr>
          <w:p>
            <w:r/>
            <w:r>
              <w:rPr>
                <w:b/>
                <w:sz w:val="18"/>
              </w:rPr>
              <w:t>θ</w:t>
            </w:r>
          </w:p>
        </w:tc>
        <w:tc>
          <w:tcPr>
            <w:tcW w:type="dxa" w:w="1361"/>
            <w:shd w:val="clear" w:color="auto" w:fill="D9E2F3"/>
          </w:tcPr>
          <w:p>
            <w:r/>
            <w:r>
              <w:rPr>
                <w:b/>
                <w:sz w:val="18"/>
              </w:rPr>
              <w:t>Adres</w:t>
            </w:r>
          </w:p>
        </w:tc>
        <w:tc>
          <w:tcPr>
            <w:tcW w:type="dxa" w:w="2268"/>
            <w:shd w:val="clear" w:color="auto" w:fill="D9E2F3"/>
          </w:tcPr>
          <w:p>
            <w:r/>
            <w:r>
              <w:rPr>
                <w:b/>
                <w:sz w:val="18"/>
              </w:rPr>
              <w:t>π = 0,02</w:t>
            </w:r>
          </w:p>
        </w:tc>
        <w:tc>
          <w:tcPr>
            <w:tcW w:type="dxa" w:w="2268"/>
            <w:shd w:val="clear" w:color="auto" w:fill="D9E2F3"/>
          </w:tcPr>
          <w:p>
            <w:r/>
            <w:r>
              <w:rPr>
                <w:b/>
                <w:sz w:val="18"/>
              </w:rPr>
              <w:t>π = 0,05</w:t>
            </w:r>
          </w:p>
        </w:tc>
      </w:tr>
      <w:tr>
        <w:tc>
          <w:tcPr>
            <w:tcW w:type="dxa" w:w="1134"/>
          </w:tcPr>
          <w:p>
            <w:pPr>
              <w:spacing w:after="20"/>
            </w:pPr>
            <w:r/>
            <w:r>
              <w:rPr>
                <w:sz w:val="18"/>
              </w:rPr>
              <w:t>0,10</w:t>
            </w:r>
          </w:p>
        </w:tc>
        <w:tc>
          <w:tcPr>
            <w:tcW w:type="dxa" w:w="1361"/>
          </w:tcPr>
          <w:p>
            <w:pPr>
              <w:spacing w:after="20"/>
            </w:pPr>
            <w:r/>
            <w:r>
              <w:rPr>
                <w:sz w:val="18"/>
              </w:rPr>
              <w:t>A_ön</w:t>
            </w:r>
          </w:p>
        </w:tc>
        <w:tc>
          <w:tcPr>
            <w:tcW w:type="dxa" w:w="2268"/>
          </w:tcPr>
          <w:p>
            <w:pPr>
              <w:spacing w:after="20"/>
            </w:pPr>
            <w:r/>
            <w:r>
              <w:rPr>
                <w:sz w:val="18"/>
              </w:rPr>
              <w:t>25,45 (%0,34)</w:t>
            </w:r>
          </w:p>
        </w:tc>
        <w:tc>
          <w:tcPr>
            <w:tcW w:type="dxa" w:w="2268"/>
          </w:tcPr>
          <w:p>
            <w:pPr>
              <w:spacing w:after="20"/>
            </w:pPr>
            <w:r/>
            <w:r>
              <w:rPr>
                <w:sz w:val="18"/>
              </w:rPr>
              <w:t>63,61 (%0,86)</w:t>
            </w:r>
          </w:p>
        </w:tc>
      </w:tr>
      <w:tr>
        <w:tc>
          <w:tcPr>
            <w:tcW w:type="dxa" w:w="1134"/>
          </w:tcPr>
          <w:p>
            <w:pPr>
              <w:spacing w:after="20"/>
            </w:pPr>
            <w:r/>
            <w:r>
              <w:rPr>
                <w:sz w:val="18"/>
              </w:rPr>
              <w:t>0,10</w:t>
            </w:r>
          </w:p>
        </w:tc>
        <w:tc>
          <w:tcPr>
            <w:tcW w:type="dxa" w:w="1361"/>
          </w:tcPr>
          <w:p>
            <w:pPr>
              <w:spacing w:after="20"/>
            </w:pPr>
            <w:r/>
            <w:r>
              <w:rPr>
                <w:sz w:val="18"/>
              </w:rPr>
              <w:t>A_üç</w:t>
            </w:r>
          </w:p>
        </w:tc>
        <w:tc>
          <w:tcPr>
            <w:tcW w:type="dxa" w:w="2268"/>
          </w:tcPr>
          <w:p>
            <w:pPr>
              <w:spacing w:after="20"/>
            </w:pPr>
            <w:r/>
            <w:r>
              <w:rPr>
                <w:sz w:val="18"/>
              </w:rPr>
              <w:t>38,72 (%0,52)</w:t>
            </w:r>
          </w:p>
        </w:tc>
        <w:tc>
          <w:tcPr>
            <w:tcW w:type="dxa" w:w="2268"/>
          </w:tcPr>
          <w:p>
            <w:pPr>
              <w:spacing w:after="20"/>
            </w:pPr>
            <w:r/>
            <w:r>
              <w:rPr>
                <w:sz w:val="18"/>
              </w:rPr>
              <w:t>96,81 (%1,31)</w:t>
            </w:r>
          </w:p>
        </w:tc>
      </w:tr>
      <w:tr>
        <w:tc>
          <w:tcPr>
            <w:tcW w:type="dxa" w:w="1134"/>
          </w:tcPr>
          <w:p>
            <w:pPr>
              <w:spacing w:after="20"/>
            </w:pPr>
            <w:r/>
            <w:r>
              <w:rPr>
                <w:sz w:val="18"/>
              </w:rPr>
              <w:t>0,30</w:t>
            </w:r>
          </w:p>
        </w:tc>
        <w:tc>
          <w:tcPr>
            <w:tcW w:type="dxa" w:w="1361"/>
          </w:tcPr>
          <w:p>
            <w:pPr>
              <w:spacing w:after="20"/>
            </w:pPr>
            <w:r/>
            <w:r>
              <w:rPr>
                <w:sz w:val="18"/>
              </w:rPr>
              <w:t>A_ön</w:t>
            </w:r>
          </w:p>
        </w:tc>
        <w:tc>
          <w:tcPr>
            <w:tcW w:type="dxa" w:w="2268"/>
          </w:tcPr>
          <w:p>
            <w:pPr>
              <w:spacing w:after="20"/>
            </w:pPr>
            <w:r/>
            <w:r>
              <w:rPr>
                <w:sz w:val="18"/>
              </w:rPr>
              <w:t>76,34 (%1,03)</w:t>
            </w:r>
          </w:p>
        </w:tc>
        <w:tc>
          <w:tcPr>
            <w:tcW w:type="dxa" w:w="2268"/>
          </w:tcPr>
          <w:p>
            <w:pPr>
              <w:spacing w:after="20"/>
            </w:pPr>
            <w:r/>
            <w:r>
              <w:rPr>
                <w:sz w:val="18"/>
              </w:rPr>
              <w:t>190,84 (%2,58)</w:t>
            </w:r>
          </w:p>
        </w:tc>
      </w:tr>
      <w:tr>
        <w:tc>
          <w:tcPr>
            <w:tcW w:type="dxa" w:w="1134"/>
          </w:tcPr>
          <w:p>
            <w:pPr>
              <w:spacing w:after="20"/>
            </w:pPr>
            <w:r/>
            <w:r>
              <w:rPr>
                <w:sz w:val="18"/>
              </w:rPr>
              <w:t>0,30</w:t>
            </w:r>
          </w:p>
        </w:tc>
        <w:tc>
          <w:tcPr>
            <w:tcW w:type="dxa" w:w="1361"/>
          </w:tcPr>
          <w:p>
            <w:pPr>
              <w:spacing w:after="20"/>
            </w:pPr>
            <w:r/>
            <w:r>
              <w:rPr>
                <w:sz w:val="18"/>
              </w:rPr>
              <w:t>A_üç</w:t>
            </w:r>
          </w:p>
        </w:tc>
        <w:tc>
          <w:tcPr>
            <w:tcW w:type="dxa" w:w="2268"/>
          </w:tcPr>
          <w:p>
            <w:pPr>
              <w:spacing w:after="20"/>
            </w:pPr>
            <w:r/>
            <w:r>
              <w:rPr>
                <w:sz w:val="18"/>
              </w:rPr>
              <w:t>116,17 (%1,57)</w:t>
            </w:r>
          </w:p>
        </w:tc>
        <w:tc>
          <w:tcPr>
            <w:tcW w:type="dxa" w:w="2268"/>
          </w:tcPr>
          <w:p>
            <w:pPr>
              <w:spacing w:after="20"/>
            </w:pPr>
            <w:r/>
            <w:r>
              <w:rPr>
                <w:sz w:val="18"/>
              </w:rPr>
              <w:t>290,43 (%3,93)</w:t>
            </w:r>
          </w:p>
        </w:tc>
      </w:tr>
    </w:tbl>
    <w:p>
      <w:pPr>
        <w:spacing w:after="40"/>
      </w:pPr>
    </w:p>
    <w:p>
      <w:pPr>
        <w:jc w:val="both"/>
      </w:pPr>
      <w:r>
        <w:rPr>
          <w:b/>
        </w:rPr>
        <w:t xml:space="preserve">(61) </w:t>
      </w:r>
      <w:r>
        <w:t xml:space="preserve">En büyük tasarım kuponu dar tavanın %3,93’üdür; bu payın ikame edildiği ölçülmemiştir. K′ primi R’siz öderse ΣNL yine 0 kalır, ancak “Prim havadan gelmez” sınırı bozulur (SENET_ANALIZ.md:115) </w:t>
      </w:r>
      <w:r>
        <w:rPr>
          <w:b/>
          <w:color w:val="0B6123"/>
          <w:sz w:val="18"/>
        </w:rPr>
        <w:t>[kanıt]</w:t>
      </w:r>
      <w:r>
        <w:t xml:space="preserve">. HEKİS senedinde fiziki endeks sabit 1,00’dır ve senet reel getirisi tavanda bile %1,43’tür; mevduat reel faizi yaklaşık +%4,2 iken gönüllü katılım rekabet edemez (hekis_model/data/SENET.md) </w:t>
      </w:r>
      <w:r>
        <w:rPr>
          <w:b/>
          <w:color w:val="A05200"/>
          <w:sz w:val="18"/>
        </w:rPr>
        <w:t>[aday, model]</w:t>
      </w:r>
      <w:r>
        <w:t xml:space="preserve">. HEKİS senedi ile hedef primli senet eşitlenmez (BES_ADIM.md “Ne denmez”) </w:t>
      </w:r>
      <w:r>
        <w:rPr>
          <w:b/>
          <w:color w:val="0B6123"/>
          <w:sz w:val="18"/>
        </w:rPr>
        <w:t>[kanıt]</w:t>
      </w:r>
      <w:r>
        <w:t>.</w:t>
      </w:r>
    </w:p>
    <w:p>
      <w:pPr>
        <w:pStyle w:val="Heading3"/>
      </w:pPr>
      <w:r>
        <w:t>7.3.5 Döviz stok artışının durdurulması</w:t>
      </w:r>
    </w:p>
    <w:p>
      <w:pPr>
        <w:jc w:val="both"/>
      </w:pPr>
      <w:r>
        <w:rPr>
          <w:b/>
        </w:rPr>
        <w:t xml:space="preserve">(62) </w:t>
      </w:r>
      <w:r>
        <w:t xml:space="preserve">RAPOR.md:44 uyarınca sistem döviz sözleşmesini silmez; kur şişmesi yerinde kalır </w:t>
      </w:r>
      <w:r>
        <w:rPr>
          <w:b/>
          <w:color w:val="0B6123"/>
          <w:sz w:val="18"/>
        </w:rPr>
        <w:t>[kanıt, metin]</w:t>
      </w:r>
      <w:r>
        <w:t xml:space="preserve">. Dondurma yeni YP birikimini keser; mevcut yp değerlenmeye devam eder. Bankanın değerleme artışı </w:t>
      </w:r>
      <w:r>
        <w:rPr>
          <w:b/>
        </w:rPr>
        <w:t>2.660,8843 milyar TL</w:t>
      </w:r>
      <w:r>
        <w:t xml:space="preserve"> ile baz senaryoyla aynıdır; tam ağda temerrüt 7 ve köprü 443,87; yoğunluk 0,25’te temerrüt 8–15 (ortanca 13), köprü 472,84–8.250,86 (ortanca 4.810,19) olarak değişmez (SENET_ANALIZ.md “Döviz stok artışını durdurma”) </w:t>
      </w:r>
      <w:r>
        <w:rPr>
          <w:b/>
          <w:color w:val="0B6123"/>
          <w:sz w:val="18"/>
        </w:rPr>
        <w:t>[kanıt]</w:t>
      </w:r>
      <w:r>
        <w:t>.</w:t>
      </w:r>
    </w:p>
    <w:p>
      <w:pPr>
        <w:jc w:val="both"/>
      </w:pPr>
      <w:r>
        <w:rPr>
          <w:b/>
        </w:rPr>
        <w:t xml:space="preserve">(63) </w:t>
      </w:r>
      <w:r>
        <w:t xml:space="preserve">Durdurulan akış: gerçek kişi YP mevduatı (TP.HPBITABLO2.7) 2024-Q4 → 2025-Q4 arasında +40,64 milyar USD; miktar etkisi 1.730,54 milyar TL, kur etkisi 787,13 </w:t>
      </w:r>
      <w:r>
        <w:rPr>
          <w:b/>
          <w:color w:val="0B6123"/>
          <w:sz w:val="18"/>
        </w:rPr>
        <w:t>[kanıt stok; kur ayrımı aday]</w:t>
      </w:r>
      <w:r>
        <w:t xml:space="preserve">. Brüt dış borç aynı dönemde 461,2’den 522,7 milyar USD’ye (+61,5) çıkmıştır; bu ayrı bir stoktur </w:t>
      </w:r>
      <w:r>
        <w:rPr>
          <w:b/>
          <w:color w:val="0B6123"/>
          <w:sz w:val="18"/>
        </w:rPr>
        <w:t>[kanıt]</w:t>
      </w:r>
      <w:r>
        <w:t xml:space="preserve">. Kilitli üç kural senaryosu korunmasız stoku %0 tavan ve geri al kuralıyla 120 milyar USD’de tutar; </w:t>
      </w:r>
      <w:r>
        <w:rPr>
          <w:rFonts w:ascii="Consolas" w:hAnsi="Consolas"/>
          <w:sz w:val="19"/>
        </w:rPr>
        <w:t>mevcut</w:t>
      </w:r>
      <w:r>
        <w:t xml:space="preserve"> senaryoda %6/yıl büyüme 121,8 → 162,9 milyar USD’dir (DOVIZ_EGILIM.md) </w:t>
      </w:r>
      <w:r>
        <w:rPr>
          <w:b/>
          <w:color w:val="A05200"/>
          <w:sz w:val="18"/>
        </w:rPr>
        <w:t>[aday, senaryo]</w:t>
      </w:r>
      <w:r>
        <w:t xml:space="preserve">. Taslak, Adım 2’nin döviz koşulunun bu dondurmayla </w:t>
      </w:r>
      <w:r>
        <w:rPr>
          <w:b/>
        </w:rPr>
        <w:t>açılmadığını</w:t>
      </w:r>
      <w:r>
        <w:t xml:space="preserve"> kaydeder (SENET_ANALIZ.md:148; fx_durdur_sonuc.json </w:t>
      </w:r>
      <w:r>
        <w:rPr>
          <w:rFonts w:ascii="Consolas" w:hAnsi="Consolas"/>
          <w:sz w:val="19"/>
        </w:rPr>
        <w:t>uc_kosul: false</w:t>
      </w:r>
      <w:r>
        <w:t xml:space="preserve">) </w:t>
      </w:r>
      <w:r>
        <w:rPr>
          <w:b/>
          <w:color w:val="0B6123"/>
          <w:sz w:val="18"/>
        </w:rPr>
        <w:t>[kanıt]</w:t>
      </w:r>
      <w:r>
        <w:t>.</w:t>
      </w:r>
    </w:p>
    <w:p>
      <w:pPr>
        <w:pStyle w:val="Heading2"/>
      </w:pPr>
      <w:r>
        <w:t>7.4 Doğurduğu sonuç</w:t>
      </w:r>
    </w:p>
    <w:p>
      <w:pPr>
        <w:jc w:val="both"/>
      </w:pPr>
      <w:r>
        <w:rPr>
          <w:b/>
        </w:rPr>
        <w:t xml:space="preserve">(64) </w:t>
      </w:r>
      <w:r>
        <w:t xml:space="preserve">Eski band koşusunda 12 senaryoda 2029–2031 toplam prim 77,5–1.058,9 milyar TL (orta senaryo θ 0,25, χ 0,5, π 0,05: 529,4); bankaların mevduat kaybından doğan yıllık kredi daralması 154,9–774,5 milyar TL (orta 387,2) (BES_ADIM_MALIYET.md) </w:t>
      </w:r>
      <w:r>
        <w:rPr>
          <w:b/>
          <w:color w:val="A05200"/>
          <w:sz w:val="18"/>
        </w:rPr>
        <w:t>[aday, band]</w:t>
      </w:r>
      <w:r>
        <w:t xml:space="preserve">. Taslakta ödenen prim 0, ΣNL 0, ek net finansal pozisyon 0’dır (SENET_ANALIZ.md “SFC”) </w:t>
      </w:r>
      <w:r>
        <w:rPr>
          <w:b/>
          <w:color w:val="0B6123"/>
          <w:sz w:val="18"/>
        </w:rPr>
        <w:t>[kanıt, formül]</w:t>
      </w:r>
      <w:r>
        <w:t>.</w:t>
      </w:r>
    </w:p>
    <w:p>
      <w:pPr>
        <w:pStyle w:val="Heading2"/>
      </w:pPr>
      <w:r>
        <w:t>7.5 Maliyet</w:t>
      </w:r>
    </w:p>
    <w:p>
      <w:pPr>
        <w:jc w:val="both"/>
      </w:pPr>
      <w:r>
        <w:rPr>
          <w:b/>
        </w:rPr>
        <w:t xml:space="preserve">(65) </w:t>
      </w:r>
      <w:r>
        <w:t xml:space="preserve">(i) Prim toplamı 77,5–1.058,9 milyar TL (2029–2031) = aynı yılların varsayım GSYH toplamının (480.694,4) %0,016–%0,22’si </w:t>
      </w:r>
      <w:r>
        <w:rPr>
          <w:b/>
          <w:color w:val="1F3A8F"/>
          <w:sz w:val="18"/>
        </w:rPr>
        <w:t>[türetilmiş; payda aday]</w:t>
      </w:r>
      <w:r>
        <w:t xml:space="preserve">. (ii) Kredi daralması 154,9–774,5 milyar TL/yıl = 2029 GSYH’sinin %0,11–%0,55’i </w:t>
      </w:r>
      <w:r>
        <w:rPr>
          <w:b/>
          <w:color w:val="1F3A8F"/>
          <w:sz w:val="18"/>
        </w:rPr>
        <w:t>[türetilmiş]</w:t>
      </w:r>
      <w:r>
        <w:t xml:space="preserve">; katsayı bandı 0,08–0,787 olduğu için gerçek daralma 7–10 kat farklı olabilir. (iii) Taslakta TCMB’nin atıl fonlaması yıl 1’de %1,45 (θ 0,10) – %4,47 (θ 0,30) GSYH </w:t>
      </w:r>
      <w:r>
        <w:rPr>
          <w:b/>
          <w:color w:val="0B6123"/>
          <w:sz w:val="18"/>
        </w:rPr>
        <w:t>[kanıt, taslak]</w:t>
      </w:r>
      <w:r>
        <w:t xml:space="preserve">. (iv) Yürütme maliyeti 2029–2031 toplamında ρ’ya göre 0,3–307,1 milyar TL; bu adımda ρ dayanağı en zayıftır (BES_ADIM_MALIYET.md) </w:t>
      </w:r>
      <w:r>
        <w:rPr>
          <w:b/>
          <w:color w:val="A05200"/>
          <w:sz w:val="18"/>
        </w:rPr>
        <w:t>[aday]</w:t>
      </w:r>
      <w:r>
        <w:t>.</w:t>
      </w:r>
    </w:p>
    <w:p>
      <w:pPr>
        <w:pStyle w:val="Heading2"/>
      </w:pPr>
      <w:r>
        <w:t>7.6 Fayda</w:t>
      </w:r>
    </w:p>
    <w:p>
      <w:pPr>
        <w:jc w:val="both"/>
      </w:pPr>
      <w:r>
        <w:rPr>
          <w:b/>
        </w:rPr>
        <w:t xml:space="preserve">(66) </w:t>
      </w:r>
      <w:r>
        <w:t xml:space="preserve">Ölçülmüş fayda yoktur: Π = 0, R ölçülmedi. Kuramsal fayda, açılan paranın döviz ve arsa yerine üretim finansmanına gitmesi ve prim ödemesinin gerçekleşen ithal ikamesinden karşılanmasıdır (RAPOR.md:17) </w:t>
      </w:r>
      <w:r>
        <w:rPr>
          <w:b/>
          <w:color w:val="A05200"/>
          <w:sz w:val="18"/>
        </w:rPr>
        <w:t>[aday]</w:t>
      </w:r>
      <w:r>
        <w:t xml:space="preserve">. Ara mal ithalatı dar tavanı (7.397,89 milyar TL) potansiyel tasarruf havuzunun üst sınırıdır, gerçekleşen tasarruf değildir </w:t>
      </w:r>
      <w:r>
        <w:rPr>
          <w:b/>
          <w:color w:val="A05200"/>
          <w:sz w:val="18"/>
        </w:rPr>
        <w:t>[aday]</w:t>
      </w:r>
      <w:r>
        <w:t>.</w:t>
      </w:r>
    </w:p>
    <w:p>
      <w:pPr>
        <w:pStyle w:val="Heading2"/>
      </w:pPr>
      <w:r>
        <w:t>7.7 Amaç</w:t>
      </w:r>
    </w:p>
    <w:p>
      <w:pPr>
        <w:jc w:val="both"/>
      </w:pPr>
      <w:r>
        <w:rPr>
          <w:b/>
        </w:rPr>
        <w:t xml:space="preserve">(67) </w:t>
      </w:r>
      <w:r>
        <w:t>Mahsupla serbest kalan servetin dövize, altına ve arsaya kaçmasını önlemek; üretimi faizli kredi yerine enflasyona endeksli, primi gerçek tasarruftan ödenen bir iç senetle finanse etmek; döviz borçlanmasını kısmak.</w:t>
      </w:r>
    </w:p>
    <w:tbl>
      <w:tblPr>
        <w:tblStyle w:val="TableGrid"/>
        <w:tblW w:type="auto" w:w="0"/>
        <w:tblLook w:firstColumn="1" w:firstRow="1" w:lastColumn="0" w:lastRow="0" w:noHBand="0" w:noVBand="1" w:val="04A0"/>
      </w:tblPr>
      <w:tblGrid>
        <w:gridCol w:w="9242"/>
      </w:tblGrid>
      <w:tr>
        <w:tc>
          <w:tcPr>
            <w:tcW w:type="dxa" w:w="9241"/>
            <w:shd w:val="clear" w:color="auto" w:fill="FFF2CC"/>
          </w:tcPr>
          <w:p>
            <w:r/>
            <w:r>
              <w:rPr>
                <w:b/>
                <w:sz w:val="20"/>
              </w:rPr>
              <w:t>Adım 4 bulgu hükmü</w:t>
            </w:r>
          </w:p>
          <w:p>
            <w:pPr>
              <w:spacing w:after="40"/>
              <w:jc w:val="both"/>
            </w:pPr>
            <w:r>
              <w:rPr>
                <w:b/>
                <w:sz w:val="19"/>
              </w:rPr>
              <w:t>Bu veriyle karar verilemez.</w:t>
            </w:r>
            <w:r>
              <w:rPr>
                <w:sz w:val="19"/>
              </w:rPr>
              <w:t xml:space="preserve"> Kredi katsayısı (0,08–0,787) ve gerçekleşen ithal ikamesi (R) ölçülmeden adımın net etkisi işaretlenemez. Rant kapısı sıkı okunduğunda (e-fatura eşleşmesi ve Sayıştay ödenmeyen emri depoda yok) senede geçebilecek tutar </w:t>
            </w:r>
            <w:r>
              <w:rPr>
                <w:b/>
                <w:sz w:val="19"/>
              </w:rPr>
              <w:t>0</w:t>
            </w:r>
            <w:r>
              <w:rPr>
                <w:sz w:val="19"/>
              </w:rPr>
              <w:t>’dır. θ’nın kilide kanalı yoktur; bu kuramla tutarlıdır ve Adım 4’ün kilit tedavisi olarak değerlendirilmemesi gerektiğini gösterir. Adım 4 ancak Adım 1 uygulandıktan, R’yi ölçecek fiziki endeks kurulduktan ve K1–K5 kapıları veriyle doğrulanabilir hâle geldikten sonra yeniden değerlendirilebilir.</w:t>
            </w:r>
          </w:p>
        </w:tc>
      </w:tr>
    </w:tbl>
    <w:p>
      <w:pPr>
        <w:spacing w:after="40"/>
      </w:pPr>
    </w:p>
    <w:p>
      <w:r>
        <w:br w:type="page"/>
      </w:r>
    </w:p>
    <w:p>
      <w:pPr>
        <w:pStyle w:val="Heading1"/>
      </w:pPr>
      <w:r>
        <w:t>8. Adım 4.5 — Mevcut TL’den Yeni Fiat TL’ye Geçiş</w:t>
      </w:r>
    </w:p>
    <w:p>
      <w:pPr>
        <w:jc w:val="both"/>
      </w:pPr>
      <w:r>
        <w:rPr>
          <w:b/>
        </w:rPr>
        <w:t xml:space="preserve">(68) </w:t>
      </w:r>
      <w:r>
        <w:t xml:space="preserve">Tanım: “Mevcut TL, yeni fiat TL’ye geçer. Yeni lira altın ya da döviz üzerinde alacak değildir; dolara çevrilerek ödenmez. λ = 1 paritede sayılar durur. λ varsayımdır.” (TEK_SISTEM.md:30; ADIM45_BIRIM.md) </w:t>
      </w:r>
      <w:r>
        <w:rPr>
          <w:b/>
          <w:color w:val="0B6123"/>
          <w:sz w:val="18"/>
        </w:rPr>
        <w:t>[kanıt, metin]</w:t>
      </w:r>
      <w:r>
        <w:t xml:space="preserve">. Takvim 2030-Q1–2030-Q4 senaryo takvimidir; K3 bundan önce kapanır (ADIM45_BIRIM.md) </w:t>
      </w:r>
      <w:r>
        <w:rPr>
          <w:b/>
          <w:color w:val="A05200"/>
          <w:sz w:val="18"/>
        </w:rPr>
        <w:t>[aday, takvim]</w:t>
      </w:r>
      <w:r>
        <w:t>.</w:t>
      </w:r>
    </w:p>
    <w:p>
      <w:pPr>
        <w:pStyle w:val="Heading2"/>
      </w:pPr>
      <w:r>
        <w:t>8.1 Başlangıç kıstası</w:t>
      </w:r>
    </w:p>
    <w:p>
      <w:pPr>
        <w:keepNext/>
        <w:spacing w:after="40"/>
        <w:jc w:val="left"/>
      </w:pPr>
      <w:r>
        <w:rPr>
          <w:b/>
          <w:sz w:val="19"/>
        </w:rPr>
        <w:t>Tablo 8.1 — Adım 4.5 başlangıç kıstası</w:t>
      </w:r>
    </w:p>
    <w:tbl>
      <w:tblPr>
        <w:tblStyle w:val="TableGrid"/>
        <w:tblW w:type="auto" w:w="0"/>
        <w:jc w:val="center"/>
        <w:tblLayout w:type="fixed"/>
        <w:tblLook w:firstColumn="1" w:firstRow="1" w:lastColumn="0" w:lastRow="0" w:noHBand="0" w:noVBand="1" w:val="04A0"/>
      </w:tblPr>
      <w:tblGrid>
        <w:gridCol w:w="680"/>
        <w:gridCol w:w="2381"/>
        <w:gridCol w:w="2041"/>
        <w:gridCol w:w="1701"/>
        <w:gridCol w:w="2268"/>
      </w:tblGrid>
      <w:tr>
        <w:trPr>
          <w:tblHeader w:val="true"/>
        </w:trPr>
        <w:tc>
          <w:tcPr>
            <w:tcW w:type="dxa" w:w="680"/>
            <w:shd w:val="clear" w:color="auto" w:fill="D9E2F3"/>
          </w:tcPr>
          <w:p>
            <w:r/>
            <w:r>
              <w:rPr>
                <w:b/>
                <w:sz w:val="16"/>
              </w:rPr>
              <w:t>No</w:t>
            </w:r>
          </w:p>
        </w:tc>
        <w:tc>
          <w:tcPr>
            <w:tcW w:type="dxa" w:w="2381"/>
            <w:shd w:val="clear" w:color="auto" w:fill="D9E2F3"/>
          </w:tcPr>
          <w:p>
            <w:r/>
            <w:r>
              <w:rPr>
                <w:b/>
                <w:sz w:val="16"/>
              </w:rPr>
              <w:t>Kıstas</w:t>
            </w:r>
          </w:p>
        </w:tc>
        <w:tc>
          <w:tcPr>
            <w:tcW w:type="dxa" w:w="2041"/>
            <w:shd w:val="clear" w:color="auto" w:fill="D9E2F3"/>
          </w:tcPr>
          <w:p>
            <w:r/>
            <w:r>
              <w:rPr>
                <w:b/>
                <w:sz w:val="16"/>
              </w:rPr>
              <w:t>Nasıl doğrulanır</w:t>
            </w:r>
          </w:p>
        </w:tc>
        <w:tc>
          <w:tcPr>
            <w:tcW w:type="dxa" w:w="1701"/>
            <w:shd w:val="clear" w:color="auto" w:fill="D9E2F3"/>
          </w:tcPr>
          <w:p>
            <w:r/>
            <w:r>
              <w:rPr>
                <w:b/>
                <w:sz w:val="16"/>
              </w:rPr>
              <w:t>Bugünkü durum</w:t>
            </w:r>
          </w:p>
        </w:tc>
        <w:tc>
          <w:tcPr>
            <w:tcW w:type="dxa" w:w="2268"/>
            <w:shd w:val="clear" w:color="auto" w:fill="D9E2F3"/>
          </w:tcPr>
          <w:p>
            <w:r/>
            <w:r>
              <w:rPr>
                <w:b/>
                <w:sz w:val="16"/>
              </w:rPr>
              <w:t>Dayanak</w:t>
            </w:r>
          </w:p>
        </w:tc>
      </w:tr>
      <w:tr>
        <w:tc>
          <w:tcPr>
            <w:tcW w:type="dxa" w:w="680"/>
          </w:tcPr>
          <w:p>
            <w:pPr>
              <w:spacing w:after="20"/>
            </w:pPr>
            <w:r/>
            <w:r>
              <w:rPr>
                <w:sz w:val="16"/>
              </w:rPr>
              <w:t>45.a</w:t>
            </w:r>
          </w:p>
        </w:tc>
        <w:tc>
          <w:tcPr>
            <w:tcW w:type="dxa" w:w="2381"/>
          </w:tcPr>
          <w:p>
            <w:pPr>
              <w:spacing w:after="20"/>
            </w:pPr>
            <w:r/>
            <w:r>
              <w:rPr>
                <w:sz w:val="16"/>
              </w:rPr>
              <w:t>Parite λ = 1 (sayılar durur)</w:t>
            </w:r>
          </w:p>
        </w:tc>
        <w:tc>
          <w:tcPr>
            <w:tcW w:type="dxa" w:w="2041"/>
          </w:tcPr>
          <w:p>
            <w:pPr>
              <w:spacing w:after="20"/>
            </w:pPr>
            <w:r/>
            <w:r>
              <w:rPr>
                <w:sz w:val="16"/>
              </w:rPr>
              <w:t>Tanım</w:t>
            </w:r>
          </w:p>
        </w:tc>
        <w:tc>
          <w:tcPr>
            <w:tcW w:type="dxa" w:w="1701"/>
            <w:shd w:val="clear" w:color="auto" w:fill="E2EFDA"/>
          </w:tcPr>
          <w:p>
            <w:pPr>
              <w:spacing w:after="20"/>
            </w:pPr>
            <w:r/>
            <w:r>
              <w:rPr>
                <w:sz w:val="16"/>
              </w:rPr>
              <w:t>sağlanıyor (tanım gereği)</w:t>
            </w:r>
          </w:p>
        </w:tc>
        <w:tc>
          <w:tcPr>
            <w:tcW w:type="dxa" w:w="2268"/>
          </w:tcPr>
          <w:p>
            <w:pPr>
              <w:spacing w:after="20"/>
            </w:pPr>
            <w:r/>
            <w:r>
              <w:rPr>
                <w:sz w:val="16"/>
              </w:rPr>
              <w:t>ADIM45_BIRIM.md “Kimlik”</w:t>
            </w:r>
          </w:p>
        </w:tc>
      </w:tr>
      <w:tr>
        <w:tc>
          <w:tcPr>
            <w:tcW w:type="dxa" w:w="680"/>
          </w:tcPr>
          <w:p>
            <w:pPr>
              <w:spacing w:after="20"/>
            </w:pPr>
            <w:r/>
            <w:r>
              <w:rPr>
                <w:sz w:val="16"/>
              </w:rPr>
              <w:t>45.b</w:t>
            </w:r>
          </w:p>
        </w:tc>
        <w:tc>
          <w:tcPr>
            <w:tcW w:type="dxa" w:w="2381"/>
          </w:tcPr>
          <w:p>
            <w:pPr>
              <w:spacing w:after="20"/>
            </w:pPr>
            <w:r/>
            <w:r>
              <w:rPr>
                <w:sz w:val="16"/>
              </w:rPr>
              <w:t>TL para stoku ölçülmüş ve kaynakla tutarlı</w:t>
            </w:r>
          </w:p>
        </w:tc>
        <w:tc>
          <w:tcPr>
            <w:tcW w:type="dxa" w:w="2041"/>
          </w:tcPr>
          <w:p>
            <w:pPr>
              <w:spacing w:after="20"/>
            </w:pPr>
            <w:r/>
            <w:r>
              <w:rPr>
                <w:sz w:val="16"/>
              </w:rPr>
              <w:t>TCMB A17 Emisyon karşılaştırması</w:t>
            </w:r>
          </w:p>
        </w:tc>
        <w:tc>
          <w:tcPr>
            <w:tcW w:type="dxa" w:w="1701"/>
            <w:shd w:val="clear" w:color="auto" w:fill="E2EFDA"/>
          </w:tcPr>
          <w:p>
            <w:pPr>
              <w:spacing w:after="20"/>
            </w:pPr>
            <w:r/>
            <w:r>
              <w:rPr>
                <w:sz w:val="16"/>
              </w:rPr>
              <w:t>sağlanıyor</w:t>
            </w:r>
          </w:p>
        </w:tc>
        <w:tc>
          <w:tcPr>
            <w:tcW w:type="dxa" w:w="2268"/>
          </w:tcPr>
          <w:p>
            <w:pPr>
              <w:spacing w:after="20"/>
            </w:pPr>
            <w:r/>
            <w:r>
              <w:rPr>
                <w:sz w:val="16"/>
              </w:rPr>
              <w:t>898,3 = A17 Emisyon (rev_adim45_sonuc.json; YAPILABILIRLIK.md:12)</w:t>
            </w:r>
          </w:p>
        </w:tc>
      </w:tr>
      <w:tr>
        <w:tc>
          <w:tcPr>
            <w:tcW w:type="dxa" w:w="680"/>
          </w:tcPr>
          <w:p>
            <w:pPr>
              <w:spacing w:after="20"/>
            </w:pPr>
            <w:r/>
            <w:r>
              <w:rPr>
                <w:sz w:val="16"/>
              </w:rPr>
              <w:t>45.c</w:t>
            </w:r>
          </w:p>
        </w:tc>
        <w:tc>
          <w:tcPr>
            <w:tcW w:type="dxa" w:w="2381"/>
          </w:tcPr>
          <w:p>
            <w:pPr>
              <w:spacing w:after="20"/>
            </w:pPr>
            <w:r/>
            <w:r>
              <w:rPr>
                <w:sz w:val="16"/>
              </w:rPr>
              <w:t>Yeni birim döviz/altın alacağı değil; YP stok dışında</w:t>
            </w:r>
          </w:p>
        </w:tc>
        <w:tc>
          <w:tcPr>
            <w:tcW w:type="dxa" w:w="2041"/>
          </w:tcPr>
          <w:p>
            <w:pPr>
              <w:spacing w:after="20"/>
            </w:pPr>
            <w:r/>
            <w:r>
              <w:rPr>
                <w:sz w:val="16"/>
              </w:rPr>
              <w:t>Tasarım kuralı</w:t>
            </w:r>
          </w:p>
        </w:tc>
        <w:tc>
          <w:tcPr>
            <w:tcW w:type="dxa" w:w="1701"/>
            <w:shd w:val="clear" w:color="auto" w:fill="E2EFDA"/>
          </w:tcPr>
          <w:p>
            <w:pPr>
              <w:spacing w:after="20"/>
            </w:pPr>
            <w:r/>
            <w:r>
              <w:rPr>
                <w:sz w:val="16"/>
              </w:rPr>
              <w:t>sağlanıyor (tanım gereği)</w:t>
            </w:r>
          </w:p>
        </w:tc>
        <w:tc>
          <w:tcPr>
            <w:tcW w:type="dxa" w:w="2268"/>
          </w:tcPr>
          <w:p>
            <w:pPr>
              <w:spacing w:after="20"/>
            </w:pPr>
            <w:r/>
            <w:r>
              <w:rPr>
                <w:sz w:val="16"/>
              </w:rPr>
              <w:t>ADIM45_BIRIM.md “Girmeyenler”</w:t>
            </w:r>
          </w:p>
        </w:tc>
      </w:tr>
      <w:tr>
        <w:tc>
          <w:tcPr>
            <w:tcW w:type="dxa" w:w="680"/>
          </w:tcPr>
          <w:p>
            <w:pPr>
              <w:spacing w:after="20"/>
            </w:pPr>
            <w:r/>
            <w:r>
              <w:rPr>
                <w:sz w:val="16"/>
              </w:rPr>
              <w:t>45.d</w:t>
            </w:r>
          </w:p>
        </w:tc>
        <w:tc>
          <w:tcPr>
            <w:tcW w:type="dxa" w:w="2381"/>
          </w:tcPr>
          <w:p>
            <w:pPr>
              <w:spacing w:after="20"/>
            </w:pPr>
            <w:r/>
            <w:r>
              <w:rPr>
                <w:sz w:val="16"/>
              </w:rPr>
              <w:t>Borç teşhisine katkı (fayda &gt; 0)</w:t>
            </w:r>
          </w:p>
        </w:tc>
        <w:tc>
          <w:tcPr>
            <w:tcW w:type="dxa" w:w="2041"/>
          </w:tcPr>
          <w:p>
            <w:pPr>
              <w:spacing w:after="20"/>
            </w:pPr>
            <w:r/>
            <w:r>
              <w:rPr>
                <w:sz w:val="16"/>
              </w:rPr>
              <w:t>Plasebo kontrolü</w:t>
            </w:r>
          </w:p>
        </w:tc>
        <w:tc>
          <w:tcPr>
            <w:tcW w:type="dxa" w:w="1701"/>
            <w:shd w:val="clear" w:color="auto" w:fill="F8CBAD"/>
          </w:tcPr>
          <w:p>
            <w:pPr>
              <w:spacing w:after="20"/>
            </w:pPr>
            <w:r/>
            <w:r>
              <w:rPr>
                <w:sz w:val="16"/>
              </w:rPr>
              <w:t>sağlanmıyor</w:t>
            </w:r>
          </w:p>
        </w:tc>
        <w:tc>
          <w:tcPr>
            <w:tcW w:type="dxa" w:w="2268"/>
          </w:tcPr>
          <w:p>
            <w:pPr>
              <w:spacing w:after="20"/>
            </w:pPr>
            <w:r/>
            <w:r>
              <w:rPr>
                <w:sz w:val="16"/>
              </w:rPr>
              <w:t>Pay farkı ≈ 0; fayda 0 (ADIM45_MALIYET.md)</w:t>
            </w:r>
          </w:p>
        </w:tc>
      </w:tr>
    </w:tbl>
    <w:p>
      <w:pPr>
        <w:spacing w:after="40"/>
      </w:pPr>
    </w:p>
    <w:p>
      <w:pPr>
        <w:jc w:val="both"/>
      </w:pPr>
      <w:r>
        <w:rPr>
          <w:b/>
        </w:rPr>
        <w:t xml:space="preserve">(69) </w:t>
      </w:r>
      <w:r>
        <w:rPr>
          <w:b/>
        </w:rPr>
        <w:t>Kıstas hükmü:</w:t>
      </w:r>
      <w:r>
        <w:t xml:space="preserve"> Teknik kıstaslar (45.a–c) sağlanmaktadır; amaç kıstası (45.d) sağlanmamaktadır.</w:t>
      </w:r>
    </w:p>
    <w:p>
      <w:pPr>
        <w:pStyle w:val="Heading2"/>
      </w:pPr>
      <w:r>
        <w:t>8.2 Gerekçe</w:t>
      </w:r>
    </w:p>
    <w:p>
      <w:pPr>
        <w:jc w:val="both"/>
      </w:pPr>
      <w:r>
        <w:rPr>
          <w:b/>
        </w:rPr>
        <w:t xml:space="preserve">(70) </w:t>
      </w:r>
      <w:r>
        <w:t xml:space="preserve">Kamuoyunda sıkça gündeme gelen birim değişikliğinin borç sorunu üzerindeki etkisinin açıkça gösterilmesi (CIMER_METNI.md §8) </w:t>
      </w:r>
      <w:r>
        <w:rPr>
          <w:b/>
          <w:color w:val="0B6123"/>
          <w:sz w:val="18"/>
        </w:rPr>
        <w:t>[kanıt, metin]</w:t>
      </w:r>
      <w:r>
        <w:t>.</w:t>
      </w:r>
    </w:p>
    <w:p>
      <w:pPr>
        <w:pStyle w:val="Heading2"/>
      </w:pPr>
      <w:r>
        <w:t>8.3 Mekanizma</w:t>
      </w:r>
    </w:p>
    <w:p>
      <w:pPr>
        <w:jc w:val="both"/>
      </w:pPr>
      <w:r>
        <w:rPr>
          <w:b/>
        </w:rPr>
        <w:t xml:space="preserve">(71) </w:t>
      </w:r>
      <w:r>
        <w:t xml:space="preserve">TL_yeni = TL_eski·(1 + u·(λ−1)); kur_yeni = λ·kur_eski; USD stok ve faiz oranları ×1; iki taraf da ölçeklenir, NFP farkı 0, ΣNL = 0 (ADIM45_BIRIM.md) </w:t>
      </w:r>
      <w:r>
        <w:rPr>
          <w:b/>
          <w:color w:val="0B6123"/>
          <w:sz w:val="18"/>
        </w:rPr>
        <w:t>[kanıt, kimlik]</w:t>
      </w:r>
      <w:r>
        <w:t xml:space="preserve">. TL para stoku 16.472,8 milyar TL (TCMB nakit 898,3 + yurt içi TL mevduat 15.574,5); yurt içi YP 10.026,3 ve gerçek kişi YP 6.639,4 fiat TL stokuna girmez </w:t>
      </w:r>
      <w:r>
        <w:rPr>
          <w:b/>
          <w:color w:val="0B6123"/>
          <w:sz w:val="18"/>
        </w:rPr>
        <w:t>[kanıt]</w:t>
      </w:r>
      <w:r>
        <w:t xml:space="preserve">. Kur çapası 49,1274 TL/USD (bes_yil_senaryo.csv taban) </w:t>
      </w:r>
      <w:r>
        <w:rPr>
          <w:b/>
          <w:color w:val="0B6123"/>
          <w:sz w:val="18"/>
        </w:rPr>
        <w:t>[kanıt, sabit çapa]</w:t>
      </w:r>
      <w:r>
        <w:t>.</w:t>
      </w:r>
    </w:p>
    <w:p>
      <w:pPr>
        <w:pStyle w:val="Heading2"/>
      </w:pPr>
      <w:r>
        <w:t>8.4 Doğurduğu sonuç</w:t>
      </w:r>
    </w:p>
    <w:p>
      <w:pPr>
        <w:jc w:val="both"/>
      </w:pPr>
      <w:r>
        <w:rPr>
          <w:b/>
        </w:rPr>
        <w:t xml:space="preserve">(72) </w:t>
      </w:r>
      <w:r>
        <w:t xml:space="preserve">λ ne olursa olsun TL bileşenlerinin payları aynı kalır (max pay farkı 0 – 1,1e−16); bu aritmetik gereğidir; modelde para yanılsaması ve yuvarlama enflasyonu yoktur (ADIM45_MALIYET.md) </w:t>
      </w:r>
      <w:r>
        <w:rPr>
          <w:b/>
          <w:color w:val="0B6123"/>
          <w:sz w:val="18"/>
        </w:rPr>
        <w:t>[kanıt, kimlik]</w:t>
      </w:r>
      <w:r>
        <w:t xml:space="preserve">. “Yeni birim bir şey değiştirmez” denmez; model değiştirmediğini varsayar, sınamaz (ADIM45_MALIYET.md “Ne denmez”) </w:t>
      </w:r>
      <w:r>
        <w:rPr>
          <w:b/>
          <w:color w:val="0B6123"/>
          <w:sz w:val="18"/>
        </w:rPr>
        <w:t>[kanıt, sınır]</w:t>
      </w:r>
      <w:r>
        <w:t>.</w:t>
      </w:r>
    </w:p>
    <w:p>
      <w:pPr>
        <w:pStyle w:val="Heading2"/>
      </w:pPr>
      <w:r>
        <w:t>8.5 Maliyet</w:t>
      </w:r>
    </w:p>
    <w:p>
      <w:pPr>
        <w:jc w:val="both"/>
      </w:pPr>
      <w:r>
        <w:rPr>
          <w:b/>
        </w:rPr>
        <w:t xml:space="preserve">(73) </w:t>
      </w:r>
      <w:r>
        <w:t xml:space="preserve">A. Basım + yazılım: 0,59–5,40 milyar TL tek seferlik (2030 varsayım GSYH’sinin %0,0004–%0,0034’ü) </w:t>
      </w:r>
      <w:r>
        <w:rPr>
          <w:b/>
          <w:color w:val="A05200"/>
          <w:sz w:val="18"/>
        </w:rPr>
        <w:t>[aday; türetilmiş oran]</w:t>
      </w:r>
      <w:r>
        <w:t xml:space="preserve">. B. Tam yeni birim üst referansı: 189,7–632,4 milyar TL = 2025 GSYH’sinin (63.240,5) %0,3–%1,0’ı (Avro bölgesine girenlerde bildirilen aralık; ikincil kaynak) (ADIM45_MALIYET.md) </w:t>
      </w:r>
      <w:r>
        <w:rPr>
          <w:b/>
          <w:color w:val="A05200"/>
          <w:sz w:val="18"/>
        </w:rPr>
        <w:t>[aday]</w:t>
      </w:r>
      <w:r>
        <w:t>.</w:t>
      </w:r>
    </w:p>
    <w:p>
      <w:pPr>
        <w:pStyle w:val="Heading2"/>
      </w:pPr>
      <w:r>
        <w:t>8.6 Fayda</w:t>
      </w:r>
    </w:p>
    <w:p>
      <w:pPr>
        <w:jc w:val="both"/>
      </w:pPr>
      <w:r>
        <w:rPr>
          <w:b/>
        </w:rPr>
        <w:t xml:space="preserve">(74) </w:t>
      </w:r>
      <w:r>
        <w:t xml:space="preserve">Sıfır (plasebo) (ADIM45_MALIYET.md; BES_ADIM_MALIYET.md) </w:t>
      </w:r>
      <w:r>
        <w:rPr>
          <w:b/>
          <w:color w:val="0B6123"/>
          <w:sz w:val="18"/>
        </w:rPr>
        <w:t>[kanıt, model kimliği]</w:t>
      </w:r>
      <w:r>
        <w:t>.</w:t>
      </w:r>
    </w:p>
    <w:p>
      <w:pPr>
        <w:pStyle w:val="Heading2"/>
      </w:pPr>
      <w:r>
        <w:t>8.7 Amaç</w:t>
      </w:r>
    </w:p>
    <w:p>
      <w:pPr>
        <w:jc w:val="both"/>
      </w:pPr>
      <w:r>
        <w:rPr>
          <w:b/>
        </w:rPr>
        <w:t xml:space="preserve">(75) </w:t>
      </w:r>
      <w:r>
        <w:t>Yeni birimin döviz veya altına dayalı bir alacak olmadığını, borçları silmediğini ve kur sorununu çözmediğini kayda geçirmek; birim değişikliğini borç teşhisinden ayırmak.</w:t>
      </w:r>
    </w:p>
    <w:tbl>
      <w:tblPr>
        <w:tblStyle w:val="TableGrid"/>
        <w:tblW w:type="auto" w:w="0"/>
        <w:tblLook w:firstColumn="1" w:firstRow="1" w:lastColumn="0" w:lastRow="0" w:noHBand="0" w:noVBand="1" w:val="04A0"/>
      </w:tblPr>
      <w:tblGrid>
        <w:gridCol w:w="9242"/>
      </w:tblGrid>
      <w:tr>
        <w:tc>
          <w:tcPr>
            <w:tcW w:type="dxa" w:w="9241"/>
            <w:shd w:val="clear" w:color="auto" w:fill="F2F2F2"/>
          </w:tcPr>
          <w:p>
            <w:r/>
            <w:r>
              <w:rPr>
                <w:b/>
                <w:sz w:val="20"/>
              </w:rPr>
              <w:t>Adım 4.5 bulgu hükmü</w:t>
            </w:r>
          </w:p>
          <w:p>
            <w:pPr>
              <w:spacing w:after="40"/>
              <w:jc w:val="both"/>
            </w:pPr>
            <w:r>
              <w:rPr>
                <w:b/>
                <w:sz w:val="19"/>
              </w:rPr>
              <w:t>Teknik olarak yapılabilir; borç teşhisine etkisiz (plasebo).</w:t>
            </w:r>
            <w:r>
              <w:rPr>
                <w:sz w:val="19"/>
              </w:rPr>
              <w:t xml:space="preserve"> Diğer adımlardan tamamen bağımsızdır ve hiçbirinin koşulunu gevşetmez (YAPILABILIRLIK.md:25). Ödeme sistemi yenileme gibi başka gerekçelerle değerlendirilecekse borç çözümünden ayrı bir proje olarak ele alınmalıdır (CIMER_METNI.md §8) </w:t>
            </w:r>
            <w:r>
              <w:rPr>
                <w:b/>
                <w:color w:val="0B6123"/>
                <w:sz w:val="19"/>
              </w:rPr>
              <w:t>[kanıt, metin]</w:t>
            </w:r>
            <w:r>
              <w:rPr>
                <w:sz w:val="19"/>
              </w:rPr>
              <w:t>.</w:t>
            </w:r>
          </w:p>
        </w:tc>
      </w:tr>
    </w:tbl>
    <w:p>
      <w:pPr>
        <w:spacing w:after="40"/>
      </w:pPr>
    </w:p>
    <w:p>
      <w:r>
        <w:br w:type="page"/>
      </w:r>
    </w:p>
    <w:p>
      <w:pPr>
        <w:pStyle w:val="Heading1"/>
      </w:pPr>
      <w:r>
        <w:t>9. Adım 5 — Konut Stoku ve Kira Kolu</w:t>
      </w:r>
    </w:p>
    <w:p>
      <w:pPr>
        <w:jc w:val="both"/>
      </w:pPr>
      <w:r>
        <w:rPr>
          <w:b/>
        </w:rPr>
        <w:t xml:space="preserve">(76) </w:t>
      </w:r>
      <w:r>
        <w:t xml:space="preserve">Tanım: “Konut stoku topluma açılırsa kira, aynı akışın ikinci koludur. Aylık kira borç taksitini amorti eder. Bu kol ölçülmedi.” (RAPOR.md:25) </w:t>
      </w:r>
      <w:r>
        <w:rPr>
          <w:b/>
          <w:color w:val="0B6123"/>
          <w:sz w:val="18"/>
        </w:rPr>
        <w:t>[kanıt, metin]</w:t>
      </w:r>
      <w:r>
        <w:t xml:space="preserve">. </w:t>
      </w:r>
      <w:r>
        <w:rPr>
          <w:rFonts w:ascii="Consolas" w:hAnsi="Consolas"/>
          <w:sz w:val="19"/>
        </w:rPr>
        <w:t>adim5.csv</w:t>
      </w:r>
      <w:r>
        <w:t xml:space="preserve"> kira satırı </w:t>
      </w:r>
      <w:r>
        <w:rPr>
          <w:rFonts w:ascii="Consolas" w:hAnsi="Consolas"/>
          <w:sz w:val="19"/>
        </w:rPr>
        <w:t>olculmedi</w:t>
      </w:r>
      <w:r>
        <w:t xml:space="preserve">; HEKİS havuz kirası 20.000 TL/ay </w:t>
      </w:r>
      <w:r>
        <w:rPr>
          <w:rFonts w:ascii="Consolas" w:hAnsi="Consolas"/>
          <w:sz w:val="19"/>
        </w:rPr>
        <w:t>modellendi</w:t>
      </w:r>
      <w:r>
        <w:t xml:space="preserve"> (BES_ADIM.md) </w:t>
      </w:r>
      <w:r>
        <w:rPr>
          <w:b/>
          <w:color w:val="0B6123"/>
          <w:sz w:val="18"/>
        </w:rPr>
        <w:t>[kanıt]</w:t>
      </w:r>
      <w:r>
        <w:t>.</w:t>
      </w:r>
    </w:p>
    <w:p>
      <w:pPr>
        <w:pStyle w:val="Heading2"/>
      </w:pPr>
      <w:r>
        <w:t>9.1 Başlangıç kıstası</w:t>
      </w:r>
    </w:p>
    <w:p>
      <w:pPr>
        <w:keepNext/>
        <w:spacing w:after="40"/>
        <w:jc w:val="left"/>
      </w:pPr>
      <w:r>
        <w:rPr>
          <w:b/>
          <w:sz w:val="19"/>
        </w:rPr>
        <w:t>Tablo 9.1 — Adım 5 başlangıç kıstası</w:t>
      </w:r>
    </w:p>
    <w:tbl>
      <w:tblPr>
        <w:tblStyle w:val="TableGrid"/>
        <w:tblW w:type="auto" w:w="0"/>
        <w:jc w:val="center"/>
        <w:tblLayout w:type="fixed"/>
        <w:tblLook w:firstColumn="1" w:firstRow="1" w:lastColumn="0" w:lastRow="0" w:noHBand="0" w:noVBand="1" w:val="04A0"/>
      </w:tblPr>
      <w:tblGrid>
        <w:gridCol w:w="567"/>
        <w:gridCol w:w="2268"/>
        <w:gridCol w:w="2154"/>
        <w:gridCol w:w="1474"/>
        <w:gridCol w:w="2608"/>
      </w:tblGrid>
      <w:tr>
        <w:trPr>
          <w:tblHeader w:val="true"/>
        </w:trPr>
        <w:tc>
          <w:tcPr>
            <w:tcW w:type="dxa" w:w="567"/>
            <w:shd w:val="clear" w:color="auto" w:fill="D9E2F3"/>
          </w:tcPr>
          <w:p>
            <w:r/>
            <w:r>
              <w:rPr>
                <w:b/>
                <w:sz w:val="16"/>
              </w:rPr>
              <w:t>No</w:t>
            </w:r>
          </w:p>
        </w:tc>
        <w:tc>
          <w:tcPr>
            <w:tcW w:type="dxa" w:w="2268"/>
            <w:shd w:val="clear" w:color="auto" w:fill="D9E2F3"/>
          </w:tcPr>
          <w:p>
            <w:r/>
            <w:r>
              <w:rPr>
                <w:b/>
                <w:sz w:val="16"/>
              </w:rPr>
              <w:t>Kıstas</w:t>
            </w:r>
          </w:p>
        </w:tc>
        <w:tc>
          <w:tcPr>
            <w:tcW w:type="dxa" w:w="2154"/>
            <w:shd w:val="clear" w:color="auto" w:fill="D9E2F3"/>
          </w:tcPr>
          <w:p>
            <w:r/>
            <w:r>
              <w:rPr>
                <w:b/>
                <w:sz w:val="16"/>
              </w:rPr>
              <w:t>Nasıl doğrulanır</w:t>
            </w:r>
          </w:p>
        </w:tc>
        <w:tc>
          <w:tcPr>
            <w:tcW w:type="dxa" w:w="1474"/>
            <w:shd w:val="clear" w:color="auto" w:fill="D9E2F3"/>
          </w:tcPr>
          <w:p>
            <w:r/>
            <w:r>
              <w:rPr>
                <w:b/>
                <w:sz w:val="16"/>
              </w:rPr>
              <w:t>Bugünkü durum</w:t>
            </w:r>
          </w:p>
        </w:tc>
        <w:tc>
          <w:tcPr>
            <w:tcW w:type="dxa" w:w="2608"/>
            <w:shd w:val="clear" w:color="auto" w:fill="D9E2F3"/>
          </w:tcPr>
          <w:p>
            <w:r/>
            <w:r>
              <w:rPr>
                <w:b/>
                <w:sz w:val="16"/>
              </w:rPr>
              <w:t>Dayanak</w:t>
            </w:r>
          </w:p>
        </w:tc>
      </w:tr>
      <w:tr>
        <w:tc>
          <w:tcPr>
            <w:tcW w:type="dxa" w:w="567"/>
          </w:tcPr>
          <w:p>
            <w:pPr>
              <w:spacing w:after="20"/>
            </w:pPr>
            <w:r/>
            <w:r>
              <w:rPr>
                <w:sz w:val="16"/>
              </w:rPr>
              <w:t>5.a</w:t>
            </w:r>
          </w:p>
        </w:tc>
        <w:tc>
          <w:tcPr>
            <w:tcW w:type="dxa" w:w="2268"/>
          </w:tcPr>
          <w:p>
            <w:pPr>
              <w:spacing w:after="20"/>
            </w:pPr>
            <w:r/>
            <w:r>
              <w:rPr>
                <w:sz w:val="16"/>
              </w:rPr>
              <w:t>Toplam hane sayısı N doğrulanmış</w:t>
            </w:r>
          </w:p>
        </w:tc>
        <w:tc>
          <w:tcPr>
            <w:tcW w:type="dxa" w:w="2154"/>
          </w:tcPr>
          <w:p>
            <w:pPr>
              <w:spacing w:after="20"/>
            </w:pPr>
            <w:r/>
            <w:r>
              <w:rPr>
                <w:sz w:val="16"/>
              </w:rPr>
              <w:t>TÜİK ADNKS 2025</w:t>
            </w:r>
          </w:p>
        </w:tc>
        <w:tc>
          <w:tcPr>
            <w:tcW w:type="dxa" w:w="1474"/>
            <w:shd w:val="clear" w:color="auto" w:fill="E2EFDA"/>
          </w:tcPr>
          <w:p>
            <w:pPr>
              <w:spacing w:after="20"/>
            </w:pPr>
            <w:r/>
            <w:r>
              <w:rPr>
                <w:sz w:val="16"/>
              </w:rPr>
              <w:t>sağlanıyor</w:t>
            </w:r>
          </w:p>
        </w:tc>
        <w:tc>
          <w:tcPr>
            <w:tcW w:type="dxa" w:w="2608"/>
          </w:tcPr>
          <w:p>
            <w:pPr>
              <w:spacing w:after="20"/>
            </w:pPr>
            <w:r/>
            <w:r>
              <w:rPr>
                <w:sz w:val="16"/>
              </w:rPr>
              <w:t>N = 26.977.795 (YAPILABILIRLIK.md:13; commit edc4825). ADIM5_KIRA.md eski notu “doğrulanmadı” der</w:t>
            </w:r>
          </w:p>
        </w:tc>
      </w:tr>
      <w:tr>
        <w:tc>
          <w:tcPr>
            <w:tcW w:type="dxa" w:w="567"/>
          </w:tcPr>
          <w:p>
            <w:pPr>
              <w:spacing w:after="20"/>
            </w:pPr>
            <w:r/>
            <w:r>
              <w:rPr>
                <w:sz w:val="16"/>
              </w:rPr>
              <w:t>5.b</w:t>
            </w:r>
          </w:p>
        </w:tc>
        <w:tc>
          <w:tcPr>
            <w:tcW w:type="dxa" w:w="2268"/>
          </w:tcPr>
          <w:p>
            <w:pPr>
              <w:spacing w:after="20"/>
            </w:pPr>
            <w:r/>
            <w:r>
              <w:rPr>
                <w:sz w:val="16"/>
              </w:rPr>
              <w:t>Kiracı hane oranı hane bazında ölçülmüş</w:t>
            </w:r>
          </w:p>
        </w:tc>
        <w:tc>
          <w:tcPr>
            <w:tcW w:type="dxa" w:w="2154"/>
          </w:tcPr>
          <w:p>
            <w:pPr>
              <w:spacing w:after="20"/>
            </w:pPr>
            <w:r/>
            <w:r>
              <w:rPr>
                <w:sz w:val="16"/>
              </w:rPr>
              <w:t>TÜİK hane bazlı kiracılık</w:t>
            </w:r>
          </w:p>
        </w:tc>
        <w:tc>
          <w:tcPr>
            <w:tcW w:type="dxa" w:w="1474"/>
            <w:shd w:val="clear" w:color="auto" w:fill="FCE4D6"/>
          </w:tcPr>
          <w:p>
            <w:pPr>
              <w:spacing w:after="20"/>
            </w:pPr>
            <w:r/>
            <w:r>
              <w:rPr>
                <w:sz w:val="16"/>
              </w:rPr>
              <w:t>kısmen</w:t>
            </w:r>
          </w:p>
        </w:tc>
        <w:tc>
          <w:tcPr>
            <w:tcW w:type="dxa" w:w="2608"/>
          </w:tcPr>
          <w:p>
            <w:pPr>
              <w:spacing w:after="20"/>
            </w:pPr>
            <w:r/>
            <w:r>
              <w:rPr>
                <w:sz w:val="16"/>
              </w:rPr>
              <w:t>Fert bazlı %27 var, hane bazlı yok (YAPILABILIRLIK.md:13)</w:t>
            </w:r>
          </w:p>
        </w:tc>
      </w:tr>
      <w:tr>
        <w:tc>
          <w:tcPr>
            <w:tcW w:type="dxa" w:w="567"/>
          </w:tcPr>
          <w:p>
            <w:pPr>
              <w:spacing w:after="20"/>
            </w:pPr>
            <w:r/>
            <w:r>
              <w:rPr>
                <w:sz w:val="16"/>
              </w:rPr>
              <w:t>5.c</w:t>
            </w:r>
          </w:p>
        </w:tc>
        <w:tc>
          <w:tcPr>
            <w:tcW w:type="dxa" w:w="2268"/>
          </w:tcPr>
          <w:p>
            <w:pPr>
              <w:spacing w:after="20"/>
            </w:pPr>
            <w:r/>
            <w:r>
              <w:rPr>
                <w:sz w:val="16"/>
              </w:rPr>
              <w:t>Havuz kirası piyasa kirasının altında</w:t>
            </w:r>
          </w:p>
        </w:tc>
        <w:tc>
          <w:tcPr>
            <w:tcW w:type="dxa" w:w="2154"/>
          </w:tcPr>
          <w:p>
            <w:pPr>
              <w:spacing w:after="20"/>
            </w:pPr>
            <w:r/>
            <w:r>
              <w:rPr>
                <w:sz w:val="16"/>
              </w:rPr>
              <w:t>TP.BK.TR × m² ile 20.000 TL karşılaştırması</w:t>
            </w:r>
          </w:p>
        </w:tc>
        <w:tc>
          <w:tcPr>
            <w:tcW w:type="dxa" w:w="1474"/>
            <w:shd w:val="clear" w:color="auto" w:fill="E2EFDA"/>
          </w:tcPr>
          <w:p>
            <w:pPr>
              <w:spacing w:after="20"/>
            </w:pPr>
            <w:r/>
            <w:r>
              <w:rPr>
                <w:sz w:val="16"/>
              </w:rPr>
              <w:t>sağlanıyor (model)</w:t>
            </w:r>
          </w:p>
        </w:tc>
        <w:tc>
          <w:tcPr>
            <w:tcW w:type="dxa" w:w="2608"/>
          </w:tcPr>
          <w:p>
            <w:pPr>
              <w:spacing w:after="20"/>
            </w:pPr>
            <w:r/>
            <w:r>
              <w:rPr>
                <w:sz w:val="16"/>
              </w:rPr>
              <w:t>Piyasa 24.783–30.291 TL/ay &gt; 20.000 (ADIM5_KIRA.md)</w:t>
            </w:r>
          </w:p>
        </w:tc>
      </w:tr>
      <w:tr>
        <w:tc>
          <w:tcPr>
            <w:tcW w:type="dxa" w:w="567"/>
          </w:tcPr>
          <w:p>
            <w:pPr>
              <w:spacing w:after="20"/>
            </w:pPr>
            <w:r/>
            <w:r>
              <w:rPr>
                <w:sz w:val="16"/>
              </w:rPr>
              <w:t>5.d</w:t>
            </w:r>
          </w:p>
        </w:tc>
        <w:tc>
          <w:tcPr>
            <w:tcW w:type="dxa" w:w="2268"/>
          </w:tcPr>
          <w:p>
            <w:pPr>
              <w:spacing w:after="20"/>
            </w:pPr>
            <w:r/>
            <w:r>
              <w:rPr>
                <w:sz w:val="16"/>
              </w:rPr>
              <w:t>Konut stoku topluma açılmış (havuz kurulmuş)</w:t>
            </w:r>
          </w:p>
        </w:tc>
        <w:tc>
          <w:tcPr>
            <w:tcW w:type="dxa" w:w="2154"/>
          </w:tcPr>
          <w:p>
            <w:pPr>
              <w:spacing w:after="20"/>
            </w:pPr>
            <w:r/>
            <w:r>
              <w:rPr>
                <w:sz w:val="16"/>
              </w:rPr>
              <w:t>Kurumsal karar; HEKİS havuzu</w:t>
            </w:r>
          </w:p>
        </w:tc>
        <w:tc>
          <w:tcPr>
            <w:tcW w:type="dxa" w:w="1474"/>
            <w:shd w:val="clear" w:color="auto" w:fill="F8CBAD"/>
          </w:tcPr>
          <w:p>
            <w:pPr>
              <w:spacing w:after="20"/>
            </w:pPr>
            <w:r/>
            <w:r>
              <w:rPr>
                <w:sz w:val="16"/>
              </w:rPr>
              <w:t>sağlanmıyor</w:t>
            </w:r>
          </w:p>
        </w:tc>
        <w:tc>
          <w:tcPr>
            <w:tcW w:type="dxa" w:w="2608"/>
          </w:tcPr>
          <w:p>
            <w:pPr>
              <w:spacing w:after="20"/>
            </w:pPr>
            <w:r/>
            <w:r>
              <w:rPr>
                <w:sz w:val="16"/>
              </w:rPr>
              <w:t>Kol ölçülmedi (RAPOR.md:25; adim5.csv)</w:t>
            </w:r>
          </w:p>
        </w:tc>
      </w:tr>
      <w:tr>
        <w:tc>
          <w:tcPr>
            <w:tcW w:type="dxa" w:w="567"/>
          </w:tcPr>
          <w:p>
            <w:pPr>
              <w:spacing w:after="20"/>
            </w:pPr>
            <w:r/>
            <w:r>
              <w:rPr>
                <w:sz w:val="16"/>
              </w:rPr>
              <w:t>5.e</w:t>
            </w:r>
          </w:p>
        </w:tc>
        <w:tc>
          <w:tcPr>
            <w:tcW w:type="dxa" w:w="2268"/>
          </w:tcPr>
          <w:p>
            <w:pPr>
              <w:spacing w:after="20"/>
            </w:pPr>
            <w:r/>
            <w:r>
              <w:rPr>
                <w:sz w:val="16"/>
              </w:rPr>
              <w:t>Ev sahibi davranış tepkisi bilinir</w:t>
            </w:r>
          </w:p>
        </w:tc>
        <w:tc>
          <w:tcPr>
            <w:tcW w:type="dxa" w:w="2154"/>
          </w:tcPr>
          <w:p>
            <w:pPr>
              <w:spacing w:after="20"/>
            </w:pPr>
            <w:r/>
            <w:r>
              <w:rPr>
                <w:sz w:val="16"/>
              </w:rPr>
              <w:t>Arz esnekliği ölçümü</w:t>
            </w:r>
          </w:p>
        </w:tc>
        <w:tc>
          <w:tcPr>
            <w:tcW w:type="dxa" w:w="1474"/>
            <w:shd w:val="clear" w:color="auto" w:fill="FFF2CC"/>
          </w:tcPr>
          <w:p>
            <w:pPr>
              <w:spacing w:after="20"/>
            </w:pPr>
            <w:r/>
            <w:r>
              <w:rPr>
                <w:sz w:val="16"/>
              </w:rPr>
              <w:t>ölçülemedi</w:t>
            </w:r>
          </w:p>
        </w:tc>
        <w:tc>
          <w:tcPr>
            <w:tcW w:type="dxa" w:w="2608"/>
          </w:tcPr>
          <w:p>
            <w:pPr>
              <w:spacing w:after="20"/>
            </w:pPr>
            <w:r/>
            <w:r>
              <w:rPr>
                <w:sz w:val="16"/>
              </w:rPr>
              <w:t>CIMER_METNI.md §9 (“modelim bu tepkileri içermiyor”)</w:t>
            </w:r>
          </w:p>
        </w:tc>
      </w:tr>
    </w:tbl>
    <w:p>
      <w:pPr>
        <w:spacing w:after="40"/>
      </w:pPr>
    </w:p>
    <w:p>
      <w:pPr>
        <w:jc w:val="both"/>
      </w:pPr>
      <w:r>
        <w:rPr>
          <w:b/>
        </w:rPr>
        <w:t xml:space="preserve">(77) </w:t>
      </w:r>
      <w:r>
        <w:rPr>
          <w:b/>
        </w:rPr>
        <w:t>Kıstas hükmü:</w:t>
      </w:r>
      <w:r>
        <w:t xml:space="preserve"> Kıstas </w:t>
      </w:r>
      <w:r>
        <w:rPr>
          <w:b/>
        </w:rPr>
        <w:t>kısmen</w:t>
      </w:r>
      <w:r>
        <w:t xml:space="preserve"> sağlanmaktadır. Hesap girdileri büyük ölçüde mevcuttur; kurumsal ön şart (5.d) ve davranış tepkisi (5.e) karşılanmamıştır.</w:t>
      </w:r>
    </w:p>
    <w:p>
      <w:pPr>
        <w:pStyle w:val="Heading2"/>
      </w:pPr>
      <w:r>
        <w:t>9.2 Gerekçe</w:t>
      </w:r>
    </w:p>
    <w:p>
      <w:pPr>
        <w:jc w:val="both"/>
      </w:pPr>
      <w:r>
        <w:rPr>
          <w:b/>
        </w:rPr>
        <w:t xml:space="preserve">(78) </w:t>
      </w:r>
      <w:r>
        <w:t xml:space="preserve">Konut grubunun enflasyonu (Aralık enflasyonu %30,9 iken konut %49,5; RAPOR.md:39) </w:t>
      </w:r>
      <w:r>
        <w:rPr>
          <w:b/>
          <w:color w:val="0B6123"/>
          <w:sz w:val="18"/>
        </w:rPr>
        <w:t>[kanıt, metin]</w:t>
      </w:r>
      <w:r>
        <w:t xml:space="preserve"> ve kira yükünün hane bütçesindeki ağırlığı, borç akışının hane tarafındaki ikinci koludur.</w:t>
      </w:r>
    </w:p>
    <w:p>
      <w:pPr>
        <w:pStyle w:val="Heading2"/>
      </w:pPr>
      <w:r>
        <w:t>9.3 Mekanizma</w:t>
      </w:r>
    </w:p>
    <w:p>
      <w:pPr>
        <w:jc w:val="both"/>
      </w:pPr>
      <w:r>
        <w:rPr>
          <w:b/>
        </w:rPr>
        <w:t xml:space="preserve">(79) </w:t>
      </w:r>
      <w:r>
        <w:t xml:space="preserve">Yol A: b × m² × N × κ × 12. Birim kira TP.BK.TR 2026-Q3 275,37 TL/m²/ay (ölçüm; yıllık %32,0); konut alanı 90–110 m², kiracı oranı %25–30 (varsayım). Transfer = (piyasa kirası − havuz kirası) × kiracı hane × kapsama payı × 12 (ADIM5_KIRA.md) </w:t>
      </w:r>
      <w:r>
        <w:rPr>
          <w:b/>
          <w:color w:val="0B6123"/>
          <w:sz w:val="18"/>
        </w:rPr>
        <w:t>[kanıt b; diğerleri aday]</w:t>
      </w:r>
      <w:r>
        <w:t>.</w:t>
      </w:r>
    </w:p>
    <w:p>
      <w:pPr>
        <w:pStyle w:val="Heading2"/>
      </w:pPr>
      <w:r>
        <w:t>9.4 Doğurduğu sonuç</w:t>
      </w:r>
    </w:p>
    <w:p>
      <w:pPr>
        <w:keepNext/>
        <w:spacing w:after="40"/>
        <w:jc w:val="left"/>
      </w:pPr>
      <w:r>
        <w:rPr>
          <w:b/>
          <w:sz w:val="19"/>
        </w:rPr>
        <w:t>Tablo 9.2 — Kira kolu bandı (ADIM5_KIRA.md; BES_ADIM_MALIYET.md)</w:t>
      </w:r>
    </w:p>
    <w:tbl>
      <w:tblPr>
        <w:tblStyle w:val="TableGrid"/>
        <w:tblW w:type="auto" w:w="0"/>
        <w:jc w:val="center"/>
        <w:tblLayout w:type="fixed"/>
        <w:tblLook w:firstColumn="1" w:firstRow="1" w:lastColumn="0" w:lastRow="0" w:noHBand="0" w:noVBand="1" w:val="04A0"/>
      </w:tblPr>
      <w:tblGrid>
        <w:gridCol w:w="3969"/>
        <w:gridCol w:w="1361"/>
        <w:gridCol w:w="1361"/>
        <w:gridCol w:w="2381"/>
      </w:tblGrid>
      <w:tr>
        <w:trPr>
          <w:tblHeader w:val="true"/>
        </w:trPr>
        <w:tc>
          <w:tcPr>
            <w:tcW w:type="dxa" w:w="3969"/>
            <w:shd w:val="clear" w:color="auto" w:fill="D9E2F3"/>
          </w:tcPr>
          <w:p>
            <w:r/>
            <w:r>
              <w:rPr>
                <w:b/>
                <w:sz w:val="18"/>
              </w:rPr>
              <w:t>Kalem</w:t>
            </w:r>
          </w:p>
        </w:tc>
        <w:tc>
          <w:tcPr>
            <w:tcW w:type="dxa" w:w="1361"/>
            <w:shd w:val="clear" w:color="auto" w:fill="D9E2F3"/>
          </w:tcPr>
          <w:p>
            <w:r/>
            <w:r>
              <w:rPr>
                <w:b/>
                <w:sz w:val="18"/>
              </w:rPr>
              <w:t>Alt</w:t>
            </w:r>
          </w:p>
        </w:tc>
        <w:tc>
          <w:tcPr>
            <w:tcW w:type="dxa" w:w="1361"/>
            <w:shd w:val="clear" w:color="auto" w:fill="D9E2F3"/>
          </w:tcPr>
          <w:p>
            <w:r/>
            <w:r>
              <w:rPr>
                <w:b/>
                <w:sz w:val="18"/>
              </w:rPr>
              <w:t>Üst</w:t>
            </w:r>
          </w:p>
        </w:tc>
        <w:tc>
          <w:tcPr>
            <w:tcW w:type="dxa" w:w="2381"/>
            <w:shd w:val="clear" w:color="auto" w:fill="D9E2F3"/>
          </w:tcPr>
          <w:p>
            <w:r/>
            <w:r>
              <w:rPr>
                <w:b/>
                <w:sz w:val="18"/>
              </w:rPr>
              <w:t>Etiket</w:t>
            </w:r>
          </w:p>
        </w:tc>
      </w:tr>
      <w:tr>
        <w:tc>
          <w:tcPr>
            <w:tcW w:type="dxa" w:w="3969"/>
          </w:tcPr>
          <w:p>
            <w:pPr>
              <w:spacing w:after="20"/>
            </w:pPr>
            <w:r/>
            <w:r>
              <w:rPr>
                <w:sz w:val="18"/>
              </w:rPr>
              <w:t>Kira akışı, yol A (milyar TL/yıl)</w:t>
            </w:r>
          </w:p>
        </w:tc>
        <w:tc>
          <w:tcPr>
            <w:tcW w:type="dxa" w:w="1361"/>
          </w:tcPr>
          <w:p>
            <w:pPr>
              <w:spacing w:after="20"/>
            </w:pPr>
            <w:r/>
            <w:r>
              <w:rPr>
                <w:sz w:val="18"/>
              </w:rPr>
              <w:t>2.005,8</w:t>
            </w:r>
          </w:p>
        </w:tc>
        <w:tc>
          <w:tcPr>
            <w:tcW w:type="dxa" w:w="1361"/>
          </w:tcPr>
          <w:p>
            <w:pPr>
              <w:spacing w:after="20"/>
            </w:pPr>
            <w:r/>
            <w:r>
              <w:rPr>
                <w:sz w:val="18"/>
              </w:rPr>
              <w:t>2.941,8</w:t>
            </w:r>
          </w:p>
        </w:tc>
        <w:tc>
          <w:tcPr>
            <w:tcW w:type="dxa" w:w="2381"/>
          </w:tcPr>
          <w:p>
            <w:pPr>
              <w:spacing w:after="20"/>
            </w:pPr>
            <w:r/>
            <w:r>
              <w:rPr>
                <w:b/>
                <w:color w:val="A05200"/>
                <w:sz w:val="18"/>
              </w:rPr>
              <w:t>[aday, band]</w:t>
            </w:r>
          </w:p>
        </w:tc>
      </w:tr>
      <w:tr>
        <w:tc>
          <w:tcPr>
            <w:tcW w:type="dxa" w:w="3969"/>
          </w:tcPr>
          <w:p>
            <w:pPr>
              <w:spacing w:after="20"/>
            </w:pPr>
            <w:r/>
            <w:r>
              <w:rPr>
                <w:sz w:val="18"/>
              </w:rPr>
              <w:t>Kira akışı, yol B proxy (milyar TL/yıl)</w:t>
            </w:r>
          </w:p>
        </w:tc>
        <w:tc>
          <w:tcPr>
            <w:tcW w:type="dxa" w:w="1361"/>
          </w:tcPr>
          <w:p>
            <w:pPr>
              <w:spacing w:after="20"/>
            </w:pPr>
            <w:r/>
            <w:r>
              <w:rPr>
                <w:sz w:val="18"/>
              </w:rPr>
              <w:t>254,8</w:t>
            </w:r>
          </w:p>
        </w:tc>
        <w:tc>
          <w:tcPr>
            <w:tcW w:type="dxa" w:w="1361"/>
          </w:tcPr>
          <w:p>
            <w:pPr>
              <w:spacing w:after="20"/>
            </w:pPr>
            <w:r/>
            <w:r>
              <w:rPr>
                <w:sz w:val="18"/>
              </w:rPr>
              <w:t>254,8</w:t>
            </w:r>
          </w:p>
        </w:tc>
        <w:tc>
          <w:tcPr>
            <w:tcW w:type="dxa" w:w="2381"/>
          </w:tcPr>
          <w:p>
            <w:pPr>
              <w:spacing w:after="20"/>
            </w:pPr>
            <w:r/>
            <w:r>
              <w:rPr>
                <w:b/>
                <w:color w:val="A05200"/>
                <w:sz w:val="18"/>
              </w:rPr>
              <w:t>[aday, proxy; A ile toplanmaz]</w:t>
            </w:r>
          </w:p>
        </w:tc>
      </w:tr>
      <w:tr>
        <w:tc>
          <w:tcPr>
            <w:tcW w:type="dxa" w:w="3969"/>
          </w:tcPr>
          <w:p>
            <w:pPr>
              <w:spacing w:after="20"/>
            </w:pPr>
            <w:r/>
            <w:r>
              <w:rPr>
                <w:sz w:val="18"/>
              </w:rPr>
              <w:t>Kiracı başına aylık fark (TL)</w:t>
            </w:r>
          </w:p>
        </w:tc>
        <w:tc>
          <w:tcPr>
            <w:tcW w:type="dxa" w:w="1361"/>
          </w:tcPr>
          <w:p>
            <w:pPr>
              <w:spacing w:after="20"/>
            </w:pPr>
            <w:r/>
            <w:r>
              <w:rPr>
                <w:sz w:val="18"/>
              </w:rPr>
              <w:t>4.783</w:t>
            </w:r>
          </w:p>
        </w:tc>
        <w:tc>
          <w:tcPr>
            <w:tcW w:type="dxa" w:w="1361"/>
          </w:tcPr>
          <w:p>
            <w:pPr>
              <w:spacing w:after="20"/>
            </w:pPr>
            <w:r/>
            <w:r>
              <w:rPr>
                <w:sz w:val="18"/>
              </w:rPr>
              <w:t>10.291</w:t>
            </w:r>
          </w:p>
        </w:tc>
        <w:tc>
          <w:tcPr>
            <w:tcW w:type="dxa" w:w="2381"/>
          </w:tcPr>
          <w:p>
            <w:pPr>
              <w:spacing w:after="20"/>
            </w:pPr>
            <w:r/>
            <w:r>
              <w:rPr>
                <w:b/>
                <w:color w:val="A05200"/>
                <w:sz w:val="18"/>
              </w:rPr>
              <w:t>[aday]</w:t>
            </w:r>
          </w:p>
        </w:tc>
      </w:tr>
      <w:tr>
        <w:tc>
          <w:tcPr>
            <w:tcW w:type="dxa" w:w="3969"/>
          </w:tcPr>
          <w:p>
            <w:pPr>
              <w:spacing w:after="20"/>
            </w:pPr>
            <w:r/>
            <w:r>
              <w:rPr>
                <w:sz w:val="18"/>
              </w:rPr>
              <w:t>Ho→Ha transfer, kapsama %20 (milyar TL/yıl)</w:t>
            </w:r>
          </w:p>
        </w:tc>
        <w:tc>
          <w:tcPr>
            <w:tcW w:type="dxa" w:w="1361"/>
          </w:tcPr>
          <w:p>
            <w:pPr>
              <w:spacing w:after="20"/>
            </w:pPr>
            <w:r/>
            <w:r>
              <w:rPr>
                <w:sz w:val="18"/>
              </w:rPr>
              <w:t>77,4</w:t>
            </w:r>
          </w:p>
        </w:tc>
        <w:tc>
          <w:tcPr>
            <w:tcW w:type="dxa" w:w="1361"/>
          </w:tcPr>
          <w:p>
            <w:pPr>
              <w:spacing w:after="20"/>
            </w:pPr>
            <w:r/>
            <w:r>
              <w:rPr>
                <w:sz w:val="18"/>
              </w:rPr>
              <w:t>199,9</w:t>
            </w:r>
          </w:p>
        </w:tc>
        <w:tc>
          <w:tcPr>
            <w:tcW w:type="dxa" w:w="2381"/>
          </w:tcPr>
          <w:p>
            <w:pPr>
              <w:spacing w:after="20"/>
            </w:pPr>
            <w:r/>
            <w:r>
              <w:rPr>
                <w:b/>
                <w:color w:val="A05200"/>
                <w:sz w:val="18"/>
              </w:rPr>
              <w:t>[aday]</w:t>
            </w:r>
          </w:p>
        </w:tc>
      </w:tr>
      <w:tr>
        <w:tc>
          <w:tcPr>
            <w:tcW w:type="dxa" w:w="3969"/>
          </w:tcPr>
          <w:p>
            <w:pPr>
              <w:spacing w:after="20"/>
            </w:pPr>
            <w:r/>
            <w:r>
              <w:rPr>
                <w:sz w:val="18"/>
              </w:rPr>
              <w:t>Ho→Ha transfer, kapsama %50</w:t>
            </w:r>
          </w:p>
        </w:tc>
        <w:tc>
          <w:tcPr>
            <w:tcW w:type="dxa" w:w="1361"/>
          </w:tcPr>
          <w:p>
            <w:pPr>
              <w:spacing w:after="20"/>
            </w:pPr>
            <w:r/>
            <w:r>
              <w:rPr>
                <w:sz w:val="18"/>
              </w:rPr>
              <w:t>193,6</w:t>
            </w:r>
          </w:p>
        </w:tc>
        <w:tc>
          <w:tcPr>
            <w:tcW w:type="dxa" w:w="1361"/>
          </w:tcPr>
          <w:p>
            <w:pPr>
              <w:spacing w:after="20"/>
            </w:pPr>
            <w:r/>
            <w:r>
              <w:rPr>
                <w:sz w:val="18"/>
              </w:rPr>
              <w:t>499,7</w:t>
            </w:r>
          </w:p>
        </w:tc>
        <w:tc>
          <w:tcPr>
            <w:tcW w:type="dxa" w:w="2381"/>
          </w:tcPr>
          <w:p>
            <w:pPr>
              <w:spacing w:after="20"/>
            </w:pPr>
            <w:r/>
            <w:r>
              <w:rPr>
                <w:b/>
                <w:color w:val="A05200"/>
                <w:sz w:val="18"/>
              </w:rPr>
              <w:t>[aday]</w:t>
            </w:r>
          </w:p>
        </w:tc>
      </w:tr>
      <w:tr>
        <w:tc>
          <w:tcPr>
            <w:tcW w:type="dxa" w:w="3969"/>
          </w:tcPr>
          <w:p>
            <w:pPr>
              <w:spacing w:after="20"/>
            </w:pPr>
            <w:r/>
            <w:r>
              <w:rPr>
                <w:sz w:val="18"/>
              </w:rPr>
              <w:t>Ho→Ha transfer, kapsama %100</w:t>
            </w:r>
          </w:p>
        </w:tc>
        <w:tc>
          <w:tcPr>
            <w:tcW w:type="dxa" w:w="1361"/>
          </w:tcPr>
          <w:p>
            <w:pPr>
              <w:spacing w:after="20"/>
            </w:pPr>
            <w:r/>
            <w:r>
              <w:rPr>
                <w:sz w:val="18"/>
              </w:rPr>
              <w:t>387,1</w:t>
            </w:r>
          </w:p>
        </w:tc>
        <w:tc>
          <w:tcPr>
            <w:tcW w:type="dxa" w:w="1361"/>
          </w:tcPr>
          <w:p>
            <w:pPr>
              <w:spacing w:after="20"/>
            </w:pPr>
            <w:r/>
            <w:r>
              <w:rPr>
                <w:sz w:val="18"/>
              </w:rPr>
              <w:t>999,4</w:t>
            </w:r>
          </w:p>
        </w:tc>
        <w:tc>
          <w:tcPr>
            <w:tcW w:type="dxa" w:w="2381"/>
          </w:tcPr>
          <w:p>
            <w:pPr>
              <w:spacing w:after="20"/>
            </w:pPr>
            <w:r/>
            <w:r>
              <w:rPr>
                <w:b/>
                <w:color w:val="A05200"/>
                <w:sz w:val="18"/>
              </w:rPr>
              <w:t>[aday]</w:t>
            </w:r>
          </w:p>
        </w:tc>
      </w:tr>
    </w:tbl>
    <w:p>
      <w:pPr>
        <w:spacing w:after="40"/>
      </w:pPr>
    </w:p>
    <w:p>
      <w:pPr>
        <w:pStyle w:val="Heading2"/>
      </w:pPr>
      <w:r>
        <w:t>9.5 Maliyet</w:t>
      </w:r>
    </w:p>
    <w:p>
      <w:pPr>
        <w:jc w:val="both"/>
      </w:pPr>
      <w:r>
        <w:rPr>
          <w:b/>
        </w:rPr>
        <w:t xml:space="preserve">(80) </w:t>
      </w:r>
      <w:r>
        <w:t xml:space="preserve">Transfer hane içi bir aktarımdır; H toplam NL değişmez (ADIM5_KIRA.md “SFC”) </w:t>
      </w:r>
      <w:r>
        <w:rPr>
          <w:b/>
          <w:color w:val="0B6123"/>
          <w:sz w:val="18"/>
        </w:rPr>
        <w:t>[kanıt, kimlik]</w:t>
      </w:r>
      <w:r>
        <w:t xml:space="preserve">. Kamuya net maliyeti yoktur, ancak bir hane grubundan diğerine kaynak aktarır (CIMER_METNI.md §9) </w:t>
      </w:r>
      <w:r>
        <w:rPr>
          <w:b/>
          <w:color w:val="0B6123"/>
          <w:sz w:val="18"/>
        </w:rPr>
        <w:t>[kanıt, metin]</w:t>
      </w:r>
      <w:r>
        <w:t xml:space="preserve">. Yürütme maliyeti (kapsama %50): düşük/orta/yüksek 0,8 / 31,2 / 144,9 milyar TL/yıl = 2026 GSYH’sinin %0,001 / %0,037 / %0,172’si (GSYH_PAY.md) </w:t>
      </w:r>
      <w:r>
        <w:rPr>
          <w:b/>
          <w:color w:val="A05200"/>
          <w:sz w:val="18"/>
        </w:rPr>
        <w:t>[aday, ρ]</w:t>
      </w:r>
      <w:r>
        <w:t>.</w:t>
      </w:r>
    </w:p>
    <w:p>
      <w:pPr>
        <w:pStyle w:val="Heading2"/>
      </w:pPr>
      <w:r>
        <w:t>9.6 Fayda</w:t>
      </w:r>
    </w:p>
    <w:p>
      <w:pPr>
        <w:jc w:val="both"/>
      </w:pPr>
      <w:r>
        <w:rPr>
          <w:b/>
        </w:rPr>
        <w:t xml:space="preserve">(81) </w:t>
      </w:r>
      <w:r>
        <w:t xml:space="preserve">Kiracı hane başına aylık 4.783–10.291 TL yük azalması (HEKİS kirası piyasa altında kaldığı sürece) </w:t>
      </w:r>
      <w:r>
        <w:rPr>
          <w:b/>
          <w:color w:val="A05200"/>
          <w:sz w:val="18"/>
        </w:rPr>
        <w:t>[aday]</w:t>
      </w:r>
      <w:r>
        <w:t xml:space="preserve">. HEKİS en olası senaryosunda İstanbul’da 82 bin hane, Gini 0,4296 → 0,4285 (hekis_model/README.md) </w:t>
      </w:r>
      <w:r>
        <w:rPr>
          <w:b/>
          <w:color w:val="A05200"/>
          <w:sz w:val="18"/>
        </w:rPr>
        <w:t>[aday, ayrı model; beş adım kararına girmez]</w:t>
      </w:r>
      <w:r>
        <w:t>.</w:t>
      </w:r>
    </w:p>
    <w:p>
      <w:pPr>
        <w:pStyle w:val="Heading2"/>
      </w:pPr>
      <w:r>
        <w:t>9.7 Amaç</w:t>
      </w:r>
    </w:p>
    <w:p>
      <w:pPr>
        <w:jc w:val="both"/>
      </w:pPr>
      <w:r>
        <w:rPr>
          <w:b/>
        </w:rPr>
        <w:t xml:space="preserve">(82) </w:t>
      </w:r>
      <w:r>
        <w:t>Konut stokunu borç akışının ikinci kolu olarak kullanmak; kiracı hanenin konut yükünü azaltarak borç taksitinin amortismanına alan açmak.</w:t>
      </w:r>
    </w:p>
    <w:tbl>
      <w:tblPr>
        <w:tblStyle w:val="TableGrid"/>
        <w:tblW w:type="auto" w:w="0"/>
        <w:tblLook w:firstColumn="1" w:firstRow="1" w:lastColumn="0" w:lastRow="0" w:noHBand="0" w:noVBand="1" w:val="04A0"/>
      </w:tblPr>
      <w:tblGrid>
        <w:gridCol w:w="9242"/>
      </w:tblGrid>
      <w:tr>
        <w:tc>
          <w:tcPr>
            <w:tcW w:type="dxa" w:w="9241"/>
            <w:shd w:val="clear" w:color="auto" w:fill="E2EFDA"/>
          </w:tcPr>
          <w:p>
            <w:r/>
            <w:r>
              <w:rPr>
                <w:b/>
                <w:sz w:val="20"/>
              </w:rPr>
              <w:t>Adım 5 bulgu hükmü</w:t>
            </w:r>
          </w:p>
          <w:p>
            <w:pPr>
              <w:spacing w:after="40"/>
              <w:jc w:val="both"/>
            </w:pPr>
            <w:r>
              <w:rPr>
                <w:b/>
                <w:sz w:val="19"/>
              </w:rPr>
              <w:t>Yapılabilir (hane içi transfer; tutar bandı geniş).</w:t>
            </w:r>
            <w:r>
              <w:rPr>
                <w:sz w:val="19"/>
              </w:rPr>
              <w:t xml:space="preserve"> Borç kilidinden ve Adım 1–4’ten bağımsızdır; Adım 5’in kendi penceresi yoktur (ADIM45_BIRIM.md). Şok testlerinde kanalı bulunmadığından (YAPILABILIRLIK.md:61) kur ve faiz şoklarına karşı hükmü değişmemektedir. “Aynı akışın ikinci kolu” iddiası ise ölçülmemiştir; kol bugün yalnız dağılım aracı olarak savunulabilir.</w:t>
            </w:r>
          </w:p>
        </w:tc>
      </w:tr>
    </w:tbl>
    <w:p>
      <w:pPr>
        <w:spacing w:after="40"/>
      </w:pPr>
    </w:p>
    <w:p>
      <w:r>
        <w:br w:type="page"/>
      </w:r>
    </w:p>
    <w:p>
      <w:pPr>
        <w:pStyle w:val="Heading1"/>
      </w:pPr>
      <w:r>
        <w:t>10. Adımlar Arası Etkileşim ve Bağımsızlık</w:t>
      </w:r>
    </w:p>
    <w:p>
      <w:pPr>
        <w:jc w:val="both"/>
      </w:pPr>
      <w:r>
        <w:rPr>
          <w:b/>
        </w:rPr>
        <w:t xml:space="preserve">(83) </w:t>
      </w:r>
      <w:r>
        <w:t xml:space="preserve">BES_ADIM.md, her adımın kendi dosyasını yazdığını, sonrakinin öncekinin etiketini okuduğunu ve önceki katman sayılarının taşınmadığını kaydeder; TEK_SISTEM.md ve TEK_SISTEM_KADEME.md de “katman sonuçları birbirine taşınmaz” kuralını koyar </w:t>
      </w:r>
      <w:r>
        <w:rPr>
          <w:b/>
          <w:color w:val="0B6123"/>
          <w:sz w:val="18"/>
        </w:rPr>
        <w:t>[kanıt, kural]</w:t>
      </w:r>
      <w:r>
        <w:t>. Bu kural, adımların bir paket olarak toplanamayacağının biçimsel karşılığıdır. Aşağıdaki matris, her adımın hangi adıma bağımlı olduğunu ve tek başına uygulanıp uygulanamayacağını göstermektedir.</w:t>
      </w:r>
    </w:p>
    <w:p>
      <w:pPr>
        <w:keepNext/>
        <w:spacing w:after="40"/>
        <w:jc w:val="left"/>
      </w:pPr>
      <w:r>
        <w:rPr>
          <w:b/>
          <w:sz w:val="19"/>
        </w:rPr>
        <w:t>Tablo 10.1 — Bağımlılık matrisi</w:t>
      </w:r>
    </w:p>
    <w:tbl>
      <w:tblPr>
        <w:tblStyle w:val="TableGrid"/>
        <w:tblW w:type="auto" w:w="0"/>
        <w:jc w:val="center"/>
        <w:tblLayout w:type="fixed"/>
        <w:tblLook w:firstColumn="1" w:firstRow="1" w:lastColumn="0" w:lastRow="0" w:noHBand="0" w:noVBand="1" w:val="04A0"/>
      </w:tblPr>
      <w:tblGrid>
        <w:gridCol w:w="1361"/>
        <w:gridCol w:w="2608"/>
        <w:gridCol w:w="1928"/>
        <w:gridCol w:w="3175"/>
      </w:tblGrid>
      <w:tr>
        <w:trPr>
          <w:tblHeader w:val="true"/>
        </w:trPr>
        <w:tc>
          <w:tcPr>
            <w:tcW w:type="dxa" w:w="1361"/>
            <w:shd w:val="clear" w:color="auto" w:fill="D9E2F3"/>
          </w:tcPr>
          <w:p>
            <w:r/>
            <w:r>
              <w:rPr>
                <w:b/>
                <w:sz w:val="17"/>
              </w:rPr>
              <w:t>Adım</w:t>
            </w:r>
          </w:p>
        </w:tc>
        <w:tc>
          <w:tcPr>
            <w:tcW w:type="dxa" w:w="2608"/>
            <w:shd w:val="clear" w:color="auto" w:fill="D9E2F3"/>
          </w:tcPr>
          <w:p>
            <w:r/>
            <w:r>
              <w:rPr>
                <w:b/>
                <w:sz w:val="17"/>
              </w:rPr>
              <w:t>Bağımlı olduğu adım / koşul</w:t>
            </w:r>
          </w:p>
        </w:tc>
        <w:tc>
          <w:tcPr>
            <w:tcW w:type="dxa" w:w="1928"/>
            <w:shd w:val="clear" w:color="auto" w:fill="D9E2F3"/>
          </w:tcPr>
          <w:p>
            <w:r/>
            <w:r>
              <w:rPr>
                <w:b/>
                <w:sz w:val="17"/>
              </w:rPr>
              <w:t>Tek başına uygulanabilir mi</w:t>
            </w:r>
          </w:p>
        </w:tc>
        <w:tc>
          <w:tcPr>
            <w:tcW w:type="dxa" w:w="3175"/>
            <w:shd w:val="clear" w:color="auto" w:fill="D9E2F3"/>
          </w:tcPr>
          <w:p>
            <w:r/>
            <w:r>
              <w:rPr>
                <w:b/>
                <w:sz w:val="17"/>
              </w:rPr>
              <w:t>Diğer adımlara etkisi</w:t>
            </w:r>
          </w:p>
        </w:tc>
      </w:tr>
      <w:tr>
        <w:tc>
          <w:tcPr>
            <w:tcW w:type="dxa" w:w="1361"/>
          </w:tcPr>
          <w:p>
            <w:pPr>
              <w:spacing w:after="20"/>
            </w:pPr>
            <w:r/>
            <w:r>
              <w:rPr>
                <w:sz w:val="17"/>
              </w:rPr>
              <w:t>1 Mahsup</w:t>
            </w:r>
          </w:p>
        </w:tc>
        <w:tc>
          <w:tcPr>
            <w:tcW w:type="dxa" w:w="2608"/>
          </w:tcPr>
          <w:p>
            <w:pPr>
              <w:spacing w:after="20"/>
            </w:pPr>
            <w:r/>
            <w:r>
              <w:rPr>
                <w:sz w:val="17"/>
              </w:rPr>
              <w:t>Yok (yalnız kendi kıstası)</w:t>
            </w:r>
          </w:p>
        </w:tc>
        <w:tc>
          <w:tcPr>
            <w:tcW w:type="dxa" w:w="1928"/>
          </w:tcPr>
          <w:p>
            <w:pPr>
              <w:spacing w:after="20"/>
            </w:pPr>
            <w:r/>
            <w:r>
              <w:rPr>
                <w:sz w:val="17"/>
              </w:rPr>
              <w:t>Evet, kıstası sağlanırsa</w:t>
            </w:r>
          </w:p>
        </w:tc>
        <w:tc>
          <w:tcPr>
            <w:tcW w:type="dxa" w:w="3175"/>
          </w:tcPr>
          <w:p>
            <w:pPr>
              <w:spacing w:after="20"/>
            </w:pPr>
            <w:r/>
            <w:r>
              <w:rPr>
                <w:sz w:val="17"/>
              </w:rPr>
              <w:t>Adım 2’nin köprüsünü 8.956,38 → 46,77’ye indirir; Adım 3’ün “krediyle çevrilmez” bileşenini mümkün kılar; Adım 4’ün açılacak parasını doğurur</w:t>
            </w:r>
          </w:p>
        </w:tc>
      </w:tr>
      <w:tr>
        <w:tc>
          <w:tcPr>
            <w:tcW w:type="dxa" w:w="1361"/>
          </w:tcPr>
          <w:p>
            <w:pPr>
              <w:spacing w:after="20"/>
            </w:pPr>
            <w:r/>
            <w:r>
              <w:rPr>
                <w:sz w:val="17"/>
              </w:rPr>
              <w:t>2 Akışla ödeme</w:t>
            </w:r>
          </w:p>
        </w:tc>
        <w:tc>
          <w:tcPr>
            <w:tcW w:type="dxa" w:w="2608"/>
          </w:tcPr>
          <w:p>
            <w:pPr>
              <w:spacing w:after="20"/>
            </w:pPr>
            <w:r/>
            <w:r>
              <w:rPr>
                <w:sz w:val="17"/>
              </w:rPr>
              <w:t>Adım 1 (mahsup) + döviz koşulu + köprü</w:t>
            </w:r>
          </w:p>
        </w:tc>
        <w:tc>
          <w:tcPr>
            <w:tcW w:type="dxa" w:w="1928"/>
          </w:tcPr>
          <w:p>
            <w:pPr>
              <w:spacing w:after="20"/>
            </w:pPr>
            <w:r/>
            <w:r>
              <w:rPr>
                <w:sz w:val="17"/>
              </w:rPr>
              <w:t>Hayır</w:t>
            </w:r>
          </w:p>
        </w:tc>
        <w:tc>
          <w:tcPr>
            <w:tcW w:type="dxa" w:w="3175"/>
          </w:tcPr>
          <w:p>
            <w:pPr>
              <w:spacing w:after="20"/>
            </w:pPr>
            <w:r/>
            <w:r>
              <w:rPr>
                <w:sz w:val="17"/>
              </w:rPr>
              <w:t>Adım 3’ün ödeme akışını taşır</w:t>
            </w:r>
          </w:p>
        </w:tc>
      </w:tr>
      <w:tr>
        <w:tc>
          <w:tcPr>
            <w:tcW w:type="dxa" w:w="1361"/>
          </w:tcPr>
          <w:p>
            <w:pPr>
              <w:spacing w:after="20"/>
            </w:pPr>
            <w:r/>
            <w:r>
              <w:rPr>
                <w:sz w:val="17"/>
              </w:rPr>
              <w:t>3 Faizin durması</w:t>
            </w:r>
          </w:p>
        </w:tc>
        <w:tc>
          <w:tcPr>
            <w:tcW w:type="dxa" w:w="2608"/>
          </w:tcPr>
          <w:p>
            <w:pPr>
              <w:spacing w:after="20"/>
            </w:pPr>
            <w:r/>
            <w:r>
              <w:rPr>
                <w:sz w:val="17"/>
              </w:rPr>
              <w:t>“Krediyle çevrilmez” bileşeni Adım 1–2’ye; “faiz durur” bileşeni yalnız ödeyen hazne seçimine</w:t>
            </w:r>
          </w:p>
        </w:tc>
        <w:tc>
          <w:tcPr>
            <w:tcW w:type="dxa" w:w="1928"/>
          </w:tcPr>
          <w:p>
            <w:pPr>
              <w:spacing w:after="20"/>
            </w:pPr>
            <w:r/>
            <w:r>
              <w:rPr>
                <w:sz w:val="17"/>
              </w:rPr>
              <w:t>Kısmen (faiz durma kuralı tek başına transfer olarak)</w:t>
            </w:r>
          </w:p>
        </w:tc>
        <w:tc>
          <w:tcPr>
            <w:tcW w:type="dxa" w:w="3175"/>
          </w:tcPr>
          <w:p>
            <w:pPr>
              <w:spacing w:after="20"/>
            </w:pPr>
            <w:r/>
            <w:r>
              <w:rPr>
                <w:sz w:val="17"/>
              </w:rPr>
              <w:t>ΣNL = 0; B′ veya K′ sütununu değiştirir</w:t>
            </w:r>
          </w:p>
        </w:tc>
      </w:tr>
      <w:tr>
        <w:tc>
          <w:tcPr>
            <w:tcW w:type="dxa" w:w="1361"/>
          </w:tcPr>
          <w:p>
            <w:pPr>
              <w:spacing w:after="20"/>
            </w:pPr>
            <w:r/>
            <w:r>
              <w:rPr>
                <w:sz w:val="17"/>
              </w:rPr>
              <w:t>4 Adres / senet</w:t>
            </w:r>
          </w:p>
        </w:tc>
        <w:tc>
          <w:tcPr>
            <w:tcW w:type="dxa" w:w="2608"/>
          </w:tcPr>
          <w:p>
            <w:pPr>
              <w:spacing w:after="20"/>
            </w:pPr>
            <w:r/>
            <w:r>
              <w:rPr>
                <w:sz w:val="17"/>
              </w:rPr>
              <w:t>Adım 1 (açılan para); R ölçümü; rant kapıları</w:t>
            </w:r>
          </w:p>
        </w:tc>
        <w:tc>
          <w:tcPr>
            <w:tcW w:type="dxa" w:w="1928"/>
          </w:tcPr>
          <w:p>
            <w:pPr>
              <w:spacing w:after="20"/>
            </w:pPr>
            <w:r/>
            <w:r>
              <w:rPr>
                <w:sz w:val="17"/>
              </w:rPr>
              <w:t>Hayır (karar verilemez)</w:t>
            </w:r>
          </w:p>
        </w:tc>
        <w:tc>
          <w:tcPr>
            <w:tcW w:type="dxa" w:w="3175"/>
          </w:tcPr>
          <w:p>
            <w:pPr>
              <w:spacing w:after="20"/>
            </w:pPr>
            <w:r/>
            <w:r>
              <w:rPr>
                <w:sz w:val="17"/>
              </w:rPr>
              <w:t>θ’nın kilide kanalı yok; Adım 2 köprüsünü değiştirmez; kredi daralması B′’ye yük</w:t>
            </w:r>
          </w:p>
        </w:tc>
      </w:tr>
      <w:tr>
        <w:tc>
          <w:tcPr>
            <w:tcW w:type="dxa" w:w="1361"/>
          </w:tcPr>
          <w:p>
            <w:pPr>
              <w:spacing w:after="20"/>
            </w:pPr>
            <w:r/>
            <w:r>
              <w:rPr>
                <w:sz w:val="17"/>
              </w:rPr>
              <w:t>4.5 Yeni fiat TL</w:t>
            </w:r>
          </w:p>
        </w:tc>
        <w:tc>
          <w:tcPr>
            <w:tcW w:type="dxa" w:w="2608"/>
          </w:tcPr>
          <w:p>
            <w:pPr>
              <w:spacing w:after="20"/>
            </w:pPr>
            <w:r/>
            <w:r>
              <w:rPr>
                <w:sz w:val="17"/>
              </w:rPr>
              <w:t>Yok</w:t>
            </w:r>
          </w:p>
        </w:tc>
        <w:tc>
          <w:tcPr>
            <w:tcW w:type="dxa" w:w="1928"/>
          </w:tcPr>
          <w:p>
            <w:pPr>
              <w:spacing w:after="20"/>
            </w:pPr>
            <w:r/>
            <w:r>
              <w:rPr>
                <w:sz w:val="17"/>
              </w:rPr>
              <w:t>Evet (etkisiz)</w:t>
            </w:r>
          </w:p>
        </w:tc>
        <w:tc>
          <w:tcPr>
            <w:tcW w:type="dxa" w:w="3175"/>
          </w:tcPr>
          <w:p>
            <w:pPr>
              <w:spacing w:after="20"/>
            </w:pPr>
            <w:r/>
            <w:r>
              <w:rPr>
                <w:sz w:val="17"/>
              </w:rPr>
              <w:t>Hiçbir adımın koşulunu gevşetmez (YAPILABILIRLIK.md:25)</w:t>
            </w:r>
          </w:p>
        </w:tc>
      </w:tr>
      <w:tr>
        <w:tc>
          <w:tcPr>
            <w:tcW w:type="dxa" w:w="1361"/>
          </w:tcPr>
          <w:p>
            <w:pPr>
              <w:spacing w:after="20"/>
            </w:pPr>
            <w:r/>
            <w:r>
              <w:rPr>
                <w:sz w:val="17"/>
              </w:rPr>
              <w:t>5 Kira kolu</w:t>
            </w:r>
          </w:p>
        </w:tc>
        <w:tc>
          <w:tcPr>
            <w:tcW w:type="dxa" w:w="2608"/>
          </w:tcPr>
          <w:p>
            <w:pPr>
              <w:spacing w:after="20"/>
            </w:pPr>
            <w:r/>
            <w:r>
              <w:rPr>
                <w:sz w:val="17"/>
              </w:rPr>
              <w:t>Konut havuzunun kurulması</w:t>
            </w:r>
          </w:p>
        </w:tc>
        <w:tc>
          <w:tcPr>
            <w:tcW w:type="dxa" w:w="1928"/>
          </w:tcPr>
          <w:p>
            <w:pPr>
              <w:spacing w:after="20"/>
            </w:pPr>
            <w:r/>
            <w:r>
              <w:rPr>
                <w:sz w:val="17"/>
              </w:rPr>
              <w:t>Evet (hane içi transfer)</w:t>
            </w:r>
          </w:p>
        </w:tc>
        <w:tc>
          <w:tcPr>
            <w:tcW w:type="dxa" w:w="3175"/>
          </w:tcPr>
          <w:p>
            <w:pPr>
              <w:spacing w:after="20"/>
            </w:pPr>
            <w:r/>
            <w:r>
              <w:rPr>
                <w:sz w:val="17"/>
              </w:rPr>
              <w:t>Kira akışının borç taksitine bağlanması ölçülmedi</w:t>
            </w:r>
          </w:p>
        </w:tc>
      </w:tr>
    </w:tbl>
    <w:p>
      <w:pPr>
        <w:spacing w:after="40"/>
      </w:pPr>
    </w:p>
    <w:p>
      <w:pPr>
        <w:jc w:val="both"/>
      </w:pPr>
      <w:r>
        <w:rPr>
          <w:b/>
        </w:rPr>
        <w:t xml:space="preserve">(84) </w:t>
      </w:r>
      <w:r>
        <w:rPr>
          <w:b/>
        </w:rPr>
        <w:t>Zincir hükmü ile adım hükmü arasındaki ilişki.</w:t>
      </w:r>
      <w:r>
        <w:t xml:space="preserve"> YAPILABILIRLIK.md:19, zincirin adımların en sıkı koşuluna bağlı olduğunu ve Adım 2 kırılgan olduğu için zincirin “kırılgan / koşullu yapılabilir” sayıldığını yazar </w:t>
      </w:r>
      <w:r>
        <w:rPr>
          <w:b/>
          <w:color w:val="0B6123"/>
          <w:sz w:val="18"/>
        </w:rPr>
        <w:t>[kanıt]</w:t>
      </w:r>
      <w:r>
        <w:t>. Bu belge zincir hükmünü değiştirmemektedir; ancak tedavi bulgusu olarak zincirin bir paket hâlinde uygulanmasını değil, adımların kendi kıstaslarına göre ayrı ayrı değerlendirilmesini esas almaktadır. Zincir hükmü, “hepsi birlikte” okumada geçerli olan alt sınırdır; adım hükmü ise her parçanın kendi başına ne kadar savunulabildiğini gösterir.</w:t>
      </w:r>
    </w:p>
    <w:p>
      <w:pPr>
        <w:jc w:val="both"/>
      </w:pPr>
      <w:r>
        <w:rPr>
          <w:b/>
        </w:rPr>
        <w:t xml:space="preserve">(85) </w:t>
      </w:r>
      <w:r>
        <w:rPr>
          <w:b/>
        </w:rPr>
        <w:t>RAPOR.md ile gerilim.</w:t>
      </w:r>
      <w:r>
        <w:t xml:space="preserve"> RAPOR.md:51, sistemin “ikisi birlikte kurulursa” savunulacağını söyler. Bu belge bu cümleyi reddetmemekte, ancak teşhis bakımından şu ayrımı kaydetmektedir: kilidi açan Adım 1’dir ve bu adım tek başına savunulabilir; Adım 4 Adım 1 olmadan anlamsızdır, fakat Adım 1 Adım 4 olmadan anlamlıdır. Bağımlılık tek yönlüdür </w:t>
      </w:r>
      <w:r>
        <w:rPr>
          <w:b/>
          <w:color w:val="1F3A8F"/>
          <w:sz w:val="18"/>
        </w:rPr>
        <w:t>[türetilmiş, mantıksal çıkarım]</w:t>
      </w:r>
      <w:r>
        <w:t>.</w:t>
      </w:r>
    </w:p>
    <w:p>
      <w:pPr>
        <w:jc w:val="both"/>
      </w:pPr>
      <w:r>
        <w:rPr>
          <w:b/>
        </w:rPr>
        <w:t xml:space="preserve">(86) </w:t>
      </w:r>
      <w:r>
        <w:rPr>
          <w:b/>
        </w:rPr>
        <w:t>Lider ve üst %10.</w:t>
      </w:r>
      <w:r>
        <w:t xml:space="preserve"> Ödeme zinciri modelinde lider, en yüksek mevduatlı sentetik düğümdür; LIDER_MEVDUAT.md’deki yürütme kasası bu düğüm değildir (SENET_ANALIZ.md “Lider ve üst %10”) </w:t>
      </w:r>
      <w:r>
        <w:rPr>
          <w:b/>
          <w:color w:val="0B6123"/>
          <w:sz w:val="18"/>
        </w:rPr>
        <w:t>[kanıt]</w:t>
      </w:r>
      <w:r>
        <w:t xml:space="preserve">. Mevduat dağıtımı mahsup blokesini kapatmaz; “üst %10’un tamamı gerekir” iddiası elenmemiştir (ODEME_ZINCIRI.md tur 11) </w:t>
      </w:r>
      <w:r>
        <w:rPr>
          <w:b/>
          <w:color w:val="0B6123"/>
          <w:sz w:val="18"/>
        </w:rPr>
        <w:t>[kanıt, sentetik]</w:t>
      </w:r>
      <w:r>
        <w:t>. Dolayısıyla belirli bir firma grubunun veya yürütme kasasının kilidin anahtarı olduğu sonucuna varılmamıştır.</w:t>
      </w:r>
    </w:p>
    <w:p>
      <w:r>
        <w:br w:type="page"/>
      </w:r>
    </w:p>
    <w:p>
      <w:pPr>
        <w:pStyle w:val="Heading1"/>
      </w:pPr>
      <w:r>
        <w:t>11. Şok Testleri</w:t>
      </w:r>
    </w:p>
    <w:p>
      <w:pPr>
        <w:jc w:val="both"/>
      </w:pPr>
      <w:r>
        <w:rPr>
          <w:b/>
        </w:rPr>
        <w:t xml:space="preserve">(87) </w:t>
      </w:r>
      <w:r>
        <w:t xml:space="preserve">Şok modülü </w:t>
      </w:r>
      <w:r>
        <w:rPr>
          <w:rFonts w:ascii="Consolas" w:hAnsi="Consolas"/>
          <w:sz w:val="19"/>
        </w:rPr>
        <w:t>rev_sok</w:t>
      </w:r>
      <w:r>
        <w:t xml:space="preserve"> Adım 2 kararının girdisidir; eşikler kanıt, kur ızgarası (0/10/20/30/50), vade ve kısım payı adaydır (YAPILABILIRLIK.md:34, :43) </w:t>
      </w:r>
      <w:r>
        <w:rPr>
          <w:b/>
          <w:color w:val="0B6123"/>
          <w:sz w:val="18"/>
        </w:rPr>
        <w:t>[kanıt/aday]</w:t>
      </w:r>
      <w:r>
        <w:t xml:space="preserve">. Büyüme bandı çeyreklik: min %4,85, medyan %8,51, azami %12,12; stres = azaminin iki katı, %24,24 (YAPILABILIRLIK.md:49) </w:t>
      </w:r>
      <w:r>
        <w:rPr>
          <w:b/>
          <w:color w:val="0B6123"/>
          <w:sz w:val="18"/>
        </w:rPr>
        <w:t>[kanıt ölçüm türevi; stres aday]</w:t>
      </w:r>
      <w:r>
        <w:t>.</w:t>
      </w:r>
    </w:p>
    <w:p>
      <w:pPr>
        <w:keepNext/>
        <w:spacing w:after="40"/>
        <w:jc w:val="left"/>
      </w:pPr>
      <w:r>
        <w:rPr>
          <w:b/>
          <w:sz w:val="19"/>
        </w:rPr>
        <w:t>Tablo 11.1 — Şok testleri özeti (milyar TL)</w:t>
      </w:r>
    </w:p>
    <w:tbl>
      <w:tblPr>
        <w:tblStyle w:val="TableGrid"/>
        <w:tblW w:type="auto" w:w="0"/>
        <w:jc w:val="center"/>
        <w:tblLayout w:type="fixed"/>
        <w:tblLook w:firstColumn="1" w:firstRow="1" w:lastColumn="0" w:lastRow="0" w:noHBand="0" w:noVBand="1" w:val="04A0"/>
      </w:tblPr>
      <w:tblGrid>
        <w:gridCol w:w="2154"/>
        <w:gridCol w:w="567"/>
        <w:gridCol w:w="2721"/>
        <w:gridCol w:w="1814"/>
        <w:gridCol w:w="1814"/>
      </w:tblGrid>
      <w:tr>
        <w:trPr>
          <w:tblHeader w:val="true"/>
        </w:trPr>
        <w:tc>
          <w:tcPr>
            <w:tcW w:type="dxa" w:w="2154"/>
            <w:shd w:val="clear" w:color="auto" w:fill="D9E2F3"/>
          </w:tcPr>
          <w:p>
            <w:r/>
            <w:r>
              <w:rPr>
                <w:b/>
                <w:sz w:val="16"/>
              </w:rPr>
              <w:t>Şok</w:t>
            </w:r>
          </w:p>
        </w:tc>
        <w:tc>
          <w:tcPr>
            <w:tcW w:type="dxa" w:w="567"/>
            <w:shd w:val="clear" w:color="auto" w:fill="D9E2F3"/>
          </w:tcPr>
          <w:p>
            <w:r/>
            <w:r>
              <w:rPr>
                <w:b/>
                <w:sz w:val="16"/>
              </w:rPr>
              <w:t>Adım</w:t>
            </w:r>
          </w:p>
        </w:tc>
        <w:tc>
          <w:tcPr>
            <w:tcW w:type="dxa" w:w="2721"/>
            <w:shd w:val="clear" w:color="auto" w:fill="D9E2F3"/>
          </w:tcPr>
          <w:p>
            <w:r/>
            <w:r>
              <w:rPr>
                <w:b/>
                <w:sz w:val="16"/>
              </w:rPr>
              <w:t>Sonuç</w:t>
            </w:r>
          </w:p>
        </w:tc>
        <w:tc>
          <w:tcPr>
            <w:tcW w:type="dxa" w:w="1814"/>
            <w:shd w:val="clear" w:color="auto" w:fill="D9E2F3"/>
          </w:tcPr>
          <w:p>
            <w:r/>
            <w:r>
              <w:rPr>
                <w:b/>
                <w:sz w:val="16"/>
              </w:rPr>
              <w:t>Hüküm etkisi</w:t>
            </w:r>
          </w:p>
        </w:tc>
        <w:tc>
          <w:tcPr>
            <w:tcW w:type="dxa" w:w="1814"/>
            <w:shd w:val="clear" w:color="auto" w:fill="D9E2F3"/>
          </w:tcPr>
          <w:p>
            <w:r/>
            <w:r>
              <w:rPr>
                <w:b/>
                <w:sz w:val="16"/>
              </w:rPr>
              <w:t>Kaynak</w:t>
            </w:r>
          </w:p>
        </w:tc>
      </w:tr>
      <w:tr>
        <w:tc>
          <w:tcPr>
            <w:tcW w:type="dxa" w:w="2154"/>
          </w:tcPr>
          <w:p>
            <w:pPr>
              <w:spacing w:after="20"/>
            </w:pPr>
            <w:r/>
            <w:r>
              <w:rPr>
                <w:sz w:val="16"/>
              </w:rPr>
              <w:t>Kur %1</w:t>
            </w:r>
          </w:p>
        </w:tc>
        <w:tc>
          <w:tcPr>
            <w:tcW w:type="dxa" w:w="567"/>
          </w:tcPr>
          <w:p>
            <w:pPr>
              <w:spacing w:after="20"/>
            </w:pPr>
            <w:r/>
            <w:r>
              <w:rPr>
                <w:sz w:val="16"/>
              </w:rPr>
              <w:t>2</w:t>
            </w:r>
          </w:p>
        </w:tc>
        <w:tc>
          <w:tcPr>
            <w:tcW w:type="dxa" w:w="2721"/>
          </w:tcPr>
          <w:p>
            <w:pPr>
              <w:spacing w:after="20"/>
            </w:pPr>
            <w:r/>
            <w:r>
              <w:rPr>
                <w:sz w:val="16"/>
              </w:rPr>
              <w:t>Köprü 52,4 → 55,5 (yayımlanmış üst uç aşılır)</w:t>
            </w:r>
          </w:p>
        </w:tc>
        <w:tc>
          <w:tcPr>
            <w:tcW w:type="dxa" w:w="1814"/>
          </w:tcPr>
          <w:p>
            <w:pPr>
              <w:spacing w:after="20"/>
            </w:pPr>
            <w:r/>
            <w:r>
              <w:rPr>
                <w:sz w:val="16"/>
              </w:rPr>
              <w:t>Adım 2 kırılganlık eşiği</w:t>
            </w:r>
          </w:p>
        </w:tc>
        <w:tc>
          <w:tcPr>
            <w:tcW w:type="dxa" w:w="1814"/>
          </w:tcPr>
          <w:p>
            <w:pPr>
              <w:spacing w:after="20"/>
            </w:pPr>
            <w:r/>
            <w:r>
              <w:rPr>
                <w:sz w:val="16"/>
              </w:rPr>
              <w:t>YAPILABILIRLIK.md:55</w:t>
            </w:r>
          </w:p>
        </w:tc>
      </w:tr>
      <w:tr>
        <w:tc>
          <w:tcPr>
            <w:tcW w:type="dxa" w:w="2154"/>
          </w:tcPr>
          <w:p>
            <w:pPr>
              <w:spacing w:after="20"/>
            </w:pPr>
            <w:r/>
            <w:r>
              <w:rPr>
                <w:sz w:val="16"/>
              </w:rPr>
              <w:t>Kur %3</w:t>
            </w:r>
          </w:p>
        </w:tc>
        <w:tc>
          <w:tcPr>
            <w:tcW w:type="dxa" w:w="567"/>
          </w:tcPr>
          <w:p>
            <w:pPr>
              <w:spacing w:after="20"/>
            </w:pPr>
            <w:r/>
            <w:r>
              <w:rPr>
                <w:sz w:val="16"/>
              </w:rPr>
              <w:t>2</w:t>
            </w:r>
          </w:p>
        </w:tc>
        <w:tc>
          <w:tcPr>
            <w:tcW w:type="dxa" w:w="2721"/>
          </w:tcPr>
          <w:p>
            <w:pPr>
              <w:spacing w:after="20"/>
            </w:pPr>
            <w:r/>
            <w:r>
              <w:rPr>
                <w:sz w:val="16"/>
              </w:rPr>
              <w:t>Temerrüt 3 → 4 kısım</w:t>
            </w:r>
          </w:p>
        </w:tc>
        <w:tc>
          <w:tcPr>
            <w:tcW w:type="dxa" w:w="1814"/>
          </w:tcPr>
          <w:p>
            <w:pPr>
              <w:spacing w:after="20"/>
            </w:pPr>
            <w:r/>
            <w:r>
              <w:rPr>
                <w:sz w:val="16"/>
              </w:rPr>
              <w:t>Eşik</w:t>
            </w:r>
          </w:p>
        </w:tc>
        <w:tc>
          <w:tcPr>
            <w:tcW w:type="dxa" w:w="1814"/>
          </w:tcPr>
          <w:p>
            <w:pPr>
              <w:spacing w:after="20"/>
            </w:pPr>
            <w:r/>
            <w:r>
              <w:rPr>
                <w:sz w:val="16"/>
              </w:rPr>
              <w:t>YAPILABILIRLIK.md:55</w:t>
            </w:r>
          </w:p>
        </w:tc>
      </w:tr>
      <w:tr>
        <w:tc>
          <w:tcPr>
            <w:tcW w:type="dxa" w:w="2154"/>
          </w:tcPr>
          <w:p>
            <w:pPr>
              <w:spacing w:after="20"/>
            </w:pPr>
            <w:r/>
            <w:r>
              <w:rPr>
                <w:sz w:val="16"/>
              </w:rPr>
              <w:t>Kur %3 / %4 (λ* üst uç 1,0471)</w:t>
            </w:r>
          </w:p>
        </w:tc>
        <w:tc>
          <w:tcPr>
            <w:tcW w:type="dxa" w:w="567"/>
          </w:tcPr>
          <w:p>
            <w:pPr>
              <w:spacing w:after="20"/>
            </w:pPr>
            <w:r/>
            <w:r>
              <w:rPr>
                <w:sz w:val="16"/>
              </w:rPr>
              <w:t>2</w:t>
            </w:r>
          </w:p>
        </w:tc>
        <w:tc>
          <w:tcPr>
            <w:tcW w:type="dxa" w:w="2721"/>
          </w:tcPr>
          <w:p>
            <w:pPr>
              <w:spacing w:after="20"/>
            </w:pPr>
            <w:r/>
            <w:r>
              <w:rPr>
                <w:sz w:val="16"/>
              </w:rPr>
              <w:t>Köprü 54,2 / temerrüt 4</w:t>
            </w:r>
          </w:p>
        </w:tc>
        <w:tc>
          <w:tcPr>
            <w:tcW w:type="dxa" w:w="1814"/>
          </w:tcPr>
          <w:p>
            <w:pPr>
              <w:spacing w:after="20"/>
            </w:pPr>
            <w:r/>
            <w:r>
              <w:rPr>
                <w:sz w:val="16"/>
              </w:rPr>
              <w:t>Eşik</w:t>
            </w:r>
          </w:p>
        </w:tc>
        <w:tc>
          <w:tcPr>
            <w:tcW w:type="dxa" w:w="1814"/>
          </w:tcPr>
          <w:p>
            <w:pPr>
              <w:spacing w:after="20"/>
            </w:pPr>
            <w:r/>
            <w:r>
              <w:rPr>
                <w:sz w:val="16"/>
              </w:rPr>
              <w:t>YAPILABILIRLIK.md:55</w:t>
            </w:r>
          </w:p>
        </w:tc>
      </w:tr>
      <w:tr>
        <w:tc>
          <w:tcPr>
            <w:tcW w:type="dxa" w:w="2154"/>
          </w:tcPr>
          <w:p>
            <w:pPr>
              <w:spacing w:after="20"/>
            </w:pPr>
            <w:r/>
            <w:r>
              <w:rPr>
                <w:sz w:val="16"/>
              </w:rPr>
              <w:t>Kur %19,29 (en olası)</w:t>
            </w:r>
          </w:p>
        </w:tc>
        <w:tc>
          <w:tcPr>
            <w:tcW w:type="dxa" w:w="567"/>
          </w:tcPr>
          <w:p>
            <w:pPr>
              <w:spacing w:after="20"/>
            </w:pPr>
            <w:r/>
            <w:r>
              <w:rPr>
                <w:sz w:val="16"/>
              </w:rPr>
              <w:t>2</w:t>
            </w:r>
          </w:p>
        </w:tc>
        <w:tc>
          <w:tcPr>
            <w:tcW w:type="dxa" w:w="2721"/>
          </w:tcPr>
          <w:p>
            <w:pPr>
              <w:spacing w:after="20"/>
            </w:pPr>
            <w:r/>
            <w:r>
              <w:rPr>
                <w:sz w:val="16"/>
              </w:rPr>
              <w:t>Temerrüt 7; köprü 443,87; brüt 11.527,68</w:t>
            </w:r>
          </w:p>
        </w:tc>
        <w:tc>
          <w:tcPr>
            <w:tcW w:type="dxa" w:w="1814"/>
          </w:tcPr>
          <w:p>
            <w:pPr>
              <w:spacing w:after="20"/>
            </w:pPr>
            <w:r/>
            <w:r>
              <w:rPr>
                <w:sz w:val="16"/>
              </w:rPr>
              <w:t>Koşul tutmaz</w:t>
            </w:r>
          </w:p>
        </w:tc>
        <w:tc>
          <w:tcPr>
            <w:tcW w:type="dxa" w:w="1814"/>
          </w:tcPr>
          <w:p>
            <w:pPr>
              <w:spacing w:after="20"/>
            </w:pPr>
            <w:r/>
            <w:r>
              <w:rPr>
                <w:sz w:val="16"/>
              </w:rPr>
              <w:t>SENET_ANALIZ.md:54; Ek D</w:t>
            </w:r>
          </w:p>
        </w:tc>
      </w:tr>
      <w:tr>
        <w:tc>
          <w:tcPr>
            <w:tcW w:type="dxa" w:w="2154"/>
          </w:tcPr>
          <w:p>
            <w:pPr>
              <w:spacing w:after="20"/>
            </w:pPr>
            <w:r/>
            <w:r>
              <w:rPr>
                <w:sz w:val="16"/>
              </w:rPr>
              <w:t>Kur %50</w:t>
            </w:r>
          </w:p>
        </w:tc>
        <w:tc>
          <w:tcPr>
            <w:tcW w:type="dxa" w:w="567"/>
          </w:tcPr>
          <w:p>
            <w:pPr>
              <w:spacing w:after="20"/>
            </w:pPr>
            <w:r/>
            <w:r>
              <w:rPr>
                <w:sz w:val="16"/>
              </w:rPr>
              <w:t>2</w:t>
            </w:r>
          </w:p>
        </w:tc>
        <w:tc>
          <w:tcPr>
            <w:tcW w:type="dxa" w:w="2721"/>
          </w:tcPr>
          <w:p>
            <w:pPr>
              <w:spacing w:after="20"/>
            </w:pPr>
            <w:r/>
            <w:r>
              <w:rPr>
                <w:sz w:val="16"/>
              </w:rPr>
              <w:t>Köprü 3.474,3; 15 kısım</w:t>
            </w:r>
          </w:p>
        </w:tc>
        <w:tc>
          <w:tcPr>
            <w:tcW w:type="dxa" w:w="1814"/>
          </w:tcPr>
          <w:p>
            <w:pPr>
              <w:spacing w:after="20"/>
            </w:pPr>
            <w:r/>
            <w:r>
              <w:rPr>
                <w:sz w:val="16"/>
              </w:rPr>
              <w:t>Koşul tutmaz</w:t>
            </w:r>
          </w:p>
        </w:tc>
        <w:tc>
          <w:tcPr>
            <w:tcW w:type="dxa" w:w="1814"/>
          </w:tcPr>
          <w:p>
            <w:pPr>
              <w:spacing w:after="20"/>
            </w:pPr>
            <w:r/>
            <w:r>
              <w:rPr>
                <w:sz w:val="16"/>
              </w:rPr>
              <w:t>YAPILABILIRLIK.md:55</w:t>
            </w:r>
          </w:p>
        </w:tc>
      </w:tr>
      <w:tr>
        <w:tc>
          <w:tcPr>
            <w:tcW w:type="dxa" w:w="2154"/>
          </w:tcPr>
          <w:p>
            <w:pPr>
              <w:spacing w:after="20"/>
            </w:pPr>
            <w:r/>
            <w:r>
              <w:rPr>
                <w:sz w:val="16"/>
              </w:rPr>
              <w:t>Yoğunluk 0,25 (kur yok)</w:t>
            </w:r>
          </w:p>
        </w:tc>
        <w:tc>
          <w:tcPr>
            <w:tcW w:type="dxa" w:w="567"/>
          </w:tcPr>
          <w:p>
            <w:pPr>
              <w:spacing w:after="20"/>
            </w:pPr>
            <w:r/>
            <w:r>
              <w:rPr>
                <w:sz w:val="16"/>
              </w:rPr>
              <w:t>1–2</w:t>
            </w:r>
          </w:p>
        </w:tc>
        <w:tc>
          <w:tcPr>
            <w:tcW w:type="dxa" w:w="2721"/>
          </w:tcPr>
          <w:p>
            <w:pPr>
              <w:spacing w:after="20"/>
            </w:pPr>
            <w:r/>
            <w:r>
              <w:rPr>
                <w:sz w:val="16"/>
              </w:rPr>
              <w:t>Temerrüt 4–15 (ort. 11); köprü ort. 3.786,8</w:t>
            </w:r>
          </w:p>
        </w:tc>
        <w:tc>
          <w:tcPr>
            <w:tcW w:type="dxa" w:w="1814"/>
          </w:tcPr>
          <w:p>
            <w:pPr>
              <w:spacing w:after="20"/>
            </w:pPr>
            <w:r/>
            <w:r>
              <w:rPr>
                <w:sz w:val="16"/>
              </w:rPr>
              <w:t>Kur şoku olmadan koşul bozulur</w:t>
            </w:r>
          </w:p>
        </w:tc>
        <w:tc>
          <w:tcPr>
            <w:tcW w:type="dxa" w:w="1814"/>
          </w:tcPr>
          <w:p>
            <w:pPr>
              <w:spacing w:after="20"/>
            </w:pPr>
            <w:r/>
            <w:r>
              <w:rPr>
                <w:sz w:val="16"/>
              </w:rPr>
              <w:t>YAPILABILIRLIK.md:57</w:t>
            </w:r>
          </w:p>
        </w:tc>
      </w:tr>
      <w:tr>
        <w:tc>
          <w:tcPr>
            <w:tcW w:type="dxa" w:w="2154"/>
          </w:tcPr>
          <w:p>
            <w:pPr>
              <w:spacing w:after="20"/>
            </w:pPr>
            <w:r/>
            <w:r>
              <w:rPr>
                <w:sz w:val="16"/>
              </w:rPr>
              <w:t>Kur δ=30 / δ=50, κ=0,25</w:t>
            </w:r>
          </w:p>
        </w:tc>
        <w:tc>
          <w:tcPr>
            <w:tcW w:type="dxa" w:w="567"/>
          </w:tcPr>
          <w:p>
            <w:pPr>
              <w:spacing w:after="20"/>
            </w:pPr>
            <w:r/>
            <w:r>
              <w:rPr>
                <w:sz w:val="16"/>
              </w:rPr>
              <w:t>3</w:t>
            </w:r>
          </w:p>
        </w:tc>
        <w:tc>
          <w:tcPr>
            <w:tcW w:type="dxa" w:w="2721"/>
          </w:tcPr>
          <w:p>
            <w:pPr>
              <w:spacing w:after="20"/>
            </w:pPr>
            <w:r/>
            <w:r>
              <w:rPr>
                <w:sz w:val="16"/>
              </w:rPr>
              <w:t>2029 faizi 1.696,2 / 1.749,4</w:t>
            </w:r>
          </w:p>
        </w:tc>
        <w:tc>
          <w:tcPr>
            <w:tcW w:type="dxa" w:w="1814"/>
          </w:tcPr>
          <w:p>
            <w:pPr>
              <w:spacing w:after="20"/>
            </w:pPr>
            <w:r/>
            <w:r>
              <w:rPr>
                <w:sz w:val="16"/>
              </w:rPr>
              <w:t>Yön artış; tutar stok kadar şişmez</w:t>
            </w:r>
          </w:p>
        </w:tc>
        <w:tc>
          <w:tcPr>
            <w:tcW w:type="dxa" w:w="1814"/>
          </w:tcPr>
          <w:p>
            <w:pPr>
              <w:spacing w:after="20"/>
            </w:pPr>
            <w:r/>
            <w:r>
              <w:rPr>
                <w:sz w:val="16"/>
              </w:rPr>
              <w:t>YAPILABILIRLIK.md:51</w:t>
            </w:r>
          </w:p>
        </w:tc>
      </w:tr>
      <w:tr>
        <w:tc>
          <w:tcPr>
            <w:tcW w:type="dxa" w:w="2154"/>
          </w:tcPr>
          <w:p>
            <w:pPr>
              <w:spacing w:after="20"/>
            </w:pPr>
            <w:r/>
            <w:r>
              <w:rPr>
                <w:sz w:val="16"/>
              </w:rPr>
              <w:t>Büyüme medyan / azami / stres, κ=0,25</w:t>
            </w:r>
          </w:p>
        </w:tc>
        <w:tc>
          <w:tcPr>
            <w:tcW w:type="dxa" w:w="567"/>
          </w:tcPr>
          <w:p>
            <w:pPr>
              <w:spacing w:after="20"/>
            </w:pPr>
            <w:r/>
            <w:r>
              <w:rPr>
                <w:sz w:val="16"/>
              </w:rPr>
              <w:t>3</w:t>
            </w:r>
          </w:p>
        </w:tc>
        <w:tc>
          <w:tcPr>
            <w:tcW w:type="dxa" w:w="2721"/>
          </w:tcPr>
          <w:p>
            <w:pPr>
              <w:spacing w:after="20"/>
            </w:pPr>
            <w:r/>
            <w:r>
              <w:rPr>
                <w:sz w:val="16"/>
              </w:rPr>
              <w:t>4.505,1 (%3,19) / 6.808,1 (%4,82) / 25.079,3 (%17,76)</w:t>
            </w:r>
          </w:p>
        </w:tc>
        <w:tc>
          <w:tcPr>
            <w:tcW w:type="dxa" w:w="1814"/>
          </w:tcPr>
          <w:p>
            <w:pPr>
              <w:spacing w:after="20"/>
            </w:pPr>
            <w:r/>
            <w:r>
              <w:rPr>
                <w:sz w:val="16"/>
              </w:rPr>
              <w:t>κ küçük koşulu baskılanır</w:t>
            </w:r>
          </w:p>
        </w:tc>
        <w:tc>
          <w:tcPr>
            <w:tcW w:type="dxa" w:w="1814"/>
          </w:tcPr>
          <w:p>
            <w:pPr>
              <w:spacing w:after="20"/>
            </w:pPr>
            <w:r/>
            <w:r>
              <w:rPr>
                <w:sz w:val="16"/>
              </w:rPr>
              <w:t>YAPILABILIRLIK.md:53</w:t>
            </w:r>
          </w:p>
        </w:tc>
      </w:tr>
      <w:tr>
        <w:tc>
          <w:tcPr>
            <w:tcW w:type="dxa" w:w="2154"/>
          </w:tcPr>
          <w:p>
            <w:pPr>
              <w:spacing w:after="20"/>
            </w:pPr>
            <w:r/>
            <w:r>
              <w:rPr>
                <w:sz w:val="16"/>
              </w:rPr>
              <w:t>Birleşik stres (kur %30, faiz %55, azami büyüme), κ=0,25</w:t>
            </w:r>
          </w:p>
        </w:tc>
        <w:tc>
          <w:tcPr>
            <w:tcW w:type="dxa" w:w="567"/>
          </w:tcPr>
          <w:p>
            <w:pPr>
              <w:spacing w:after="20"/>
            </w:pPr>
            <w:r/>
            <w:r>
              <w:rPr>
                <w:sz w:val="16"/>
              </w:rPr>
              <w:t>3</w:t>
            </w:r>
          </w:p>
        </w:tc>
        <w:tc>
          <w:tcPr>
            <w:tcW w:type="dxa" w:w="2721"/>
          </w:tcPr>
          <w:p>
            <w:pPr>
              <w:spacing w:after="20"/>
            </w:pPr>
            <w:r/>
            <w:r>
              <w:rPr>
                <w:sz w:val="16"/>
              </w:rPr>
              <w:t>2029: 8.142,1 (%5,77 GSYH), FG katı 2,59</w:t>
            </w:r>
          </w:p>
        </w:tc>
        <w:tc>
          <w:tcPr>
            <w:tcW w:type="dxa" w:w="1814"/>
          </w:tcPr>
          <w:p>
            <w:pPr>
              <w:spacing w:after="20"/>
            </w:pPr>
            <w:r/>
            <w:r>
              <w:rPr>
                <w:sz w:val="16"/>
              </w:rPr>
              <w:t>Adım 3 koşulu tutmaz</w:t>
            </w:r>
          </w:p>
        </w:tc>
        <w:tc>
          <w:tcPr>
            <w:tcW w:type="dxa" w:w="1814"/>
          </w:tcPr>
          <w:p>
            <w:pPr>
              <w:spacing w:after="20"/>
            </w:pPr>
            <w:r/>
            <w:r>
              <w:rPr>
                <w:sz w:val="16"/>
              </w:rPr>
              <w:t>YAPILABILIRLIK.md:59, :61</w:t>
            </w:r>
          </w:p>
        </w:tc>
      </w:tr>
      <w:tr>
        <w:tc>
          <w:tcPr>
            <w:tcW w:type="dxa" w:w="2154"/>
          </w:tcPr>
          <w:p>
            <w:pPr>
              <w:spacing w:after="20"/>
            </w:pPr>
            <w:r/>
            <w:r>
              <w:rPr>
                <w:sz w:val="16"/>
              </w:rPr>
              <w:t>Birleşik stres, κ=1</w:t>
            </w:r>
          </w:p>
        </w:tc>
        <w:tc>
          <w:tcPr>
            <w:tcW w:type="dxa" w:w="567"/>
          </w:tcPr>
          <w:p>
            <w:pPr>
              <w:spacing w:after="20"/>
            </w:pPr>
            <w:r/>
            <w:r>
              <w:rPr>
                <w:sz w:val="16"/>
              </w:rPr>
              <w:t>3</w:t>
            </w:r>
          </w:p>
        </w:tc>
        <w:tc>
          <w:tcPr>
            <w:tcW w:type="dxa" w:w="2721"/>
          </w:tcPr>
          <w:p>
            <w:pPr>
              <w:spacing w:after="20"/>
            </w:pPr>
            <w:r/>
            <w:r>
              <w:rPr>
                <w:sz w:val="16"/>
              </w:rPr>
              <w:t>2029: 32.568,5 (%23,07), FG 10,36×; 2031: 81.318,5 (%45,43)</w:t>
            </w:r>
          </w:p>
        </w:tc>
        <w:tc>
          <w:tcPr>
            <w:tcW w:type="dxa" w:w="1814"/>
          </w:tcPr>
          <w:p>
            <w:pPr>
              <w:spacing w:after="20"/>
            </w:pPr>
            <w:r/>
            <w:r>
              <w:rPr>
                <w:sz w:val="16"/>
              </w:rPr>
              <w:t>Koşul tutmaz</w:t>
            </w:r>
          </w:p>
        </w:tc>
        <w:tc>
          <w:tcPr>
            <w:tcW w:type="dxa" w:w="1814"/>
          </w:tcPr>
          <w:p>
            <w:pPr>
              <w:spacing w:after="20"/>
            </w:pPr>
            <w:r/>
            <w:r>
              <w:rPr>
                <w:sz w:val="16"/>
              </w:rPr>
              <w:t>YAPILABILIRLIK.md:59</w:t>
            </w:r>
          </w:p>
        </w:tc>
      </w:tr>
      <w:tr>
        <w:tc>
          <w:tcPr>
            <w:tcW w:type="dxa" w:w="2154"/>
          </w:tcPr>
          <w:p>
            <w:pPr>
              <w:spacing w:after="20"/>
            </w:pPr>
            <w:r/>
            <w:r>
              <w:rPr>
                <w:sz w:val="16"/>
              </w:rPr>
              <w:t>YP stok artışının dondurulması</w:t>
            </w:r>
          </w:p>
        </w:tc>
        <w:tc>
          <w:tcPr>
            <w:tcW w:type="dxa" w:w="567"/>
          </w:tcPr>
          <w:p>
            <w:pPr>
              <w:spacing w:after="20"/>
            </w:pPr>
            <w:r/>
            <w:r>
              <w:rPr>
                <w:sz w:val="16"/>
              </w:rPr>
              <w:t>2, 4</w:t>
            </w:r>
          </w:p>
        </w:tc>
        <w:tc>
          <w:tcPr>
            <w:tcW w:type="dxa" w:w="2721"/>
          </w:tcPr>
          <w:p>
            <w:pPr>
              <w:spacing w:after="20"/>
            </w:pPr>
            <w:r/>
            <w:r>
              <w:rPr>
                <w:sz w:val="16"/>
              </w:rPr>
              <w:t>Değerleme 2.660,88 değişmez; köprü 443,87 değişmez</w:t>
            </w:r>
          </w:p>
        </w:tc>
        <w:tc>
          <w:tcPr>
            <w:tcW w:type="dxa" w:w="1814"/>
          </w:tcPr>
          <w:p>
            <w:pPr>
              <w:spacing w:after="20"/>
            </w:pPr>
            <w:r/>
            <w:r>
              <w:rPr>
                <w:sz w:val="16"/>
              </w:rPr>
              <w:t>Adım 2 döviz koşulunu açmaz</w:t>
            </w:r>
          </w:p>
        </w:tc>
        <w:tc>
          <w:tcPr>
            <w:tcW w:type="dxa" w:w="1814"/>
          </w:tcPr>
          <w:p>
            <w:pPr>
              <w:spacing w:after="20"/>
            </w:pPr>
            <w:r/>
            <w:r>
              <w:rPr>
                <w:sz w:val="16"/>
              </w:rPr>
              <w:t>SENET_ANALIZ.md:121, :148</w:t>
            </w:r>
          </w:p>
        </w:tc>
      </w:tr>
      <w:tr>
        <w:tc>
          <w:tcPr>
            <w:tcW w:type="dxa" w:w="2154"/>
          </w:tcPr>
          <w:p>
            <w:pPr>
              <w:spacing w:after="20"/>
            </w:pPr>
            <w:r/>
            <w:r>
              <w:rPr>
                <w:sz w:val="16"/>
              </w:rPr>
              <w:t>Herhangi bir kur/faiz şoku</w:t>
            </w:r>
          </w:p>
        </w:tc>
        <w:tc>
          <w:tcPr>
            <w:tcW w:type="dxa" w:w="567"/>
          </w:tcPr>
          <w:p>
            <w:pPr>
              <w:spacing w:after="20"/>
            </w:pPr>
            <w:r/>
            <w:r>
              <w:rPr>
                <w:sz w:val="16"/>
              </w:rPr>
              <w:t>4, 4.5, 5</w:t>
            </w:r>
          </w:p>
        </w:tc>
        <w:tc>
          <w:tcPr>
            <w:tcW w:type="dxa" w:w="2721"/>
          </w:tcPr>
          <w:p>
            <w:pPr>
              <w:spacing w:after="20"/>
            </w:pPr>
            <w:r/>
            <w:r>
              <w:rPr>
                <w:sz w:val="16"/>
              </w:rPr>
              <w:t>Kanal yok</w:t>
            </w:r>
          </w:p>
        </w:tc>
        <w:tc>
          <w:tcPr>
            <w:tcW w:type="dxa" w:w="1814"/>
          </w:tcPr>
          <w:p>
            <w:pPr>
              <w:spacing w:after="20"/>
            </w:pPr>
            <w:r/>
            <w:r>
              <w:rPr>
                <w:sz w:val="16"/>
              </w:rPr>
              <w:t>Hüküm değişmez</w:t>
            </w:r>
          </w:p>
        </w:tc>
        <w:tc>
          <w:tcPr>
            <w:tcW w:type="dxa" w:w="1814"/>
          </w:tcPr>
          <w:p>
            <w:pPr>
              <w:spacing w:after="20"/>
            </w:pPr>
            <w:r/>
            <w:r>
              <w:rPr>
                <w:sz w:val="16"/>
              </w:rPr>
              <w:t>YAPILABILIRLIK.md:61</w:t>
            </w:r>
          </w:p>
        </w:tc>
      </w:tr>
    </w:tbl>
    <w:p>
      <w:pPr>
        <w:spacing w:after="40"/>
      </w:pPr>
    </w:p>
    <w:p>
      <w:pPr>
        <w:jc w:val="both"/>
      </w:pPr>
      <w:r>
        <w:rPr>
          <w:b/>
        </w:rPr>
        <w:t xml:space="preserve">(88) </w:t>
      </w:r>
      <w:r>
        <w:t xml:space="preserve">Şok testlerinin kamu yönetimi açısından ana dersi şudur: Adım 2’nin kırılganlık eşiği (kur %1–3) olağan kur oynaklığının içindedir; bu nedenle döviz yükümlülüğü ayrı bir araçla karşılanmadan Adım 2’nin uygulanması, uygulamanın ilk çeyreğinde koşulun bozulması riskini taşır </w:t>
      </w:r>
      <w:r>
        <w:rPr>
          <w:b/>
          <w:color w:val="A05200"/>
          <w:sz w:val="18"/>
        </w:rPr>
        <w:t>[aday, yorum]</w:t>
      </w:r>
      <w:r>
        <w:t>. Adım 3’ün hükmü faiz ve büyüme patikasına duyarlıdır; Adım 4, 4.5 ve 5’in hükmü şoklardan etkilenmez.</w:t>
      </w:r>
    </w:p>
    <w:p>
      <w:r>
        <w:br w:type="page"/>
      </w:r>
    </w:p>
    <w:p>
      <w:pPr>
        <w:pStyle w:val="Heading1"/>
      </w:pPr>
      <w:r>
        <w:t>12. Adım Başına Özet Tablo</w:t>
      </w:r>
    </w:p>
    <w:p>
      <w:pPr>
        <w:keepNext/>
        <w:spacing w:after="40"/>
        <w:jc w:val="left"/>
      </w:pPr>
      <w:r>
        <w:rPr>
          <w:b/>
          <w:sz w:val="19"/>
        </w:rPr>
        <w:t>Tablo 12.1 — Özet: kıstas durumu, hüküm, maliyet, fayda</w:t>
      </w:r>
    </w:p>
    <w:tbl>
      <w:tblPr>
        <w:tblStyle w:val="TableGrid"/>
        <w:tblW w:type="auto" w:w="0"/>
        <w:jc w:val="center"/>
        <w:tblLayout w:type="fixed"/>
        <w:tblLook w:firstColumn="1" w:firstRow="1" w:lastColumn="0" w:lastRow="0" w:noHBand="0" w:noVBand="1" w:val="04A0"/>
      </w:tblPr>
      <w:tblGrid>
        <w:gridCol w:w="1361"/>
        <w:gridCol w:w="1247"/>
        <w:gridCol w:w="1814"/>
        <w:gridCol w:w="2608"/>
        <w:gridCol w:w="2041"/>
      </w:tblGrid>
      <w:tr>
        <w:trPr>
          <w:tblHeader w:val="true"/>
        </w:trPr>
        <w:tc>
          <w:tcPr>
            <w:tcW w:type="dxa" w:w="1361"/>
            <w:shd w:val="clear" w:color="auto" w:fill="D9E2F3"/>
          </w:tcPr>
          <w:p>
            <w:r/>
            <w:r>
              <w:rPr>
                <w:b/>
                <w:sz w:val="16"/>
              </w:rPr>
              <w:t>Adım</w:t>
            </w:r>
          </w:p>
        </w:tc>
        <w:tc>
          <w:tcPr>
            <w:tcW w:type="dxa" w:w="1247"/>
            <w:shd w:val="clear" w:color="auto" w:fill="D9E2F3"/>
          </w:tcPr>
          <w:p>
            <w:r/>
            <w:r>
              <w:rPr>
                <w:b/>
                <w:sz w:val="16"/>
              </w:rPr>
              <w:t>Kıstas durumu</w:t>
            </w:r>
          </w:p>
        </w:tc>
        <w:tc>
          <w:tcPr>
            <w:tcW w:type="dxa" w:w="1814"/>
            <w:shd w:val="clear" w:color="auto" w:fill="D9E2F3"/>
          </w:tcPr>
          <w:p>
            <w:r/>
            <w:r>
              <w:rPr>
                <w:b/>
                <w:sz w:val="16"/>
              </w:rPr>
              <w:t>Hüküm</w:t>
            </w:r>
          </w:p>
        </w:tc>
        <w:tc>
          <w:tcPr>
            <w:tcW w:type="dxa" w:w="2608"/>
            <w:shd w:val="clear" w:color="auto" w:fill="D9E2F3"/>
          </w:tcPr>
          <w:p>
            <w:r/>
            <w:r>
              <w:rPr>
                <w:b/>
                <w:sz w:val="16"/>
              </w:rPr>
              <w:t>Maliyet (% GSYH)</w:t>
            </w:r>
          </w:p>
        </w:tc>
        <w:tc>
          <w:tcPr>
            <w:tcW w:type="dxa" w:w="2041"/>
            <w:shd w:val="clear" w:color="auto" w:fill="D9E2F3"/>
          </w:tcPr>
          <w:p>
            <w:r/>
            <w:r>
              <w:rPr>
                <w:b/>
                <w:sz w:val="16"/>
              </w:rPr>
              <w:t>Fayda</w:t>
            </w:r>
          </w:p>
        </w:tc>
      </w:tr>
      <w:tr>
        <w:tc>
          <w:tcPr>
            <w:tcW w:type="dxa" w:w="1361"/>
          </w:tcPr>
          <w:p>
            <w:pPr>
              <w:spacing w:after="20"/>
            </w:pPr>
            <w:r/>
            <w:r>
              <w:rPr>
                <w:sz w:val="16"/>
              </w:rPr>
              <w:t>1 Mahsup</w:t>
            </w:r>
          </w:p>
        </w:tc>
        <w:tc>
          <w:tcPr>
            <w:tcW w:type="dxa" w:w="1247"/>
            <w:shd w:val="clear" w:color="auto" w:fill="F8CBAD"/>
          </w:tcPr>
          <w:p>
            <w:pPr>
              <w:spacing w:after="20"/>
            </w:pPr>
            <w:r/>
            <w:r>
              <w:rPr>
                <w:sz w:val="16"/>
              </w:rPr>
              <w:t>sağlanmıyor</w:t>
            </w:r>
          </w:p>
        </w:tc>
        <w:tc>
          <w:tcPr>
            <w:tcW w:type="dxa" w:w="1814"/>
          </w:tcPr>
          <w:p>
            <w:pPr>
              <w:spacing w:after="20"/>
            </w:pPr>
            <w:r/>
            <w:r>
              <w:rPr>
                <w:sz w:val="16"/>
              </w:rPr>
              <w:t>Koşullu yapılabilir; tek başına uygulanabilir</w:t>
            </w:r>
          </w:p>
        </w:tc>
        <w:tc>
          <w:tcPr>
            <w:tcW w:type="dxa" w:w="2608"/>
          </w:tcPr>
          <w:p>
            <w:pPr>
              <w:spacing w:after="20"/>
            </w:pPr>
            <w:r/>
            <w:r>
              <w:rPr>
                <w:sz w:val="16"/>
              </w:rPr>
              <w:t xml:space="preserve">Yürütme 81,5 tek sefer = %0,058 (2029 GSYH) </w:t>
            </w:r>
            <w:r>
              <w:rPr>
                <w:b/>
                <w:color w:val="1F3A8F"/>
                <w:sz w:val="16"/>
              </w:rPr>
              <w:t>[türetilmiş]</w:t>
            </w:r>
          </w:p>
        </w:tc>
        <w:tc>
          <w:tcPr>
            <w:tcW w:type="dxa" w:w="2041"/>
          </w:tcPr>
          <w:p>
            <w:pPr>
              <w:spacing w:after="20"/>
            </w:pPr>
            <w:r/>
            <w:r>
              <w:rPr>
                <w:sz w:val="16"/>
              </w:rPr>
              <w:t xml:space="preserve">Köprü 8.956,38 → 46,77; temerrüt 16 → 3 (tam ağ, δ=0) </w:t>
            </w:r>
            <w:r>
              <w:rPr>
                <w:b/>
                <w:color w:val="0B6123"/>
                <w:sz w:val="16"/>
              </w:rPr>
              <w:t>[kanıt, yerel koşu]</w:t>
            </w:r>
          </w:p>
        </w:tc>
      </w:tr>
      <w:tr>
        <w:tc>
          <w:tcPr>
            <w:tcW w:type="dxa" w:w="1361"/>
          </w:tcPr>
          <w:p>
            <w:pPr>
              <w:spacing w:after="20"/>
            </w:pPr>
            <w:r/>
            <w:r>
              <w:rPr>
                <w:sz w:val="16"/>
              </w:rPr>
              <w:t>2 Akışla ödeme</w:t>
            </w:r>
          </w:p>
        </w:tc>
        <w:tc>
          <w:tcPr>
            <w:tcW w:type="dxa" w:w="1247"/>
            <w:shd w:val="clear" w:color="auto" w:fill="F8CBAD"/>
          </w:tcPr>
          <w:p>
            <w:pPr>
              <w:spacing w:after="20"/>
            </w:pPr>
            <w:r/>
            <w:r>
              <w:rPr>
                <w:sz w:val="16"/>
              </w:rPr>
              <w:t>sağlanmıyor</w:t>
            </w:r>
          </w:p>
        </w:tc>
        <w:tc>
          <w:tcPr>
            <w:tcW w:type="dxa" w:w="1814"/>
          </w:tcPr>
          <w:p>
            <w:pPr>
              <w:spacing w:after="20"/>
            </w:pPr>
            <w:r/>
            <w:r>
              <w:rPr>
                <w:sz w:val="16"/>
              </w:rPr>
              <w:t>Kırılgan / koşullu; tek başına uygulanamaz</w:t>
            </w:r>
          </w:p>
        </w:tc>
        <w:tc>
          <w:tcPr>
            <w:tcW w:type="dxa" w:w="2608"/>
          </w:tcPr>
          <w:p>
            <w:pPr>
              <w:spacing w:after="20"/>
            </w:pPr>
            <w:r/>
            <w:r>
              <w:rPr>
                <w:sz w:val="16"/>
              </w:rPr>
              <w:t xml:space="preserve">Yürütme 58,4 = %0,041; köprü (likidite) 443,87 = %0,53 (2026); seyrek ort. 4.810,19 = %5,70 </w:t>
            </w:r>
            <w:r>
              <w:rPr>
                <w:b/>
                <w:color w:val="1F3A8F"/>
                <w:sz w:val="16"/>
              </w:rPr>
              <w:t>[türetilmiş]</w:t>
            </w:r>
          </w:p>
        </w:tc>
        <w:tc>
          <w:tcPr>
            <w:tcW w:type="dxa" w:w="2041"/>
          </w:tcPr>
          <w:p>
            <w:pPr>
              <w:spacing w:after="20"/>
            </w:pPr>
            <w:r/>
            <w:r>
              <w:rPr>
                <w:sz w:val="16"/>
              </w:rPr>
              <w:t>Tasfiyesiz ödeme; korunan istihdam (sentetik/kenar aday)</w:t>
            </w:r>
          </w:p>
        </w:tc>
      </w:tr>
      <w:tr>
        <w:tc>
          <w:tcPr>
            <w:tcW w:type="dxa" w:w="1361"/>
          </w:tcPr>
          <w:p>
            <w:pPr>
              <w:spacing w:after="20"/>
            </w:pPr>
            <w:r/>
            <w:r>
              <w:rPr>
                <w:sz w:val="16"/>
              </w:rPr>
              <w:t>3 Faizin durması</w:t>
            </w:r>
          </w:p>
        </w:tc>
        <w:tc>
          <w:tcPr>
            <w:tcW w:type="dxa" w:w="1247"/>
            <w:shd w:val="clear" w:color="auto" w:fill="FCE4D6"/>
          </w:tcPr>
          <w:p>
            <w:pPr>
              <w:spacing w:after="20"/>
            </w:pPr>
            <w:r/>
            <w:r>
              <w:rPr>
                <w:sz w:val="16"/>
              </w:rPr>
              <w:t>kısmen</w:t>
            </w:r>
          </w:p>
        </w:tc>
        <w:tc>
          <w:tcPr>
            <w:tcW w:type="dxa" w:w="1814"/>
          </w:tcPr>
          <w:p>
            <w:pPr>
              <w:spacing w:after="20"/>
            </w:pPr>
            <w:r/>
            <w:r>
              <w:rPr>
                <w:sz w:val="16"/>
              </w:rPr>
              <w:t>Kısmen yapılabilir</w:t>
            </w:r>
          </w:p>
        </w:tc>
        <w:tc>
          <w:tcPr>
            <w:tcW w:type="dxa" w:w="2608"/>
          </w:tcPr>
          <w:p>
            <w:pPr>
              <w:spacing w:after="20"/>
            </w:pPr>
            <w:r/>
            <w:r>
              <w:rPr>
                <w:sz w:val="16"/>
              </w:rPr>
              <w:t xml:space="preserve">Transfer ΣNL=0; κ=0,25 2029: %1,14; yürütme 4,8–350,2/yıl </w:t>
            </w:r>
            <w:r>
              <w:rPr>
                <w:b/>
                <w:color w:val="A05200"/>
                <w:sz w:val="16"/>
              </w:rPr>
              <w:t>[aday]</w:t>
            </w:r>
          </w:p>
        </w:tc>
        <w:tc>
          <w:tcPr>
            <w:tcW w:type="dxa" w:w="2041"/>
          </w:tcPr>
          <w:p>
            <w:pPr>
              <w:spacing w:after="20"/>
            </w:pPr>
            <w:r/>
            <w:r>
              <w:rPr>
                <w:sz w:val="16"/>
              </w:rPr>
              <w:t>Yeni faiz faturası doğmaz; dağılımsal</w:t>
            </w:r>
          </w:p>
        </w:tc>
      </w:tr>
      <w:tr>
        <w:tc>
          <w:tcPr>
            <w:tcW w:type="dxa" w:w="1361"/>
          </w:tcPr>
          <w:p>
            <w:pPr>
              <w:spacing w:after="20"/>
            </w:pPr>
            <w:r/>
            <w:r>
              <w:rPr>
                <w:sz w:val="16"/>
              </w:rPr>
              <w:t>4 Adres / senet</w:t>
            </w:r>
          </w:p>
        </w:tc>
        <w:tc>
          <w:tcPr>
            <w:tcW w:type="dxa" w:w="1247"/>
            <w:shd w:val="clear" w:color="auto" w:fill="F8CBAD"/>
          </w:tcPr>
          <w:p>
            <w:pPr>
              <w:spacing w:after="20"/>
            </w:pPr>
            <w:r/>
            <w:r>
              <w:rPr>
                <w:sz w:val="16"/>
              </w:rPr>
              <w:t>sağlanmıyor</w:t>
            </w:r>
          </w:p>
        </w:tc>
        <w:tc>
          <w:tcPr>
            <w:tcW w:type="dxa" w:w="1814"/>
          </w:tcPr>
          <w:p>
            <w:pPr>
              <w:spacing w:after="20"/>
            </w:pPr>
            <w:r/>
            <w:r>
              <w:rPr>
                <w:sz w:val="16"/>
              </w:rPr>
              <w:t>Bu veriyle karar verilemez; sıkı okumada 0</w:t>
            </w:r>
          </w:p>
        </w:tc>
        <w:tc>
          <w:tcPr>
            <w:tcW w:type="dxa" w:w="2608"/>
          </w:tcPr>
          <w:p>
            <w:pPr>
              <w:spacing w:after="20"/>
            </w:pPr>
            <w:r/>
            <w:r>
              <w:rPr>
                <w:sz w:val="16"/>
              </w:rPr>
              <w:t xml:space="preserve">Prim %0,016–0,22 (2029–31); kredi daralması %0,11–0,55/yıl; TCMB atıl %1,45 (θ 0,1) – %4,47 (θ 0,3) </w:t>
            </w:r>
            <w:r>
              <w:rPr>
                <w:b/>
                <w:color w:val="A05200"/>
                <w:sz w:val="16"/>
              </w:rPr>
              <w:t>[aday/türetilmiş]</w:t>
            </w:r>
          </w:p>
        </w:tc>
        <w:tc>
          <w:tcPr>
            <w:tcW w:type="dxa" w:w="2041"/>
          </w:tcPr>
          <w:p>
            <w:pPr>
              <w:spacing w:after="20"/>
            </w:pPr>
            <w:r/>
            <w:r>
              <w:rPr>
                <w:sz w:val="16"/>
              </w:rPr>
              <w:t>Ölçülmüş fayda yok (Π = 0)</w:t>
            </w:r>
          </w:p>
        </w:tc>
      </w:tr>
      <w:tr>
        <w:tc>
          <w:tcPr>
            <w:tcW w:type="dxa" w:w="1361"/>
          </w:tcPr>
          <w:p>
            <w:pPr>
              <w:spacing w:after="20"/>
            </w:pPr>
            <w:r/>
            <w:r>
              <w:rPr>
                <w:sz w:val="16"/>
              </w:rPr>
              <w:t>4.5 Yeni fiat TL</w:t>
            </w:r>
          </w:p>
        </w:tc>
        <w:tc>
          <w:tcPr>
            <w:tcW w:type="dxa" w:w="1247"/>
            <w:shd w:val="clear" w:color="auto" w:fill="FCE4D6"/>
          </w:tcPr>
          <w:p>
            <w:pPr>
              <w:spacing w:after="20"/>
            </w:pPr>
            <w:r/>
            <w:r>
              <w:rPr>
                <w:sz w:val="16"/>
              </w:rPr>
              <w:t>kısmen (teknik evet, amaç hayır)</w:t>
            </w:r>
          </w:p>
        </w:tc>
        <w:tc>
          <w:tcPr>
            <w:tcW w:type="dxa" w:w="1814"/>
          </w:tcPr>
          <w:p>
            <w:pPr>
              <w:spacing w:after="20"/>
            </w:pPr>
            <w:r/>
            <w:r>
              <w:rPr>
                <w:sz w:val="16"/>
              </w:rPr>
              <w:t>Teknik olarak yapılabilir; plasebo</w:t>
            </w:r>
          </w:p>
        </w:tc>
        <w:tc>
          <w:tcPr>
            <w:tcW w:type="dxa" w:w="2608"/>
          </w:tcPr>
          <w:p>
            <w:pPr>
              <w:spacing w:after="20"/>
            </w:pPr>
            <w:r/>
            <w:r>
              <w:rPr>
                <w:sz w:val="16"/>
              </w:rPr>
              <w:t xml:space="preserve">A %0,0004–0,0034; B %0,3–1,0 (2025 GSYH) </w:t>
            </w:r>
            <w:r>
              <w:rPr>
                <w:b/>
                <w:color w:val="A05200"/>
                <w:sz w:val="16"/>
              </w:rPr>
              <w:t>[aday]</w:t>
            </w:r>
          </w:p>
        </w:tc>
        <w:tc>
          <w:tcPr>
            <w:tcW w:type="dxa" w:w="2041"/>
          </w:tcPr>
          <w:p>
            <w:pPr>
              <w:spacing w:after="20"/>
            </w:pPr>
            <w:r/>
            <w:r>
              <w:rPr>
                <w:sz w:val="16"/>
              </w:rPr>
              <w:t>0</w:t>
            </w:r>
          </w:p>
        </w:tc>
      </w:tr>
      <w:tr>
        <w:tc>
          <w:tcPr>
            <w:tcW w:type="dxa" w:w="1361"/>
          </w:tcPr>
          <w:p>
            <w:pPr>
              <w:spacing w:after="20"/>
            </w:pPr>
            <w:r/>
            <w:r>
              <w:rPr>
                <w:sz w:val="16"/>
              </w:rPr>
              <w:t>5 Kira kolu</w:t>
            </w:r>
          </w:p>
        </w:tc>
        <w:tc>
          <w:tcPr>
            <w:tcW w:type="dxa" w:w="1247"/>
            <w:shd w:val="clear" w:color="auto" w:fill="FCE4D6"/>
          </w:tcPr>
          <w:p>
            <w:pPr>
              <w:spacing w:after="20"/>
            </w:pPr>
            <w:r/>
            <w:r>
              <w:rPr>
                <w:sz w:val="16"/>
              </w:rPr>
              <w:t>kısmen</w:t>
            </w:r>
          </w:p>
        </w:tc>
        <w:tc>
          <w:tcPr>
            <w:tcW w:type="dxa" w:w="1814"/>
          </w:tcPr>
          <w:p>
            <w:pPr>
              <w:spacing w:after="20"/>
            </w:pPr>
            <w:r/>
            <w:r>
              <w:rPr>
                <w:sz w:val="16"/>
              </w:rPr>
              <w:t>Yapılabilir (H içi transfer)</w:t>
            </w:r>
          </w:p>
        </w:tc>
        <w:tc>
          <w:tcPr>
            <w:tcW w:type="dxa" w:w="2608"/>
          </w:tcPr>
          <w:p>
            <w:pPr>
              <w:spacing w:after="20"/>
            </w:pPr>
            <w:r/>
            <w:r>
              <w:rPr>
                <w:sz w:val="16"/>
              </w:rPr>
              <w:t xml:space="preserve">Yürütme %0,001–0,172/yıl (2026); transfer H içi, net 0 </w:t>
            </w:r>
            <w:r>
              <w:rPr>
                <w:b/>
                <w:color w:val="A05200"/>
                <w:sz w:val="16"/>
              </w:rPr>
              <w:t>[aday]</w:t>
            </w:r>
          </w:p>
        </w:tc>
        <w:tc>
          <w:tcPr>
            <w:tcW w:type="dxa" w:w="2041"/>
          </w:tcPr>
          <w:p>
            <w:pPr>
              <w:spacing w:after="20"/>
            </w:pPr>
            <w:r/>
            <w:r>
              <w:rPr>
                <w:sz w:val="16"/>
              </w:rPr>
              <w:t xml:space="preserve">Kiracı başına 4.783–10.291 TL/ay </w:t>
            </w:r>
            <w:r>
              <w:rPr>
                <w:b/>
                <w:color w:val="A05200"/>
                <w:sz w:val="16"/>
              </w:rPr>
              <w:t>[aday]</w:t>
            </w:r>
          </w:p>
        </w:tc>
      </w:tr>
      <w:tr>
        <w:tc>
          <w:tcPr>
            <w:tcW w:type="dxa" w:w="1361"/>
          </w:tcPr>
          <w:p>
            <w:pPr>
              <w:spacing w:after="20"/>
            </w:pPr>
            <w:r/>
            <w:r>
              <w:rPr>
                <w:sz w:val="16"/>
              </w:rPr>
              <w:t>Üç kural, en geniş kapsam (2027–31)</w:t>
            </w:r>
          </w:p>
        </w:tc>
        <w:tc>
          <w:tcPr>
            <w:tcW w:type="dxa" w:w="1247"/>
          </w:tcPr>
          <w:p>
            <w:pPr>
              <w:spacing w:after="20"/>
            </w:pPr>
            <w:r/>
            <w:r>
              <w:rPr>
                <w:sz w:val="16"/>
              </w:rPr>
              <w:t>—</w:t>
            </w:r>
          </w:p>
        </w:tc>
        <w:tc>
          <w:tcPr>
            <w:tcW w:type="dxa" w:w="1814"/>
          </w:tcPr>
          <w:p>
            <w:pPr>
              <w:spacing w:after="20"/>
            </w:pPr>
            <w:r/>
            <w:r>
              <w:rPr>
                <w:sz w:val="16"/>
              </w:rPr>
              <w:t>Adım tablosunun girdisi değil</w:t>
            </w:r>
          </w:p>
        </w:tc>
        <w:tc>
          <w:tcPr>
            <w:tcW w:type="dxa" w:w="2608"/>
          </w:tcPr>
          <w:p>
            <w:pPr>
              <w:spacing w:after="20"/>
            </w:pPr>
            <w:r/>
            <w:r>
              <w:rPr>
                <w:sz w:val="16"/>
              </w:rPr>
              <w:t xml:space="preserve">18.345,7 = %2,60 (ücret %1,93; K′ %0,67) </w:t>
            </w:r>
            <w:r>
              <w:rPr>
                <w:b/>
                <w:color w:val="0B6123"/>
                <w:sz w:val="16"/>
              </w:rPr>
              <w:t>[kanıt tutar; türetilmiş oran]</w:t>
            </w:r>
          </w:p>
        </w:tc>
        <w:tc>
          <w:tcPr>
            <w:tcW w:type="dxa" w:w="2041"/>
          </w:tcPr>
          <w:p>
            <w:pPr>
              <w:spacing w:after="20"/>
            </w:pPr>
            <w:r/>
            <w:r>
              <w:rPr>
                <w:sz w:val="16"/>
              </w:rPr>
              <w:t>—</w:t>
            </w:r>
          </w:p>
        </w:tc>
      </w:tr>
    </w:tbl>
    <w:p>
      <w:pPr>
        <w:spacing w:after="40"/>
      </w:pPr>
    </w:p>
    <w:p>
      <w:pPr>
        <w:jc w:val="both"/>
      </w:pPr>
      <w:r>
        <w:rPr>
          <w:b/>
        </w:rPr>
        <w:t xml:space="preserve">(89) </w:t>
      </w:r>
      <w:r>
        <w:t xml:space="preserve">Tablodaki maliyet satırları birbirine toplanmaz: Adım 1–2 stok ve tek seferliktir; Adım 3 ve 5 yıllık akıştır; Adım 4.5 tek seferliktir (ADIM45_MALIYET.md; BES_ADIM_MALIYET.md) </w:t>
      </w:r>
      <w:r>
        <w:rPr>
          <w:b/>
          <w:color w:val="0B6123"/>
          <w:sz w:val="18"/>
        </w:rPr>
        <w:t>[kanıt, kural]</w:t>
      </w:r>
      <w:r>
        <w:t xml:space="preserve">. Üç kural toplamı ayrı bir senaryonun kümülatif maliyet vekilidir ve kâr vekili muhasebe kârı değildir (MALIYET_KAR_ORANI.md) </w:t>
      </w:r>
      <w:r>
        <w:rPr>
          <w:b/>
          <w:color w:val="0B6123"/>
          <w:sz w:val="18"/>
        </w:rPr>
        <w:t>[kanıt]</w:t>
      </w:r>
      <w:r>
        <w:t>.</w:t>
      </w:r>
    </w:p>
    <w:p>
      <w:r>
        <w:br w:type="page"/>
      </w:r>
    </w:p>
    <w:p>
      <w:pPr>
        <w:pStyle w:val="Heading1"/>
      </w:pPr>
      <w:r>
        <w:t>13. Tedavi Bulgusu: Adım Başına Uygulanabilirlik Hükmü</w:t>
      </w:r>
    </w:p>
    <w:p>
      <w:pPr>
        <w:jc w:val="both"/>
      </w:pPr>
      <w:r>
        <w:rPr>
          <w:b/>
        </w:rPr>
        <w:t xml:space="preserve">(90) </w:t>
      </w:r>
      <w:r>
        <w:t>Bu bölüm bir politika önerisi değildir; teşhisten çıkan tedavi bulgusunu, her adımın kıstası ölçüsünde kayda geçirir. Adımlar paket olarak değil, kendi kıstaslarının karşılanma sırasına göre değerlendirilmelidir.</w:t>
      </w:r>
    </w:p>
    <w:p>
      <w:pPr>
        <w:keepNext/>
        <w:spacing w:after="40"/>
        <w:jc w:val="left"/>
      </w:pPr>
      <w:r>
        <w:rPr>
          <w:b/>
          <w:sz w:val="19"/>
        </w:rPr>
        <w:t>Tablo 13.1 — Tedavi bulgusu (kıstasın karşılanabilirlik sırasına göre)</w:t>
      </w:r>
    </w:p>
    <w:tbl>
      <w:tblPr>
        <w:tblStyle w:val="TableGrid"/>
        <w:tblW w:type="auto" w:w="0"/>
        <w:jc w:val="center"/>
        <w:tblLayout w:type="fixed"/>
        <w:tblLook w:firstColumn="1" w:firstRow="1" w:lastColumn="0" w:lastRow="0" w:noHBand="0" w:noVBand="1" w:val="04A0"/>
      </w:tblPr>
      <w:tblGrid>
        <w:gridCol w:w="567"/>
        <w:gridCol w:w="1474"/>
        <w:gridCol w:w="3402"/>
        <w:gridCol w:w="3628"/>
      </w:tblGrid>
      <w:tr>
        <w:trPr>
          <w:tblHeader w:val="true"/>
        </w:trPr>
        <w:tc>
          <w:tcPr>
            <w:tcW w:type="dxa" w:w="567"/>
            <w:shd w:val="clear" w:color="auto" w:fill="D9E2F3"/>
          </w:tcPr>
          <w:p>
            <w:r/>
            <w:r>
              <w:rPr>
                <w:b/>
                <w:sz w:val="17"/>
              </w:rPr>
              <w:t>Sıra</w:t>
            </w:r>
          </w:p>
        </w:tc>
        <w:tc>
          <w:tcPr>
            <w:tcW w:type="dxa" w:w="1474"/>
            <w:shd w:val="clear" w:color="auto" w:fill="D9E2F3"/>
          </w:tcPr>
          <w:p>
            <w:r/>
            <w:r>
              <w:rPr>
                <w:b/>
                <w:sz w:val="17"/>
              </w:rPr>
              <w:t>Adım</w:t>
            </w:r>
          </w:p>
        </w:tc>
        <w:tc>
          <w:tcPr>
            <w:tcW w:type="dxa" w:w="3402"/>
            <w:shd w:val="clear" w:color="auto" w:fill="D9E2F3"/>
          </w:tcPr>
          <w:p>
            <w:r/>
            <w:r>
              <w:rPr>
                <w:b/>
                <w:sz w:val="17"/>
              </w:rPr>
              <w:t>Uygulanabilirlik hükmü</w:t>
            </w:r>
          </w:p>
        </w:tc>
        <w:tc>
          <w:tcPr>
            <w:tcW w:type="dxa" w:w="3628"/>
            <w:shd w:val="clear" w:color="auto" w:fill="D9E2F3"/>
          </w:tcPr>
          <w:p>
            <w:r/>
            <w:r>
              <w:rPr>
                <w:b/>
                <w:sz w:val="17"/>
              </w:rPr>
              <w:t>Hükmün değişmesi için gereken</w:t>
            </w:r>
          </w:p>
        </w:tc>
      </w:tr>
      <w:tr>
        <w:tc>
          <w:tcPr>
            <w:tcW w:type="dxa" w:w="567"/>
          </w:tcPr>
          <w:p>
            <w:pPr>
              <w:spacing w:after="20"/>
            </w:pPr>
            <w:r/>
            <w:r>
              <w:rPr>
                <w:sz w:val="17"/>
              </w:rPr>
              <w:t>1</w:t>
            </w:r>
          </w:p>
        </w:tc>
        <w:tc>
          <w:tcPr>
            <w:tcW w:type="dxa" w:w="1474"/>
          </w:tcPr>
          <w:p>
            <w:pPr>
              <w:spacing w:after="20"/>
            </w:pPr>
            <w:r/>
            <w:r>
              <w:rPr>
                <w:sz w:val="17"/>
              </w:rPr>
              <w:t>Adım 1</w:t>
            </w:r>
          </w:p>
        </w:tc>
        <w:tc>
          <w:tcPr>
            <w:tcW w:type="dxa" w:w="3402"/>
          </w:tcPr>
          <w:p>
            <w:pPr>
              <w:spacing w:after="20"/>
            </w:pPr>
            <w:r/>
            <w:r>
              <w:rPr>
                <w:sz w:val="17"/>
              </w:rPr>
              <w:t>Kıstas sağlandığında tek başına uygulanabilir; teşhise doğrudan çare</w:t>
            </w:r>
          </w:p>
        </w:tc>
        <w:tc>
          <w:tcPr>
            <w:tcW w:type="dxa" w:w="3628"/>
          </w:tcPr>
          <w:p>
            <w:pPr>
              <w:spacing w:after="20"/>
            </w:pPr>
            <w:r/>
            <w:r>
              <w:rPr>
                <w:sz w:val="17"/>
              </w:rPr>
              <w:t>GİB e-fatura kimden-kime verisiyle ağ yoğunluğunun ölçülmesi; ulusal takas işleticisinin belirlenmesi; gönüllü pilot</w:t>
            </w:r>
          </w:p>
        </w:tc>
      </w:tr>
      <w:tr>
        <w:tc>
          <w:tcPr>
            <w:tcW w:type="dxa" w:w="567"/>
          </w:tcPr>
          <w:p>
            <w:pPr>
              <w:spacing w:after="20"/>
            </w:pPr>
            <w:r/>
            <w:r>
              <w:rPr>
                <w:sz w:val="17"/>
              </w:rPr>
              <w:t>2</w:t>
            </w:r>
          </w:p>
        </w:tc>
        <w:tc>
          <w:tcPr>
            <w:tcW w:type="dxa" w:w="1474"/>
          </w:tcPr>
          <w:p>
            <w:pPr>
              <w:spacing w:after="20"/>
            </w:pPr>
            <w:r/>
            <w:r>
              <w:rPr>
                <w:sz w:val="17"/>
              </w:rPr>
              <w:t>Adım 5</w:t>
            </w:r>
          </w:p>
        </w:tc>
        <w:tc>
          <w:tcPr>
            <w:tcW w:type="dxa" w:w="3402"/>
          </w:tcPr>
          <w:p>
            <w:pPr>
              <w:spacing w:after="20"/>
            </w:pPr>
            <w:r/>
            <w:r>
              <w:rPr>
                <w:sz w:val="17"/>
              </w:rPr>
              <w:t>Bağımsız dağılım aracı olarak uygulanabilir; borç kilidine etkisi ölçülmedi</w:t>
            </w:r>
          </w:p>
        </w:tc>
        <w:tc>
          <w:tcPr>
            <w:tcW w:type="dxa" w:w="3628"/>
          </w:tcPr>
          <w:p>
            <w:pPr>
              <w:spacing w:after="20"/>
            </w:pPr>
            <w:r/>
            <w:r>
              <w:rPr>
                <w:sz w:val="17"/>
              </w:rPr>
              <w:t>Konut havuzunun kurulması; hane bazlı kiracılık verisi; ev sahibi tepkisinin ölçülmesi</w:t>
            </w:r>
          </w:p>
        </w:tc>
      </w:tr>
      <w:tr>
        <w:tc>
          <w:tcPr>
            <w:tcW w:type="dxa" w:w="567"/>
          </w:tcPr>
          <w:p>
            <w:pPr>
              <w:spacing w:after="20"/>
            </w:pPr>
            <w:r/>
            <w:r>
              <w:rPr>
                <w:sz w:val="17"/>
              </w:rPr>
              <w:t>3</w:t>
            </w:r>
          </w:p>
        </w:tc>
        <w:tc>
          <w:tcPr>
            <w:tcW w:type="dxa" w:w="1474"/>
          </w:tcPr>
          <w:p>
            <w:pPr>
              <w:spacing w:after="20"/>
            </w:pPr>
            <w:r/>
            <w:r>
              <w:rPr>
                <w:sz w:val="17"/>
              </w:rPr>
              <w:t>Adım 3 (faiz durma bileşeni)</w:t>
            </w:r>
          </w:p>
        </w:tc>
        <w:tc>
          <w:tcPr>
            <w:tcW w:type="dxa" w:w="3402"/>
          </w:tcPr>
          <w:p>
            <w:pPr>
              <w:spacing w:after="20"/>
            </w:pPr>
            <w:r/>
            <w:r>
              <w:rPr>
                <w:sz w:val="17"/>
              </w:rPr>
              <w:t>Ödeyen hazne seçilirse ve κ küçük tutulursa transfer kuralı olarak uygulanabilir</w:t>
            </w:r>
          </w:p>
        </w:tc>
        <w:tc>
          <w:tcPr>
            <w:tcW w:type="dxa" w:w="3628"/>
          </w:tcPr>
          <w:p>
            <w:pPr>
              <w:spacing w:after="20"/>
            </w:pPr>
            <w:r/>
            <w:r>
              <w:rPr>
                <w:sz w:val="17"/>
              </w:rPr>
              <w:t>Kurumsal ödeyici kararı; faiz patikasının izlenmesi; birleşik stres koşulunda durdurma kuralı</w:t>
            </w:r>
          </w:p>
        </w:tc>
      </w:tr>
      <w:tr>
        <w:tc>
          <w:tcPr>
            <w:tcW w:type="dxa" w:w="567"/>
          </w:tcPr>
          <w:p>
            <w:pPr>
              <w:spacing w:after="20"/>
            </w:pPr>
            <w:r/>
            <w:r>
              <w:rPr>
                <w:sz w:val="17"/>
              </w:rPr>
              <w:t>4</w:t>
            </w:r>
          </w:p>
        </w:tc>
        <w:tc>
          <w:tcPr>
            <w:tcW w:type="dxa" w:w="1474"/>
          </w:tcPr>
          <w:p>
            <w:pPr>
              <w:spacing w:after="20"/>
            </w:pPr>
            <w:r/>
            <w:r>
              <w:rPr>
                <w:sz w:val="17"/>
              </w:rPr>
              <w:t>Adım 2</w:t>
            </w:r>
          </w:p>
        </w:tc>
        <w:tc>
          <w:tcPr>
            <w:tcW w:type="dxa" w:w="3402"/>
          </w:tcPr>
          <w:p>
            <w:pPr>
              <w:spacing w:after="20"/>
            </w:pPr>
            <w:r/>
            <w:r>
              <w:rPr>
                <w:sz w:val="17"/>
              </w:rPr>
              <w:t>Yalnız Adım 1’den sonra ve döviz koşulu karşılanırsa</w:t>
            </w:r>
          </w:p>
        </w:tc>
        <w:tc>
          <w:tcPr>
            <w:tcW w:type="dxa" w:w="3628"/>
          </w:tcPr>
          <w:p>
            <w:pPr>
              <w:spacing w:after="20"/>
            </w:pPr>
            <w:r/>
            <w:r>
              <w:rPr>
                <w:sz w:val="17"/>
              </w:rPr>
              <w:t>YP yükümlülüğünün ayrı araçla karşılanması; köprünün şok eşiğine göre boyutlanması</w:t>
            </w:r>
          </w:p>
        </w:tc>
      </w:tr>
      <w:tr>
        <w:tc>
          <w:tcPr>
            <w:tcW w:type="dxa" w:w="567"/>
          </w:tcPr>
          <w:p>
            <w:pPr>
              <w:spacing w:after="20"/>
            </w:pPr>
            <w:r/>
            <w:r>
              <w:rPr>
                <w:sz w:val="17"/>
              </w:rPr>
              <w:t>5</w:t>
            </w:r>
          </w:p>
        </w:tc>
        <w:tc>
          <w:tcPr>
            <w:tcW w:type="dxa" w:w="1474"/>
          </w:tcPr>
          <w:p>
            <w:pPr>
              <w:spacing w:after="20"/>
            </w:pPr>
            <w:r/>
            <w:r>
              <w:rPr>
                <w:sz w:val="17"/>
              </w:rPr>
              <w:t>Adım 4</w:t>
            </w:r>
          </w:p>
        </w:tc>
        <w:tc>
          <w:tcPr>
            <w:tcW w:type="dxa" w:w="3402"/>
          </w:tcPr>
          <w:p>
            <w:pPr>
              <w:spacing w:after="20"/>
            </w:pPr>
            <w:r/>
            <w:r>
              <w:rPr>
                <w:sz w:val="17"/>
              </w:rPr>
              <w:t>Bu veriyle karar verilemez</w:t>
            </w:r>
          </w:p>
        </w:tc>
        <w:tc>
          <w:tcPr>
            <w:tcW w:type="dxa" w:w="3628"/>
          </w:tcPr>
          <w:p>
            <w:pPr>
              <w:spacing w:after="20"/>
            </w:pPr>
            <w:r/>
            <w:r>
              <w:rPr>
                <w:sz w:val="17"/>
              </w:rPr>
              <w:t>Kredi katsayısının nedensel tahmini; R’nin ölçülmesi (fiziki endeks); K1–K5 kapılarının veriyle doğrulanması</w:t>
            </w:r>
          </w:p>
        </w:tc>
      </w:tr>
      <w:tr>
        <w:tc>
          <w:tcPr>
            <w:tcW w:type="dxa" w:w="567"/>
          </w:tcPr>
          <w:p>
            <w:pPr>
              <w:spacing w:after="20"/>
            </w:pPr>
            <w:r/>
            <w:r>
              <w:rPr>
                <w:sz w:val="17"/>
              </w:rPr>
              <w:t>—</w:t>
            </w:r>
          </w:p>
        </w:tc>
        <w:tc>
          <w:tcPr>
            <w:tcW w:type="dxa" w:w="1474"/>
          </w:tcPr>
          <w:p>
            <w:pPr>
              <w:spacing w:after="20"/>
            </w:pPr>
            <w:r/>
            <w:r>
              <w:rPr>
                <w:sz w:val="17"/>
              </w:rPr>
              <w:t>Adım 4.5</w:t>
            </w:r>
          </w:p>
        </w:tc>
        <w:tc>
          <w:tcPr>
            <w:tcW w:type="dxa" w:w="3402"/>
          </w:tcPr>
          <w:p>
            <w:pPr>
              <w:spacing w:after="20"/>
            </w:pPr>
            <w:r/>
            <w:r>
              <w:rPr>
                <w:sz w:val="17"/>
              </w:rPr>
              <w:t>Borç teşhisinden çıkarılmalı; ayrı proje</w:t>
            </w:r>
          </w:p>
        </w:tc>
        <w:tc>
          <w:tcPr>
            <w:tcW w:type="dxa" w:w="3628"/>
          </w:tcPr>
          <w:p>
            <w:pPr>
              <w:spacing w:after="20"/>
            </w:pPr>
            <w:r/>
            <w:r>
              <w:rPr>
                <w:sz w:val="17"/>
              </w:rPr>
              <w:t>Başka bir gerekçe (ödeme sistemi)</w:t>
            </w:r>
          </w:p>
        </w:tc>
      </w:tr>
    </w:tbl>
    <w:p>
      <w:pPr>
        <w:spacing w:after="40"/>
      </w:pPr>
    </w:p>
    <w:p>
      <w:pPr>
        <w:jc w:val="both"/>
      </w:pPr>
      <w:r>
        <w:rPr>
          <w:b/>
        </w:rPr>
        <w:t xml:space="preserve">(91) </w:t>
      </w:r>
      <w:r>
        <w:t xml:space="preserve">Sıra, adımların değerinden değil, kıstaslarının bugünkü veriyle ne kadar yakın olduğundan çıkarılmıştır </w:t>
      </w:r>
      <w:r>
        <w:rPr>
          <w:b/>
          <w:color w:val="A05200"/>
          <w:sz w:val="18"/>
        </w:rPr>
        <w:t>[aday, değerlendirme]</w:t>
      </w:r>
      <w:r>
        <w:t xml:space="preserve">. CIMER_METNI.md §11 sıranın riskin ve geri döndürülebilirliğin artışına göre seçildiğini ve istenirse adımların bağımsız uygulanabileceğini kaydeder </w:t>
      </w:r>
      <w:r>
        <w:rPr>
          <w:b/>
          <w:color w:val="0B6123"/>
          <w:sz w:val="18"/>
        </w:rPr>
        <w:t>[kanıt, metin]</w:t>
      </w:r>
      <w:r>
        <w:t>.</w:t>
      </w:r>
    </w:p>
    <w:p>
      <w:pPr>
        <w:pStyle w:val="Heading2"/>
      </w:pPr>
      <w:r>
        <w:t>13.1 Takvim</w:t>
      </w:r>
    </w:p>
    <w:p>
      <w:pPr>
        <w:jc w:val="both"/>
      </w:pPr>
      <w:r>
        <w:rPr>
          <w:b/>
        </w:rPr>
        <w:t xml:space="preserve">(92) </w:t>
      </w:r>
      <w:r>
        <w:t xml:space="preserve">Depodaki senaryo takvimi: K1 mahsup 2027-Q1–Q4; K2 stok 2028-Q1–Q4; K3 mevduat adresi 2029-Q1–Q4; Adım 4.5 2030-Q1–Q4; Adım 5’in penceresi yoktur (TEK_SISTEM_KADEME.md; ADIM45_BIRIM.md; YAPILABILIRLIK.md:32) </w:t>
      </w:r>
      <w:r>
        <w:rPr>
          <w:b/>
          <w:color w:val="0B6123"/>
          <w:sz w:val="18"/>
        </w:rPr>
        <w:t>[kanıt takvim; senaryo]</w:t>
      </w:r>
      <w:r>
        <w:t>.</w:t>
      </w:r>
    </w:p>
    <w:p>
      <w:pPr>
        <w:jc w:val="both"/>
      </w:pPr>
      <w:r>
        <w:rPr>
          <w:b/>
        </w:rPr>
        <w:t xml:space="preserve">(93) </w:t>
      </w:r>
      <w:r>
        <w:t xml:space="preserve">Görev metninde, önceki bir web araştırmasına dayanarak, ilk etkili uygulamanın en hızlı 12–15 ayda, olası olarak 18–30 ayda gerçekleşebileceği belirtilmiştir. Bu değerler depoda yazılı değildir ve bu belgede doğrulanmamıştır </w:t>
      </w:r>
      <w:r>
        <w:rPr>
          <w:b/>
          <w:color w:val="9B1010"/>
          <w:sz w:val="18"/>
        </w:rPr>
        <w:t>[depo dışı, aday]</w:t>
      </w:r>
      <w:r>
        <w:t xml:space="preserve">. Uluslararası kayıtta Slovenya’nın gönüllü sistemden (1991) zorunlu sisteme (2011) geçişi ve Republika Srpska’da yasanın (2014) ilk tura (30.10.2015) dönüşmesi, kurulum süresine ilişkin nitel bir referanstır (ULUSLARARASI_UYGULAMALAR.md) </w:t>
      </w:r>
      <w:r>
        <w:rPr>
          <w:b/>
          <w:color w:val="0B6123"/>
          <w:sz w:val="18"/>
        </w:rPr>
        <w:t>[kanıt, ikincil kaynak; süre çıkarımı aday]</w:t>
      </w:r>
      <w:r>
        <w:t>.</w:t>
      </w:r>
    </w:p>
    <w:p>
      <w:pPr>
        <w:pStyle w:val="Heading2"/>
      </w:pPr>
      <w:r>
        <w:t>13.2 Kurumsal görev dağılımı (aday)</w:t>
      </w:r>
    </w:p>
    <w:p>
      <w:pPr>
        <w:jc w:val="both"/>
      </w:pPr>
      <w:r>
        <w:rPr>
          <w:b/>
        </w:rPr>
        <w:t xml:space="preserve">(94) </w:t>
      </w:r>
      <w:r>
        <w:t xml:space="preserve">Kıstasların doğrulanma yolları dikkate alındığında: kimden-kime eşleşme verisi Gelir İdaresi Başkanlığı kayıtlarına; döviz maruziyeti ve köprü boyutlandırması TCMB ve BDDK’ya; faizin durmasında ödeyen hazne kararı Hazine ve Maliye Bakanlığı ile BDDK’ya; ödenmeyen emir bakiyeleri Muhasebat ve Sayıştay kayıtlarına; kiracılık verisi TÜİK’e düşmektedir. CIMER_METNI.md muhatap olarak HMB, TCMB ve BDDK’yı yazmaktadır </w:t>
      </w:r>
      <w:r>
        <w:rPr>
          <w:b/>
          <w:color w:val="0B6123"/>
          <w:sz w:val="18"/>
        </w:rPr>
        <w:t>[kanıt, metin; görev dağılımı aday]</w:t>
      </w:r>
      <w:r>
        <w:t>.</w:t>
      </w:r>
    </w:p>
    <w:p>
      <w:r>
        <w:br w:type="page"/>
      </w:r>
    </w:p>
    <w:p>
      <w:pPr>
        <w:pStyle w:val="Heading1"/>
      </w:pPr>
      <w:r>
        <w:t>14. Sınırlılıklar ve Ölçülmeyen Kalemler</w:t>
      </w:r>
    </w:p>
    <w:p>
      <w:pPr>
        <w:keepNext/>
        <w:spacing w:after="40"/>
        <w:jc w:val="left"/>
      </w:pPr>
      <w:r>
        <w:rPr>
          <w:b/>
          <w:sz w:val="19"/>
        </w:rPr>
        <w:t>Tablo 14.1 — Ölçülmeyen kalemler</w:t>
      </w:r>
    </w:p>
    <w:tbl>
      <w:tblPr>
        <w:tblStyle w:val="TableGrid"/>
        <w:tblW w:type="auto" w:w="0"/>
        <w:jc w:val="center"/>
        <w:tblLayout w:type="fixed"/>
        <w:tblLook w:firstColumn="1" w:firstRow="1" w:lastColumn="0" w:lastRow="0" w:noHBand="0" w:noVBand="1" w:val="04A0"/>
      </w:tblPr>
      <w:tblGrid>
        <w:gridCol w:w="2835"/>
        <w:gridCol w:w="2494"/>
        <w:gridCol w:w="1474"/>
        <w:gridCol w:w="2268"/>
      </w:tblGrid>
      <w:tr>
        <w:trPr>
          <w:tblHeader w:val="true"/>
        </w:trPr>
        <w:tc>
          <w:tcPr>
            <w:tcW w:type="dxa" w:w="2835"/>
            <w:shd w:val="clear" w:color="auto" w:fill="D9E2F3"/>
          </w:tcPr>
          <w:p>
            <w:r/>
            <w:r>
              <w:rPr>
                <w:b/>
                <w:sz w:val="17"/>
              </w:rPr>
              <w:t>Kalem</w:t>
            </w:r>
          </w:p>
        </w:tc>
        <w:tc>
          <w:tcPr>
            <w:tcW w:type="dxa" w:w="2494"/>
            <w:shd w:val="clear" w:color="auto" w:fill="D9E2F3"/>
          </w:tcPr>
          <w:p>
            <w:r/>
            <w:r>
              <w:rPr>
                <w:b/>
                <w:sz w:val="17"/>
              </w:rPr>
              <w:t>Durum</w:t>
            </w:r>
          </w:p>
        </w:tc>
        <w:tc>
          <w:tcPr>
            <w:tcW w:type="dxa" w:w="1474"/>
            <w:shd w:val="clear" w:color="auto" w:fill="D9E2F3"/>
          </w:tcPr>
          <w:p>
            <w:r/>
            <w:r>
              <w:rPr>
                <w:b/>
                <w:sz w:val="17"/>
              </w:rPr>
              <w:t>Etkilediği adım</w:t>
            </w:r>
          </w:p>
        </w:tc>
        <w:tc>
          <w:tcPr>
            <w:tcW w:type="dxa" w:w="2268"/>
            <w:shd w:val="clear" w:color="auto" w:fill="D9E2F3"/>
          </w:tcPr>
          <w:p>
            <w:r/>
            <w:r>
              <w:rPr>
                <w:b/>
                <w:sz w:val="17"/>
              </w:rPr>
              <w:t>Kaynak</w:t>
            </w:r>
          </w:p>
        </w:tc>
      </w:tr>
      <w:tr>
        <w:tc>
          <w:tcPr>
            <w:tcW w:type="dxa" w:w="2835"/>
          </w:tcPr>
          <w:p>
            <w:pPr>
              <w:spacing w:after="20"/>
            </w:pPr>
            <w:r/>
            <w:r>
              <w:rPr>
                <w:sz w:val="17"/>
              </w:rPr>
              <w:t>Firma düzeyi kimden-kime ağı</w:t>
            </w:r>
          </w:p>
        </w:tc>
        <w:tc>
          <w:tcPr>
            <w:tcW w:type="dxa" w:w="2494"/>
          </w:tcPr>
          <w:p>
            <w:pPr>
              <w:spacing w:after="20"/>
            </w:pPr>
            <w:r/>
            <w:r>
              <w:rPr>
                <w:sz w:val="17"/>
              </w:rPr>
              <w:t>Depoda yok</w:t>
            </w:r>
          </w:p>
        </w:tc>
        <w:tc>
          <w:tcPr>
            <w:tcW w:type="dxa" w:w="1474"/>
          </w:tcPr>
          <w:p>
            <w:pPr>
              <w:spacing w:after="20"/>
            </w:pPr>
            <w:r/>
            <w:r>
              <w:rPr>
                <w:sz w:val="17"/>
              </w:rPr>
              <w:t>1, 2, 4 (K5)</w:t>
            </w:r>
          </w:p>
        </w:tc>
        <w:tc>
          <w:tcPr>
            <w:tcW w:type="dxa" w:w="2268"/>
          </w:tcPr>
          <w:p>
            <w:pPr>
              <w:spacing w:after="20"/>
            </w:pPr>
            <w:r/>
            <w:r>
              <w:rPr>
                <w:sz w:val="17"/>
              </w:rPr>
              <w:t>ADIM1_NACE.md</w:t>
            </w:r>
          </w:p>
        </w:tc>
      </w:tr>
      <w:tr>
        <w:tc>
          <w:tcPr>
            <w:tcW w:type="dxa" w:w="2835"/>
          </w:tcPr>
          <w:p>
            <w:pPr>
              <w:spacing w:after="20"/>
            </w:pPr>
            <w:r/>
            <w:r>
              <w:rPr>
                <w:sz w:val="17"/>
              </w:rPr>
              <w:t>Kenar dağılımı</w:t>
            </w:r>
          </w:p>
        </w:tc>
        <w:tc>
          <w:tcPr>
            <w:tcW w:type="dxa" w:w="2494"/>
          </w:tcPr>
          <w:p>
            <w:pPr>
              <w:spacing w:after="20"/>
            </w:pPr>
            <w:r/>
            <w:r>
              <w:rPr>
                <w:sz w:val="17"/>
              </w:rPr>
              <w:t>Çekim/RAS varsayımı</w:t>
            </w:r>
          </w:p>
        </w:tc>
        <w:tc>
          <w:tcPr>
            <w:tcW w:type="dxa" w:w="1474"/>
          </w:tcPr>
          <w:p>
            <w:pPr>
              <w:spacing w:after="20"/>
            </w:pPr>
            <w:r/>
            <w:r>
              <w:rPr>
                <w:sz w:val="17"/>
              </w:rPr>
              <w:t>1, 2</w:t>
            </w:r>
          </w:p>
        </w:tc>
        <w:tc>
          <w:tcPr>
            <w:tcW w:type="dxa" w:w="2268"/>
          </w:tcPr>
          <w:p>
            <w:pPr>
              <w:spacing w:after="20"/>
            </w:pPr>
            <w:r/>
            <w:r>
              <w:rPr>
                <w:sz w:val="17"/>
              </w:rPr>
              <w:t>ADIM2_NACE_AG.md</w:t>
            </w:r>
          </w:p>
        </w:tc>
      </w:tr>
      <w:tr>
        <w:tc>
          <w:tcPr>
            <w:tcW w:type="dxa" w:w="2835"/>
          </w:tcPr>
          <w:p>
            <w:pPr>
              <w:spacing w:after="20"/>
            </w:pPr>
            <w:r/>
            <w:r>
              <w:rPr>
                <w:sz w:val="17"/>
              </w:rPr>
              <w:t>Ödeme zinciri</w:t>
            </w:r>
          </w:p>
        </w:tc>
        <w:tc>
          <w:tcPr>
            <w:tcW w:type="dxa" w:w="2494"/>
          </w:tcPr>
          <w:p>
            <w:pPr>
              <w:spacing w:after="20"/>
            </w:pPr>
            <w:r/>
            <w:r>
              <w:rPr>
                <w:sz w:val="17"/>
              </w:rPr>
              <w:t>Sentetik Monte Carlo; SFC matrisine bağlı değil</w:t>
            </w:r>
          </w:p>
        </w:tc>
        <w:tc>
          <w:tcPr>
            <w:tcW w:type="dxa" w:w="1474"/>
          </w:tcPr>
          <w:p>
            <w:pPr>
              <w:spacing w:after="20"/>
            </w:pPr>
            <w:r/>
            <w:r>
              <w:rPr>
                <w:sz w:val="17"/>
              </w:rPr>
              <w:t>2, lider/üst %10</w:t>
            </w:r>
          </w:p>
        </w:tc>
        <w:tc>
          <w:tcPr>
            <w:tcW w:type="dxa" w:w="2268"/>
          </w:tcPr>
          <w:p>
            <w:pPr>
              <w:spacing w:after="20"/>
            </w:pPr>
            <w:r/>
            <w:r>
              <w:rPr>
                <w:sz w:val="17"/>
              </w:rPr>
              <w:t>YAPILABILIRLIK.md:38</w:t>
            </w:r>
          </w:p>
        </w:tc>
      </w:tr>
      <w:tr>
        <w:tc>
          <w:tcPr>
            <w:tcW w:type="dxa" w:w="2835"/>
          </w:tcPr>
          <w:p>
            <w:pPr>
              <w:spacing w:after="20"/>
            </w:pPr>
            <w:r/>
            <w:r>
              <w:rPr>
                <w:sz w:val="17"/>
              </w:rPr>
              <w:t>Geçiş payı, vade dilimi, ödenmeyen emir kapıları</w:t>
            </w:r>
          </w:p>
        </w:tc>
        <w:tc>
          <w:tcPr>
            <w:tcW w:type="dxa" w:w="2494"/>
          </w:tcPr>
          <w:p>
            <w:pPr>
              <w:spacing w:after="20"/>
            </w:pPr>
            <w:r/>
            <w:r>
              <w:rPr>
                <w:sz w:val="17"/>
              </w:rPr>
              <w:t>Boş / bulunamadı</w:t>
            </w:r>
          </w:p>
        </w:tc>
        <w:tc>
          <w:tcPr>
            <w:tcW w:type="dxa" w:w="1474"/>
          </w:tcPr>
          <w:p>
            <w:pPr>
              <w:spacing w:after="20"/>
            </w:pPr>
            <w:r/>
            <w:r>
              <w:rPr>
                <w:sz w:val="17"/>
              </w:rPr>
              <w:t>2, 4</w:t>
            </w:r>
          </w:p>
        </w:tc>
        <w:tc>
          <w:tcPr>
            <w:tcW w:type="dxa" w:w="2268"/>
          </w:tcPr>
          <w:p>
            <w:pPr>
              <w:spacing w:after="20"/>
            </w:pPr>
            <w:r/>
            <w:r>
              <w:rPr>
                <w:sz w:val="17"/>
              </w:rPr>
              <w:t>BES_ADIM.md; VADELI_KALICILIK.md</w:t>
            </w:r>
          </w:p>
        </w:tc>
      </w:tr>
      <w:tr>
        <w:tc>
          <w:tcPr>
            <w:tcW w:type="dxa" w:w="2835"/>
          </w:tcPr>
          <w:p>
            <w:pPr>
              <w:spacing w:after="20"/>
            </w:pPr>
            <w:r/>
            <w:r>
              <w:rPr>
                <w:sz w:val="17"/>
              </w:rPr>
              <w:t>THKH bakiyesi</w:t>
            </w:r>
          </w:p>
        </w:tc>
        <w:tc>
          <w:tcPr>
            <w:tcW w:type="dxa" w:w="2494"/>
          </w:tcPr>
          <w:p>
            <w:pPr>
              <w:spacing w:after="20"/>
            </w:pPr>
            <w:r/>
            <w:r>
              <w:rPr>
                <w:sz w:val="17"/>
              </w:rPr>
              <w:t>Ayrılmadı; seri yok</w:t>
            </w:r>
          </w:p>
        </w:tc>
        <w:tc>
          <w:tcPr>
            <w:tcW w:type="dxa" w:w="1474"/>
          </w:tcPr>
          <w:p>
            <w:pPr>
              <w:spacing w:after="20"/>
            </w:pPr>
            <w:r/>
            <w:r>
              <w:rPr>
                <w:sz w:val="17"/>
              </w:rPr>
              <w:t>4 (yürütme kasası)</w:t>
            </w:r>
          </w:p>
        </w:tc>
        <w:tc>
          <w:tcPr>
            <w:tcW w:type="dxa" w:w="2268"/>
          </w:tcPr>
          <w:p>
            <w:pPr>
              <w:spacing w:after="20"/>
            </w:pPr>
            <w:r/>
            <w:r>
              <w:rPr>
                <w:sz w:val="17"/>
              </w:rPr>
              <w:t>LIDER_MEVDUAT.md</w:t>
            </w:r>
          </w:p>
        </w:tc>
      </w:tr>
      <w:tr>
        <w:tc>
          <w:tcPr>
            <w:tcW w:type="dxa" w:w="2835"/>
          </w:tcPr>
          <w:p>
            <w:pPr>
              <w:spacing w:after="20"/>
            </w:pPr>
            <w:r/>
            <w:r>
              <w:rPr>
                <w:sz w:val="17"/>
              </w:rPr>
              <w:t>Kredi katsayısı</w:t>
            </w:r>
          </w:p>
        </w:tc>
        <w:tc>
          <w:tcPr>
            <w:tcW w:type="dxa" w:w="2494"/>
          </w:tcPr>
          <w:p>
            <w:pPr>
              <w:spacing w:after="20"/>
            </w:pPr>
            <w:r/>
            <w:r>
              <w:rPr>
                <w:sz w:val="17"/>
              </w:rPr>
              <w:t>0,08–0,787; eş-hareket</w:t>
            </w:r>
          </w:p>
        </w:tc>
        <w:tc>
          <w:tcPr>
            <w:tcW w:type="dxa" w:w="1474"/>
          </w:tcPr>
          <w:p>
            <w:pPr>
              <w:spacing w:after="20"/>
            </w:pPr>
            <w:r/>
            <w:r>
              <w:rPr>
                <w:sz w:val="17"/>
              </w:rPr>
              <w:t>4</w:t>
            </w:r>
          </w:p>
        </w:tc>
        <w:tc>
          <w:tcPr>
            <w:tcW w:type="dxa" w:w="2268"/>
          </w:tcPr>
          <w:p>
            <w:pPr>
              <w:spacing w:after="20"/>
            </w:pPr>
            <w:r/>
            <w:r>
              <w:rPr>
                <w:sz w:val="17"/>
              </w:rPr>
              <w:t>rev_adim4_sonuc.json</w:t>
            </w:r>
          </w:p>
        </w:tc>
      </w:tr>
      <w:tr>
        <w:tc>
          <w:tcPr>
            <w:tcW w:type="dxa" w:w="2835"/>
          </w:tcPr>
          <w:p>
            <w:pPr>
              <w:spacing w:after="20"/>
            </w:pPr>
            <w:r/>
            <w:r>
              <w:rPr>
                <w:sz w:val="17"/>
              </w:rPr>
              <w:t>Gerçekleşen ithal ikamesi R; fiziki endeks</w:t>
            </w:r>
          </w:p>
        </w:tc>
        <w:tc>
          <w:tcPr>
            <w:tcW w:type="dxa" w:w="2494"/>
          </w:tcPr>
          <w:p>
            <w:pPr>
              <w:spacing w:after="20"/>
            </w:pPr>
            <w:r/>
            <w:r>
              <w:rPr>
                <w:sz w:val="17"/>
              </w:rPr>
              <w:t>Ölçülmedi; endeks 1,00</w:t>
            </w:r>
          </w:p>
        </w:tc>
        <w:tc>
          <w:tcPr>
            <w:tcW w:type="dxa" w:w="1474"/>
          </w:tcPr>
          <w:p>
            <w:pPr>
              <w:spacing w:after="20"/>
            </w:pPr>
            <w:r/>
            <w:r>
              <w:rPr>
                <w:sz w:val="17"/>
              </w:rPr>
              <w:t>4</w:t>
            </w:r>
          </w:p>
        </w:tc>
        <w:tc>
          <w:tcPr>
            <w:tcW w:type="dxa" w:w="2268"/>
          </w:tcPr>
          <w:p>
            <w:pPr>
              <w:spacing w:after="20"/>
            </w:pPr>
            <w:r/>
            <w:r>
              <w:rPr>
                <w:sz w:val="17"/>
              </w:rPr>
              <w:t>SENET_ANALIZ.md; SENET.md</w:t>
            </w:r>
          </w:p>
        </w:tc>
      </w:tr>
      <w:tr>
        <w:tc>
          <w:tcPr>
            <w:tcW w:type="dxa" w:w="2835"/>
          </w:tcPr>
          <w:p>
            <w:pPr>
              <w:spacing w:after="20"/>
            </w:pPr>
            <w:r/>
            <w:r>
              <w:rPr>
                <w:sz w:val="17"/>
              </w:rPr>
              <w:t>λ ve κ (tanıma hızı)</w:t>
            </w:r>
          </w:p>
        </w:tc>
        <w:tc>
          <w:tcPr>
            <w:tcW w:type="dxa" w:w="2494"/>
          </w:tcPr>
          <w:p>
            <w:pPr>
              <w:spacing w:after="20"/>
            </w:pPr>
            <w:r/>
            <w:r>
              <w:rPr>
                <w:sz w:val="17"/>
              </w:rPr>
              <w:t>Genel olarak tanımlanamaz</w:t>
            </w:r>
          </w:p>
        </w:tc>
        <w:tc>
          <w:tcPr>
            <w:tcW w:type="dxa" w:w="1474"/>
          </w:tcPr>
          <w:p>
            <w:pPr>
              <w:spacing w:after="20"/>
            </w:pPr>
            <w:r/>
            <w:r>
              <w:rPr>
                <w:sz w:val="17"/>
              </w:rPr>
              <w:t>2, 3</w:t>
            </w:r>
          </w:p>
        </w:tc>
        <w:tc>
          <w:tcPr>
            <w:tcW w:type="dxa" w:w="2268"/>
          </w:tcPr>
          <w:p>
            <w:pPr>
              <w:spacing w:after="20"/>
            </w:pPr>
            <w:r/>
            <w:r>
              <w:rPr>
                <w:sz w:val="17"/>
              </w:rPr>
              <w:t>MODEL_KUSURLARI.md; VARSAYIM_UYARISI.md</w:t>
            </w:r>
          </w:p>
        </w:tc>
      </w:tr>
      <w:tr>
        <w:tc>
          <w:tcPr>
            <w:tcW w:type="dxa" w:w="2835"/>
          </w:tcPr>
          <w:p>
            <w:pPr>
              <w:spacing w:after="20"/>
            </w:pPr>
            <w:r/>
            <w:r>
              <w:rPr>
                <w:sz w:val="17"/>
              </w:rPr>
              <w:t>ρ (yürütme oranı)</w:t>
            </w:r>
          </w:p>
        </w:tc>
        <w:tc>
          <w:tcPr>
            <w:tcW w:type="dxa" w:w="2494"/>
          </w:tcPr>
          <w:p>
            <w:pPr>
              <w:spacing w:after="20"/>
            </w:pPr>
            <w:r/>
            <w:r>
              <w:rPr>
                <w:sz w:val="17"/>
              </w:rPr>
              <w:t>İkincil kaynak, doğrulanmadı</w:t>
            </w:r>
          </w:p>
        </w:tc>
        <w:tc>
          <w:tcPr>
            <w:tcW w:type="dxa" w:w="1474"/>
          </w:tcPr>
          <w:p>
            <w:pPr>
              <w:spacing w:after="20"/>
            </w:pPr>
            <w:r/>
            <w:r>
              <w:rPr>
                <w:sz w:val="17"/>
              </w:rPr>
              <w:t>Tümü</w:t>
            </w:r>
          </w:p>
        </w:tc>
        <w:tc>
          <w:tcPr>
            <w:tcW w:type="dxa" w:w="2268"/>
          </w:tcPr>
          <w:p>
            <w:pPr>
              <w:spacing w:after="20"/>
            </w:pPr>
            <w:r/>
            <w:r>
              <w:rPr>
                <w:sz w:val="17"/>
              </w:rPr>
              <w:t>BES_ADIM_MALIYET.md</w:t>
            </w:r>
          </w:p>
        </w:tc>
      </w:tr>
      <w:tr>
        <w:tc>
          <w:tcPr>
            <w:tcW w:type="dxa" w:w="2835"/>
          </w:tcPr>
          <w:p>
            <w:pPr>
              <w:spacing w:after="20"/>
            </w:pPr>
            <w:r/>
            <w:r>
              <w:rPr>
                <w:sz w:val="17"/>
              </w:rPr>
              <w:t>2026 sonrası GSYH yolu</w:t>
            </w:r>
          </w:p>
        </w:tc>
        <w:tc>
          <w:tcPr>
            <w:tcW w:type="dxa" w:w="2494"/>
          </w:tcPr>
          <w:p>
            <w:pPr>
              <w:spacing w:after="20"/>
            </w:pPr>
            <w:r/>
            <w:r>
              <w:rPr>
                <w:sz w:val="17"/>
              </w:rPr>
              <w:t>Varsayım (reel %3)</w:t>
            </w:r>
          </w:p>
        </w:tc>
        <w:tc>
          <w:tcPr>
            <w:tcW w:type="dxa" w:w="1474"/>
          </w:tcPr>
          <w:p>
            <w:pPr>
              <w:spacing w:after="20"/>
            </w:pPr>
            <w:r/>
            <w:r>
              <w:rPr>
                <w:sz w:val="17"/>
              </w:rPr>
              <w:t>Tüm % GSYH satırları</w:t>
            </w:r>
          </w:p>
        </w:tc>
        <w:tc>
          <w:tcPr>
            <w:tcW w:type="dxa" w:w="2268"/>
          </w:tcPr>
          <w:p>
            <w:pPr>
              <w:spacing w:after="20"/>
            </w:pPr>
            <w:r/>
            <w:r>
              <w:rPr>
                <w:sz w:val="17"/>
              </w:rPr>
              <w:t>GSYH_PAY.md</w:t>
            </w:r>
          </w:p>
        </w:tc>
      </w:tr>
      <w:tr>
        <w:tc>
          <w:tcPr>
            <w:tcW w:type="dxa" w:w="2835"/>
          </w:tcPr>
          <w:p>
            <w:pPr>
              <w:spacing w:after="20"/>
            </w:pPr>
            <w:r/>
            <w:r>
              <w:rPr>
                <w:sz w:val="17"/>
              </w:rPr>
              <w:t>Davranış tepkileri (ahlaki tehlike, ev sahibi, mevduat sahibi)</w:t>
            </w:r>
          </w:p>
        </w:tc>
        <w:tc>
          <w:tcPr>
            <w:tcW w:type="dxa" w:w="2494"/>
          </w:tcPr>
          <w:p>
            <w:pPr>
              <w:spacing w:after="20"/>
            </w:pPr>
            <w:r/>
            <w:r>
              <w:rPr>
                <w:sz w:val="17"/>
              </w:rPr>
              <w:t>Modellenmedi</w:t>
            </w:r>
          </w:p>
        </w:tc>
        <w:tc>
          <w:tcPr>
            <w:tcW w:type="dxa" w:w="1474"/>
          </w:tcPr>
          <w:p>
            <w:pPr>
              <w:spacing w:after="20"/>
            </w:pPr>
            <w:r/>
            <w:r>
              <w:rPr>
                <w:sz w:val="17"/>
              </w:rPr>
              <w:t>1, 4, 5</w:t>
            </w:r>
          </w:p>
        </w:tc>
        <w:tc>
          <w:tcPr>
            <w:tcW w:type="dxa" w:w="2268"/>
          </w:tcPr>
          <w:p>
            <w:pPr>
              <w:spacing w:after="20"/>
            </w:pPr>
            <w:r/>
            <w:r>
              <w:rPr>
                <w:sz w:val="17"/>
              </w:rPr>
              <w:t>mahsup/README.md; CIMER_METNI.md §9, §11</w:t>
            </w:r>
          </w:p>
        </w:tc>
      </w:tr>
      <w:tr>
        <w:tc>
          <w:tcPr>
            <w:tcW w:type="dxa" w:w="2835"/>
          </w:tcPr>
          <w:p>
            <w:pPr>
              <w:spacing w:after="20"/>
            </w:pPr>
            <w:r/>
            <w:r>
              <w:rPr>
                <w:sz w:val="17"/>
              </w:rPr>
              <w:t>Kira kolu</w:t>
            </w:r>
          </w:p>
        </w:tc>
        <w:tc>
          <w:tcPr>
            <w:tcW w:type="dxa" w:w="2494"/>
          </w:tcPr>
          <w:p>
            <w:pPr>
              <w:spacing w:after="20"/>
            </w:pPr>
            <w:r/>
            <w:r>
              <w:rPr>
                <w:rFonts w:ascii="Consolas" w:hAnsi="Consolas"/>
                <w:sz w:val="19"/>
              </w:rPr>
              <w:t>olculmedi</w:t>
            </w:r>
          </w:p>
        </w:tc>
        <w:tc>
          <w:tcPr>
            <w:tcW w:type="dxa" w:w="1474"/>
          </w:tcPr>
          <w:p>
            <w:pPr>
              <w:spacing w:after="20"/>
            </w:pPr>
            <w:r/>
            <w:r>
              <w:rPr>
                <w:sz w:val="17"/>
              </w:rPr>
              <w:t>5</w:t>
            </w:r>
          </w:p>
        </w:tc>
        <w:tc>
          <w:tcPr>
            <w:tcW w:type="dxa" w:w="2268"/>
          </w:tcPr>
          <w:p>
            <w:pPr>
              <w:spacing w:after="20"/>
            </w:pPr>
            <w:r/>
            <w:r>
              <w:rPr>
                <w:sz w:val="17"/>
              </w:rPr>
              <w:t>adim5.csv; BES_ADIM.md</w:t>
            </w:r>
          </w:p>
        </w:tc>
      </w:tr>
      <w:tr>
        <w:tc>
          <w:tcPr>
            <w:tcW w:type="dxa" w:w="2835"/>
          </w:tcPr>
          <w:p>
            <w:pPr>
              <w:spacing w:after="20"/>
            </w:pPr>
            <w:r/>
            <w:r>
              <w:rPr>
                <w:sz w:val="17"/>
              </w:rPr>
              <w:t>Senet satırı</w:t>
            </w:r>
          </w:p>
        </w:tc>
        <w:tc>
          <w:tcPr>
            <w:tcW w:type="dxa" w:w="2494"/>
          </w:tcPr>
          <w:p>
            <w:pPr>
              <w:spacing w:after="20"/>
            </w:pPr>
            <w:r/>
            <w:r>
              <w:rPr>
                <w:rFonts w:ascii="Consolas" w:hAnsi="Consolas"/>
                <w:sz w:val="19"/>
              </w:rPr>
              <w:t>modellenmedi</w:t>
            </w:r>
            <w:r>
              <w:rPr>
                <w:sz w:val="17"/>
              </w:rPr>
              <w:t>; taslak kilit dışı</w:t>
            </w:r>
          </w:p>
        </w:tc>
        <w:tc>
          <w:tcPr>
            <w:tcW w:type="dxa" w:w="1474"/>
          </w:tcPr>
          <w:p>
            <w:pPr>
              <w:spacing w:after="20"/>
            </w:pPr>
            <w:r/>
            <w:r>
              <w:rPr>
                <w:sz w:val="17"/>
              </w:rPr>
              <w:t>4</w:t>
            </w:r>
          </w:p>
        </w:tc>
        <w:tc>
          <w:tcPr>
            <w:tcW w:type="dxa" w:w="2268"/>
          </w:tcPr>
          <w:p>
            <w:pPr>
              <w:spacing w:after="20"/>
            </w:pPr>
            <w:r/>
            <w:r>
              <w:rPr>
                <w:sz w:val="17"/>
              </w:rPr>
              <w:t>adim4.csv; senet_kilit.txt</w:t>
            </w:r>
          </w:p>
        </w:tc>
      </w:tr>
      <w:tr>
        <w:tc>
          <w:tcPr>
            <w:tcW w:type="dxa" w:w="2835"/>
          </w:tcPr>
          <w:p>
            <w:pPr>
              <w:spacing w:after="20"/>
            </w:pPr>
            <w:r/>
            <w:r>
              <w:rPr>
                <w:sz w:val="17"/>
              </w:rPr>
              <w:t>Hukuki dayanak</w:t>
            </w:r>
          </w:p>
        </w:tc>
        <w:tc>
          <w:tcPr>
            <w:tcW w:type="dxa" w:w="2494"/>
          </w:tcPr>
          <w:p>
            <w:pPr>
              <w:spacing w:after="20"/>
            </w:pPr>
            <w:r/>
            <w:r>
              <w:rPr>
                <w:sz w:val="17"/>
              </w:rPr>
              <w:t>Değerlendirilmedi</w:t>
            </w:r>
          </w:p>
        </w:tc>
        <w:tc>
          <w:tcPr>
            <w:tcW w:type="dxa" w:w="1474"/>
          </w:tcPr>
          <w:p>
            <w:pPr>
              <w:spacing w:after="20"/>
            </w:pPr>
            <w:r/>
            <w:r>
              <w:rPr>
                <w:sz w:val="17"/>
              </w:rPr>
              <w:t>Tümü</w:t>
            </w:r>
          </w:p>
        </w:tc>
        <w:tc>
          <w:tcPr>
            <w:tcW w:type="dxa" w:w="2268"/>
          </w:tcPr>
          <w:p>
            <w:pPr>
              <w:spacing w:after="20"/>
            </w:pPr>
            <w:r/>
            <w:r>
              <w:rPr>
                <w:sz w:val="17"/>
              </w:rPr>
              <w:t>CIMER_METNI.md §11</w:t>
            </w:r>
          </w:p>
        </w:tc>
      </w:tr>
    </w:tbl>
    <w:p>
      <w:pPr>
        <w:spacing w:after="40"/>
      </w:pPr>
    </w:p>
    <w:p>
      <w:pPr>
        <w:jc w:val="both"/>
      </w:pPr>
      <w:r>
        <w:rPr>
          <w:b/>
        </w:rPr>
        <w:t xml:space="preserve">(95) </w:t>
      </w:r>
      <w:r>
        <w:t xml:space="preserve">Model bir öngörü modeli değil, “mekanizma laboratuvarı”dır; asıl çıktısı rakamlar değil, zincirin hangi halkasının hangi koşulda koptuğudur (mahsup/README.md) </w:t>
      </w:r>
      <w:r>
        <w:rPr>
          <w:b/>
          <w:color w:val="0B6123"/>
          <w:sz w:val="18"/>
        </w:rPr>
        <w:t>[kanıt, metin]</w:t>
      </w:r>
      <w:r>
        <w:t xml:space="preserve">. Bu belgedeki hükümler de aynı nitelikte okunmalıdır: hükümler koşulların varlığını sınar, büyüklükleri öngörmez. README.md uyarınca iskelet her kaydın bir yerde oturmasını gösterir, tanımanın neden/ne zaman/nasıl olduğunu açıklamaz; F→K ~%24 bulgusu geri çekilmiştir </w:t>
      </w:r>
      <w:r>
        <w:rPr>
          <w:b/>
          <w:color w:val="0B6123"/>
          <w:sz w:val="18"/>
        </w:rPr>
        <w:t>[kanıt]</w:t>
      </w:r>
      <w:r>
        <w:t>.</w:t>
      </w:r>
    </w:p>
    <w:p>
      <w:pPr>
        <w:jc w:val="both"/>
      </w:pPr>
      <w:r>
        <w:rPr>
          <w:b/>
        </w:rPr>
        <w:t xml:space="preserve">(96) </w:t>
      </w:r>
      <w:r>
        <w:t xml:space="preserve">Enflasyon konusunda RAPOR.md:51 açıktır: sistem tek başına enflasyon programı değildir; ölçülmeden 20 vaadi verilmez </w:t>
      </w:r>
      <w:r>
        <w:rPr>
          <w:b/>
          <w:color w:val="0B6123"/>
          <w:sz w:val="18"/>
        </w:rPr>
        <w:t>[kanıt, metin]</w:t>
      </w:r>
      <w:r>
        <w:t>. Bu belge de herhangi bir enflasyon hedefi veya vaadi içermemektedir.</w:t>
      </w:r>
    </w:p>
    <w:p>
      <w:r>
        <w:br w:type="page"/>
      </w:r>
    </w:p>
    <w:p>
      <w:pPr>
        <w:pStyle w:val="Heading1"/>
      </w:pPr>
      <w:r>
        <w:t>Ek A. Denklemler</w:t>
      </w:r>
    </w:p>
    <w:tbl>
      <w:tblPr>
        <w:tblStyle w:val="TableGrid"/>
        <w:tblW w:type="auto" w:w="0"/>
        <w:jc w:val="center"/>
        <w:tblLayout w:type="fixed"/>
        <w:tblLook w:firstColumn="1" w:firstRow="1" w:lastColumn="0" w:lastRow="0" w:noHBand="0" w:noVBand="1" w:val="04A0"/>
      </w:tblPr>
      <w:tblGrid>
        <w:gridCol w:w="1928"/>
        <w:gridCol w:w="5102"/>
        <w:gridCol w:w="2041"/>
      </w:tblGrid>
      <w:tr>
        <w:trPr>
          <w:tblHeader w:val="true"/>
        </w:trPr>
        <w:tc>
          <w:tcPr>
            <w:tcW w:type="dxa" w:w="1928"/>
            <w:shd w:val="clear" w:color="auto" w:fill="D9E2F3"/>
          </w:tcPr>
          <w:p>
            <w:r/>
            <w:r>
              <w:rPr>
                <w:b/>
                <w:sz w:val="17"/>
              </w:rPr>
              <w:t>No</w:t>
            </w:r>
          </w:p>
        </w:tc>
        <w:tc>
          <w:tcPr>
            <w:tcW w:type="dxa" w:w="5102"/>
            <w:shd w:val="clear" w:color="auto" w:fill="D9E2F3"/>
          </w:tcPr>
          <w:p>
            <w:r/>
            <w:r>
              <w:rPr>
                <w:b/>
                <w:sz w:val="17"/>
              </w:rPr>
              <w:t>Denklem</w:t>
            </w:r>
          </w:p>
        </w:tc>
        <w:tc>
          <w:tcPr>
            <w:tcW w:type="dxa" w:w="2041"/>
            <w:shd w:val="clear" w:color="auto" w:fill="D9E2F3"/>
          </w:tcPr>
          <w:p>
            <w:r/>
            <w:r>
              <w:rPr>
                <w:b/>
                <w:sz w:val="17"/>
              </w:rPr>
              <w:t>Kaynak</w:t>
            </w:r>
          </w:p>
        </w:tc>
      </w:tr>
      <w:tr>
        <w:tc>
          <w:tcPr>
            <w:tcW w:type="dxa" w:w="1928"/>
          </w:tcPr>
          <w:p>
            <w:pPr>
              <w:spacing w:after="20"/>
            </w:pPr>
            <w:r/>
            <w:r>
              <w:rPr>
                <w:sz w:val="17"/>
              </w:rPr>
              <w:t>A.1 Stok-akış kimliği</w:t>
            </w:r>
          </w:p>
        </w:tc>
        <w:tc>
          <w:tcPr>
            <w:tcW w:type="dxa" w:w="5102"/>
          </w:tcPr>
          <w:p>
            <w:pPr>
              <w:spacing w:after="20"/>
            </w:pPr>
            <w:r/>
            <w:r>
              <w:rPr>
                <w:sz w:val="17"/>
              </w:rPr>
              <w:t>NFP_t = NFP_{t−1} + NL_t (işlem) + R_t (değerleme)</w:t>
            </w:r>
          </w:p>
        </w:tc>
        <w:tc>
          <w:tcPr>
            <w:tcW w:type="dxa" w:w="2041"/>
          </w:tcPr>
          <w:p>
            <w:pPr>
              <w:spacing w:after="20"/>
            </w:pPr>
            <w:r/>
            <w:r>
              <w:rPr>
                <w:sz w:val="17"/>
              </w:rPr>
              <w:t>README.md</w:t>
            </w:r>
          </w:p>
        </w:tc>
      </w:tr>
      <w:tr>
        <w:tc>
          <w:tcPr>
            <w:tcW w:type="dxa" w:w="1928"/>
          </w:tcPr>
          <w:p>
            <w:pPr>
              <w:spacing w:after="20"/>
            </w:pPr>
            <w:r/>
            <w:r>
              <w:rPr>
                <w:sz w:val="17"/>
              </w:rPr>
              <w:t>A.2 Optimal mahsup</w:t>
            </w:r>
          </w:p>
        </w:tc>
        <w:tc>
          <w:tcPr>
            <w:tcW w:type="dxa" w:w="5102"/>
          </w:tcPr>
          <w:p>
            <w:pPr>
              <w:spacing w:after="20"/>
            </w:pPr>
            <w:r/>
            <w:r>
              <w:rPr>
                <w:sz w:val="17"/>
              </w:rPr>
              <w:t>min Σ brüt borç; kısıt: her firmanın net pozisyonu sabit, mevcut kenarlar üzerinde akış</w:t>
            </w:r>
          </w:p>
        </w:tc>
        <w:tc>
          <w:tcPr>
            <w:tcW w:type="dxa" w:w="2041"/>
          </w:tcPr>
          <w:p>
            <w:pPr>
              <w:spacing w:after="20"/>
            </w:pPr>
            <w:r/>
            <w:r>
              <w:rPr>
                <w:sz w:val="17"/>
              </w:rPr>
              <w:t>mahsup/README.md</w:t>
            </w:r>
          </w:p>
        </w:tc>
      </w:tr>
      <w:tr>
        <w:tc>
          <w:tcPr>
            <w:tcW w:type="dxa" w:w="1928"/>
          </w:tcPr>
          <w:p>
            <w:pPr>
              <w:spacing w:after="20"/>
            </w:pPr>
            <w:r/>
            <w:r>
              <w:rPr>
                <w:sz w:val="17"/>
              </w:rPr>
              <w:t>A.3 Kilitli firma</w:t>
            </w:r>
          </w:p>
        </w:tc>
        <w:tc>
          <w:tcPr>
            <w:tcW w:type="dxa" w:w="5102"/>
          </w:tcPr>
          <w:p>
            <w:pPr>
              <w:spacing w:after="20"/>
            </w:pPr>
            <w:r/>
            <w:r>
              <w:rPr>
                <w:sz w:val="17"/>
              </w:rPr>
              <w:t>sıralı ödemede temerrüt ∧ Eisenberg–Noe takas vektöründe ödeme gücü yeterli</w:t>
            </w:r>
          </w:p>
        </w:tc>
        <w:tc>
          <w:tcPr>
            <w:tcW w:type="dxa" w:w="2041"/>
          </w:tcPr>
          <w:p>
            <w:pPr>
              <w:spacing w:after="20"/>
            </w:pPr>
            <w:r/>
            <w:r>
              <w:rPr>
                <w:sz w:val="17"/>
              </w:rPr>
              <w:t>mahsup/README.md</w:t>
            </w:r>
          </w:p>
        </w:tc>
      </w:tr>
      <w:tr>
        <w:tc>
          <w:tcPr>
            <w:tcW w:type="dxa" w:w="1928"/>
          </w:tcPr>
          <w:p>
            <w:pPr>
              <w:spacing w:after="20"/>
            </w:pPr>
            <w:r/>
            <w:r>
              <w:rPr>
                <w:sz w:val="17"/>
              </w:rPr>
              <w:t>A.4 Kur değerlemesi</w:t>
            </w:r>
          </w:p>
        </w:tc>
        <w:tc>
          <w:tcPr>
            <w:tcW w:type="dxa" w:w="5102"/>
          </w:tcPr>
          <w:p>
            <w:pPr>
              <w:spacing w:after="20"/>
            </w:pPr>
            <w:r/>
            <w:r>
              <w:rPr>
                <w:sz w:val="17"/>
              </w:rPr>
              <w:t>S = S₀·(1 + yp·δ);  yp′ = yp·(1+δ)/(1 + yp·δ);  artış = s₀·yp·δ = 25.339,7608 × 0,544366 × 0,1929 = 2.660,88</w:t>
            </w:r>
          </w:p>
        </w:tc>
        <w:tc>
          <w:tcPr>
            <w:tcW w:type="dxa" w:w="2041"/>
          </w:tcPr>
          <w:p>
            <w:pPr>
              <w:spacing w:after="20"/>
            </w:pPr>
            <w:r/>
            <w:r>
              <w:rPr>
                <w:sz w:val="17"/>
              </w:rPr>
              <w:t>YAPILABILIRLIK.md:45; SENET_ANALIZ.md:5</w:t>
            </w:r>
          </w:p>
        </w:tc>
      </w:tr>
      <w:tr>
        <w:tc>
          <w:tcPr>
            <w:tcW w:type="dxa" w:w="1928"/>
          </w:tcPr>
          <w:p>
            <w:pPr>
              <w:spacing w:after="20"/>
            </w:pPr>
            <w:r/>
            <w:r>
              <w:rPr>
                <w:sz w:val="17"/>
              </w:rPr>
              <w:t>A.5 β tavanı</w:t>
            </w:r>
          </w:p>
        </w:tc>
        <w:tc>
          <w:tcPr>
            <w:tcW w:type="dxa" w:w="5102"/>
          </w:tcPr>
          <w:p>
            <w:pPr>
              <w:spacing w:after="20"/>
            </w:pPr>
            <w:r/>
            <w:r>
              <w:rPr>
                <w:sz w:val="17"/>
              </w:rPr>
              <w:t>β̄ = Σücret_aylık / (Σticari borç + Σücret_aylık) = 0,0439</w:t>
            </w:r>
          </w:p>
        </w:tc>
        <w:tc>
          <w:tcPr>
            <w:tcW w:type="dxa" w:w="2041"/>
          </w:tcPr>
          <w:p>
            <w:pPr>
              <w:spacing w:after="20"/>
            </w:pPr>
            <w:r/>
            <w:r>
              <w:rPr>
                <w:sz w:val="17"/>
              </w:rPr>
              <w:t>ADIM2_NACE_AG.md</w:t>
            </w:r>
          </w:p>
        </w:tc>
      </w:tr>
      <w:tr>
        <w:tc>
          <w:tcPr>
            <w:tcW w:type="dxa" w:w="1928"/>
          </w:tcPr>
          <w:p>
            <w:pPr>
              <w:spacing w:after="20"/>
            </w:pPr>
            <w:r/>
            <w:r>
              <w:rPr>
                <w:sz w:val="17"/>
              </w:rPr>
              <w:t>A.6 Faizin durması</w:t>
            </w:r>
          </w:p>
        </w:tc>
        <w:tc>
          <w:tcPr>
            <w:tcW w:type="dxa" w:w="5102"/>
          </w:tcPr>
          <w:p>
            <w:pPr>
              <w:spacing w:after="20"/>
            </w:pPr>
            <w:r/>
            <w:r>
              <w:rPr>
                <w:sz w:val="17"/>
              </w:rPr>
              <w:t>D_t = κ·u₂,t·S₀;  I_t = ψ·(r_t/4)·D_t;  NL_F += I_t;  NL_ödeyen −= I_t;  ΣNL = 0</w:t>
            </w:r>
          </w:p>
        </w:tc>
        <w:tc>
          <w:tcPr>
            <w:tcW w:type="dxa" w:w="2041"/>
          </w:tcPr>
          <w:p>
            <w:pPr>
              <w:spacing w:after="20"/>
            </w:pPr>
            <w:r/>
            <w:r>
              <w:rPr>
                <w:sz w:val="17"/>
              </w:rPr>
              <w:t>ADIM3_FAIZ_DURMA.md</w:t>
            </w:r>
          </w:p>
        </w:tc>
      </w:tr>
      <w:tr>
        <w:tc>
          <w:tcPr>
            <w:tcW w:type="dxa" w:w="1928"/>
          </w:tcPr>
          <w:p>
            <w:pPr>
              <w:spacing w:after="20"/>
            </w:pPr>
            <w:r/>
            <w:r>
              <w:rPr>
                <w:sz w:val="17"/>
              </w:rPr>
              <w:t>A.7 ψ</w:t>
            </w:r>
          </w:p>
        </w:tc>
        <w:tc>
          <w:tcPr>
            <w:tcW w:type="dxa" w:w="5102"/>
          </w:tcPr>
          <w:p>
            <w:pPr>
              <w:spacing w:after="20"/>
            </w:pPr>
            <w:r/>
            <w:r>
              <w:rPr>
                <w:sz w:val="17"/>
              </w:rPr>
              <w:t>ψ = 3.143,4 / (0,6038 × 14.527,5) = 0,3584</w:t>
            </w:r>
          </w:p>
        </w:tc>
        <w:tc>
          <w:tcPr>
            <w:tcW w:type="dxa" w:w="2041"/>
          </w:tcPr>
          <w:p>
            <w:pPr>
              <w:spacing w:after="20"/>
            </w:pPr>
            <w:r/>
            <w:r>
              <w:rPr>
                <w:sz w:val="17"/>
              </w:rPr>
              <w:t>ADIM3_FAIZ_DURMA.md</w:t>
            </w:r>
          </w:p>
        </w:tc>
      </w:tr>
      <w:tr>
        <w:tc>
          <w:tcPr>
            <w:tcW w:type="dxa" w:w="1928"/>
          </w:tcPr>
          <w:p>
            <w:pPr>
              <w:spacing w:after="20"/>
            </w:pPr>
            <w:r/>
            <w:r>
              <w:rPr>
                <w:sz w:val="17"/>
              </w:rPr>
              <w:t>A.8 Adres ihraç (eski band)</w:t>
            </w:r>
          </w:p>
        </w:tc>
        <w:tc>
          <w:tcPr>
            <w:tcW w:type="dxa" w:w="5102"/>
          </w:tcPr>
          <w:p>
            <w:pPr>
              <w:spacing w:after="20"/>
            </w:pPr>
            <w:r/>
            <w:r>
              <w:rPr>
                <w:sz w:val="17"/>
              </w:rPr>
              <w:t>İhraç_t = θ · 19.361,9 · Δu₃,t;  kredi daralması = B′ mevduat kaybı × 0,08</w:t>
            </w:r>
          </w:p>
        </w:tc>
        <w:tc>
          <w:tcPr>
            <w:tcW w:type="dxa" w:w="2041"/>
          </w:tcPr>
          <w:p>
            <w:pPr>
              <w:spacing w:after="20"/>
            </w:pPr>
            <w:r/>
            <w:r>
              <w:rPr>
                <w:sz w:val="17"/>
              </w:rPr>
              <w:t>ADIM4_ADRES_YONLENDIRME.md</w:t>
            </w:r>
          </w:p>
        </w:tc>
      </w:tr>
      <w:tr>
        <w:tc>
          <w:tcPr>
            <w:tcW w:type="dxa" w:w="1928"/>
          </w:tcPr>
          <w:p>
            <w:pPr>
              <w:spacing w:after="20"/>
            </w:pPr>
            <w:r/>
            <w:r>
              <w:rPr>
                <w:sz w:val="17"/>
              </w:rPr>
              <w:t>A.9 Kademe (taslak)</w:t>
            </w:r>
          </w:p>
        </w:tc>
        <w:tc>
          <w:tcPr>
            <w:tcW w:type="dxa" w:w="5102"/>
          </w:tcPr>
          <w:p>
            <w:pPr>
              <w:spacing w:after="20"/>
            </w:pPr>
            <w:r/>
            <w:r>
              <w:rPr>
                <w:sz w:val="17"/>
              </w:rPr>
              <w:t>M_t = θ·A;  F_stok = M;  F_akım = M/4;  nakit_i += F·w_i/Σw</w:t>
            </w:r>
          </w:p>
        </w:tc>
        <w:tc>
          <w:tcPr>
            <w:tcW w:type="dxa" w:w="2041"/>
          </w:tcPr>
          <w:p>
            <w:pPr>
              <w:spacing w:after="20"/>
            </w:pPr>
            <w:r/>
            <w:r>
              <w:rPr>
                <w:sz w:val="17"/>
              </w:rPr>
              <w:t>analiz/senet/bacak.py</w:t>
            </w:r>
          </w:p>
        </w:tc>
      </w:tr>
      <w:tr>
        <w:tc>
          <w:tcPr>
            <w:tcW w:type="dxa" w:w="1928"/>
          </w:tcPr>
          <w:p>
            <w:pPr>
              <w:spacing w:after="20"/>
            </w:pPr>
            <w:r/>
            <w:r>
              <w:rPr>
                <w:sz w:val="17"/>
              </w:rPr>
              <w:t>A.10 Prim</w:t>
            </w:r>
          </w:p>
        </w:tc>
        <w:tc>
          <w:tcPr>
            <w:tcW w:type="dxa" w:w="5102"/>
          </w:tcPr>
          <w:p>
            <w:pPr>
              <w:spacing w:after="20"/>
            </w:pPr>
            <w:r/>
            <w:r>
              <w:rPr>
                <w:sz w:val="17"/>
              </w:rPr>
              <w:t>Π = τ · min(π·M, R);  τ = 0 veya R = 0 ⇒ Π = 0;  NL_H = +Π, NL_D = −Π</w:t>
            </w:r>
          </w:p>
        </w:tc>
        <w:tc>
          <w:tcPr>
            <w:tcW w:type="dxa" w:w="2041"/>
          </w:tcPr>
          <w:p>
            <w:pPr>
              <w:spacing w:after="20"/>
            </w:pPr>
            <w:r/>
            <w:r>
              <w:rPr>
                <w:sz w:val="17"/>
              </w:rPr>
              <w:t>analiz/senet/bacak.py; SENET_ANALIZ.md</w:t>
            </w:r>
          </w:p>
        </w:tc>
      </w:tr>
      <w:tr>
        <w:tc>
          <w:tcPr>
            <w:tcW w:type="dxa" w:w="1928"/>
          </w:tcPr>
          <w:p>
            <w:pPr>
              <w:spacing w:after="20"/>
            </w:pPr>
            <w:r/>
            <w:r>
              <w:rPr>
                <w:sz w:val="17"/>
              </w:rPr>
              <w:t>A.11 Eşik oranı</w:t>
            </w:r>
          </w:p>
        </w:tc>
        <w:tc>
          <w:tcPr>
            <w:tcW w:type="dxa" w:w="5102"/>
          </w:tcPr>
          <w:p>
            <w:pPr>
              <w:spacing w:after="20"/>
            </w:pPr>
            <w:r/>
            <w:r>
              <w:rPr>
                <w:sz w:val="17"/>
              </w:rPr>
              <w:t>θ* = F* / A;  tam ağ: 46,7747 / 12.722,5 = 0,0037</w:t>
            </w:r>
          </w:p>
        </w:tc>
        <w:tc>
          <w:tcPr>
            <w:tcW w:type="dxa" w:w="2041"/>
          </w:tcPr>
          <w:p>
            <w:pPr>
              <w:spacing w:after="20"/>
            </w:pPr>
            <w:r/>
            <w:r>
              <w:rPr>
                <w:sz w:val="17"/>
              </w:rPr>
              <w:t>SENET_ANALIZ.md:69</w:t>
            </w:r>
          </w:p>
        </w:tc>
      </w:tr>
      <w:tr>
        <w:tc>
          <w:tcPr>
            <w:tcW w:type="dxa" w:w="1928"/>
          </w:tcPr>
          <w:p>
            <w:pPr>
              <w:spacing w:after="20"/>
            </w:pPr>
            <w:r/>
            <w:r>
              <w:rPr>
                <w:sz w:val="17"/>
              </w:rPr>
              <w:t>A.12 Yeni fiat TL</w:t>
            </w:r>
          </w:p>
        </w:tc>
        <w:tc>
          <w:tcPr>
            <w:tcW w:type="dxa" w:w="5102"/>
          </w:tcPr>
          <w:p>
            <w:pPr>
              <w:spacing w:after="20"/>
            </w:pPr>
            <w:r/>
            <w:r>
              <w:rPr>
                <w:sz w:val="17"/>
              </w:rPr>
              <w:t>TL_yeni = TL_eski · (1 + u·(λ−1));  kur_yeni = λ·kur_eski;  USD stok ×1</w:t>
            </w:r>
          </w:p>
        </w:tc>
        <w:tc>
          <w:tcPr>
            <w:tcW w:type="dxa" w:w="2041"/>
          </w:tcPr>
          <w:p>
            <w:pPr>
              <w:spacing w:after="20"/>
            </w:pPr>
            <w:r/>
            <w:r>
              <w:rPr>
                <w:sz w:val="17"/>
              </w:rPr>
              <w:t>ADIM45_BIRIM.md</w:t>
            </w:r>
          </w:p>
        </w:tc>
      </w:tr>
      <w:tr>
        <w:tc>
          <w:tcPr>
            <w:tcW w:type="dxa" w:w="1928"/>
          </w:tcPr>
          <w:p>
            <w:pPr>
              <w:spacing w:after="20"/>
            </w:pPr>
            <w:r/>
            <w:r>
              <w:rPr>
                <w:sz w:val="17"/>
              </w:rPr>
              <w:t>A.13 Kira</w:t>
            </w:r>
          </w:p>
        </w:tc>
        <w:tc>
          <w:tcPr>
            <w:tcW w:type="dxa" w:w="5102"/>
          </w:tcPr>
          <w:p>
            <w:pPr>
              <w:spacing w:after="20"/>
            </w:pPr>
            <w:r/>
            <w:r>
              <w:rPr>
                <w:sz w:val="17"/>
              </w:rPr>
              <w:t>Akış = b × m² × N × κ × 12;  Transfer = (piyasa − havuz) × kiracı hane × pay × 12</w:t>
            </w:r>
          </w:p>
        </w:tc>
        <w:tc>
          <w:tcPr>
            <w:tcW w:type="dxa" w:w="2041"/>
          </w:tcPr>
          <w:p>
            <w:pPr>
              <w:spacing w:after="20"/>
            </w:pPr>
            <w:r/>
            <w:r>
              <w:rPr>
                <w:sz w:val="17"/>
              </w:rPr>
              <w:t>ADIM5_KIRA.md</w:t>
            </w:r>
          </w:p>
        </w:tc>
      </w:tr>
      <w:tr>
        <w:tc>
          <w:tcPr>
            <w:tcW w:type="dxa" w:w="1928"/>
          </w:tcPr>
          <w:p>
            <w:pPr>
              <w:spacing w:after="20"/>
            </w:pPr>
            <w:r/>
            <w:r>
              <w:rPr>
                <w:sz w:val="17"/>
              </w:rPr>
              <w:t>A.14 Yürütme maliyeti</w:t>
            </w:r>
          </w:p>
        </w:tc>
        <w:tc>
          <w:tcPr>
            <w:tcW w:type="dxa" w:w="5102"/>
          </w:tcPr>
          <w:p>
            <w:pPr>
              <w:spacing w:after="20"/>
            </w:pPr>
            <w:r/>
            <w:r>
              <w:rPr>
                <w:sz w:val="17"/>
              </w:rPr>
              <w:t>Yürütme = program akışı × ρ;  ρ ∈ {%0,4; %9; %25; %29}</w:t>
            </w:r>
          </w:p>
        </w:tc>
        <w:tc>
          <w:tcPr>
            <w:tcW w:type="dxa" w:w="2041"/>
          </w:tcPr>
          <w:p>
            <w:pPr>
              <w:spacing w:after="20"/>
            </w:pPr>
            <w:r/>
            <w:r>
              <w:rPr>
                <w:sz w:val="17"/>
              </w:rPr>
              <w:t>BES_ADIM_MALIYET.md</w:t>
            </w:r>
          </w:p>
        </w:tc>
      </w:tr>
      <w:tr>
        <w:tc>
          <w:tcPr>
            <w:tcW w:type="dxa" w:w="1928"/>
          </w:tcPr>
          <w:p>
            <w:pPr>
              <w:spacing w:after="20"/>
            </w:pPr>
            <w:r/>
            <w:r>
              <w:rPr>
                <w:sz w:val="17"/>
              </w:rPr>
              <w:t>A.15 GSYH payı</w:t>
            </w:r>
          </w:p>
        </w:tc>
        <w:tc>
          <w:tcPr>
            <w:tcW w:type="dxa" w:w="5102"/>
          </w:tcPr>
          <w:p>
            <w:pPr>
              <w:spacing w:after="20"/>
            </w:pPr>
            <w:r/>
            <w:r>
              <w:rPr>
                <w:sz w:val="17"/>
              </w:rPr>
              <w:t>GSYH_t = GSYH_{t−1} × (1 + TÜFE_t) × 1,03 (2026 sonrası, aday)</w:t>
            </w:r>
          </w:p>
        </w:tc>
        <w:tc>
          <w:tcPr>
            <w:tcW w:type="dxa" w:w="2041"/>
          </w:tcPr>
          <w:p>
            <w:pPr>
              <w:spacing w:after="20"/>
            </w:pPr>
            <w:r/>
            <w:r>
              <w:rPr>
                <w:sz w:val="17"/>
              </w:rPr>
              <w:t>GSYH_PAY.md</w:t>
            </w:r>
          </w:p>
        </w:tc>
      </w:tr>
    </w:tbl>
    <w:p>
      <w:pPr>
        <w:spacing w:after="40"/>
      </w:pPr>
    </w:p>
    <w:p>
      <w:pPr>
        <w:pStyle w:val="Heading1"/>
      </w:pPr>
      <w:r>
        <w:t>Ek B. Kaynak Dosyalar</w:t>
      </w:r>
    </w:p>
    <w:p>
      <w:pPr>
        <w:jc w:val="both"/>
      </w:pPr>
      <w:r>
        <w:t>Depo: https://github.com/saydamonur2002-tech/zarar-teorisi (main, 371d99e). Okunan başlıca dosyalar:</w:t>
      </w:r>
    </w:p>
    <w:p>
      <w:pPr>
        <w:pStyle w:val="ListBullet"/>
        <w:jc w:val="both"/>
      </w:pPr>
      <w:r>
        <w:rPr>
          <w:rFonts w:ascii="Consolas" w:hAnsi="Consolas"/>
          <w:sz w:val="19"/>
        </w:rPr>
        <w:t>README.md</w:t>
      </w:r>
    </w:p>
    <w:p>
      <w:pPr>
        <w:pStyle w:val="ListBullet"/>
        <w:jc w:val="both"/>
      </w:pPr>
      <w:r>
        <w:rPr>
          <w:rFonts w:ascii="Consolas" w:hAnsi="Consolas"/>
          <w:sz w:val="19"/>
        </w:rPr>
        <w:t>BES_ADIM.md</w:t>
      </w:r>
    </w:p>
    <w:p>
      <w:pPr>
        <w:pStyle w:val="ListBullet"/>
        <w:jc w:val="both"/>
      </w:pPr>
      <w:r>
        <w:rPr>
          <w:rFonts w:ascii="Consolas" w:hAnsi="Consolas"/>
          <w:sz w:val="19"/>
        </w:rPr>
        <w:t>BES_ADIM_MALIYET.md</w:t>
      </w:r>
    </w:p>
    <w:p>
      <w:pPr>
        <w:pStyle w:val="ListBullet"/>
        <w:jc w:val="both"/>
      </w:pPr>
      <w:r>
        <w:rPr>
          <w:rFonts w:ascii="Consolas" w:hAnsi="Consolas"/>
          <w:sz w:val="19"/>
        </w:rPr>
        <w:t>YAPILABILIRLIK.md</w:t>
      </w:r>
    </w:p>
    <w:p>
      <w:pPr>
        <w:pStyle w:val="ListBullet"/>
        <w:jc w:val="both"/>
      </w:pPr>
      <w:r>
        <w:rPr>
          <w:rFonts w:ascii="Consolas" w:hAnsi="Consolas"/>
          <w:sz w:val="19"/>
        </w:rPr>
        <w:t>model/RAPOR.md</w:t>
      </w:r>
    </w:p>
    <w:p>
      <w:pPr>
        <w:pStyle w:val="ListBullet"/>
        <w:jc w:val="both"/>
      </w:pPr>
      <w:r>
        <w:rPr>
          <w:rFonts w:ascii="Consolas" w:hAnsi="Consolas"/>
          <w:sz w:val="19"/>
        </w:rPr>
        <w:t>TEK_SISTEM.md</w:t>
      </w:r>
    </w:p>
    <w:p>
      <w:pPr>
        <w:pStyle w:val="ListBullet"/>
        <w:jc w:val="both"/>
      </w:pPr>
      <w:r>
        <w:rPr>
          <w:rFonts w:ascii="Consolas" w:hAnsi="Consolas"/>
          <w:sz w:val="19"/>
        </w:rPr>
        <w:t>TEK_SISTEM_KADEME.md</w:t>
      </w:r>
    </w:p>
    <w:p>
      <w:pPr>
        <w:pStyle w:val="ListBullet"/>
        <w:jc w:val="both"/>
      </w:pPr>
      <w:r>
        <w:rPr>
          <w:rFonts w:ascii="Consolas" w:hAnsi="Consolas"/>
          <w:sz w:val="19"/>
        </w:rPr>
        <w:t>ADIM1_NACE.md</w:t>
      </w:r>
    </w:p>
    <w:p>
      <w:pPr>
        <w:pStyle w:val="ListBullet"/>
        <w:jc w:val="both"/>
      </w:pPr>
      <w:r>
        <w:rPr>
          <w:rFonts w:ascii="Consolas" w:hAnsi="Consolas"/>
          <w:sz w:val="19"/>
        </w:rPr>
        <w:t>ADIM2_NACE_AG.md</w:t>
      </w:r>
    </w:p>
    <w:p>
      <w:pPr>
        <w:pStyle w:val="ListBullet"/>
        <w:jc w:val="both"/>
      </w:pPr>
      <w:r>
        <w:rPr>
          <w:rFonts w:ascii="Consolas" w:hAnsi="Consolas"/>
          <w:sz w:val="19"/>
        </w:rPr>
        <w:t>ADIM3_FAIZ_DURMA.md</w:t>
      </w:r>
    </w:p>
    <w:p>
      <w:pPr>
        <w:pStyle w:val="ListBullet"/>
        <w:jc w:val="both"/>
      </w:pPr>
      <w:r>
        <w:rPr>
          <w:rFonts w:ascii="Consolas" w:hAnsi="Consolas"/>
          <w:sz w:val="19"/>
        </w:rPr>
        <w:t>ODEME_ZINCIRI.md</w:t>
      </w:r>
    </w:p>
    <w:p>
      <w:pPr>
        <w:pStyle w:val="ListBullet"/>
        <w:jc w:val="both"/>
      </w:pPr>
      <w:r>
        <w:rPr>
          <w:rFonts w:ascii="Consolas" w:hAnsi="Consolas"/>
          <w:sz w:val="19"/>
        </w:rPr>
        <w:t>mahsup/README.md</w:t>
      </w:r>
    </w:p>
    <w:p>
      <w:pPr>
        <w:pStyle w:val="ListBullet"/>
        <w:jc w:val="both"/>
      </w:pPr>
      <w:r>
        <w:rPr>
          <w:rFonts w:ascii="Consolas" w:hAnsi="Consolas"/>
          <w:sz w:val="19"/>
        </w:rPr>
        <w:t>ADIM4_ADRES_YONLENDIRME.md</w:t>
      </w:r>
    </w:p>
    <w:p>
      <w:pPr>
        <w:pStyle w:val="ListBullet"/>
        <w:jc w:val="both"/>
      </w:pPr>
      <w:r>
        <w:rPr>
          <w:rFonts w:ascii="Consolas" w:hAnsi="Consolas"/>
          <w:sz w:val="19"/>
        </w:rPr>
        <w:t>ADIM45_BIRIM.md</w:t>
      </w:r>
    </w:p>
    <w:p>
      <w:pPr>
        <w:pStyle w:val="ListBullet"/>
        <w:jc w:val="both"/>
      </w:pPr>
      <w:r>
        <w:rPr>
          <w:rFonts w:ascii="Consolas" w:hAnsi="Consolas"/>
          <w:sz w:val="19"/>
        </w:rPr>
        <w:t>ADIM45_MALIYET.md</w:t>
      </w:r>
    </w:p>
    <w:p>
      <w:pPr>
        <w:pStyle w:val="ListBullet"/>
        <w:jc w:val="both"/>
      </w:pPr>
      <w:r>
        <w:rPr>
          <w:rFonts w:ascii="Consolas" w:hAnsi="Consolas"/>
          <w:sz w:val="19"/>
        </w:rPr>
        <w:t>ADIM5_KIRA.md</w:t>
      </w:r>
    </w:p>
    <w:p>
      <w:pPr>
        <w:pStyle w:val="ListBullet"/>
        <w:jc w:val="both"/>
      </w:pPr>
      <w:r>
        <w:rPr>
          <w:rFonts w:ascii="Consolas" w:hAnsi="Consolas"/>
          <w:sz w:val="19"/>
        </w:rPr>
        <w:t>CIMER_METNI.md</w:t>
      </w:r>
    </w:p>
    <w:p>
      <w:pPr>
        <w:pStyle w:val="ListBullet"/>
        <w:jc w:val="both"/>
      </w:pPr>
      <w:r>
        <w:rPr>
          <w:rFonts w:ascii="Consolas" w:hAnsi="Consolas"/>
          <w:sz w:val="19"/>
        </w:rPr>
        <w:t>DOVIZ_EGILIM.md</w:t>
      </w:r>
    </w:p>
    <w:p>
      <w:pPr>
        <w:pStyle w:val="ListBullet"/>
        <w:jc w:val="both"/>
      </w:pPr>
      <w:r>
        <w:rPr>
          <w:rFonts w:ascii="Consolas" w:hAnsi="Consolas"/>
          <w:sz w:val="19"/>
        </w:rPr>
        <w:t>LIDER_MEVDUAT.md</w:t>
      </w:r>
    </w:p>
    <w:p>
      <w:pPr>
        <w:pStyle w:val="ListBullet"/>
        <w:jc w:val="both"/>
      </w:pPr>
      <w:r>
        <w:rPr>
          <w:rFonts w:ascii="Consolas" w:hAnsi="Consolas"/>
          <w:sz w:val="19"/>
        </w:rPr>
        <w:t>VADELI_KALICILIK.md</w:t>
      </w:r>
    </w:p>
    <w:p>
      <w:pPr>
        <w:pStyle w:val="ListBullet"/>
        <w:jc w:val="both"/>
      </w:pPr>
      <w:r>
        <w:rPr>
          <w:rFonts w:ascii="Consolas" w:hAnsi="Consolas"/>
          <w:sz w:val="19"/>
        </w:rPr>
        <w:t>hekis_model/data/SENET.md</w:t>
      </w:r>
    </w:p>
    <w:p>
      <w:pPr>
        <w:pStyle w:val="ListBullet"/>
        <w:jc w:val="both"/>
      </w:pPr>
      <w:r>
        <w:rPr>
          <w:rFonts w:ascii="Consolas" w:hAnsi="Consolas"/>
          <w:sz w:val="19"/>
        </w:rPr>
        <w:t>hekis_model/README.md</w:t>
      </w:r>
    </w:p>
    <w:p>
      <w:pPr>
        <w:pStyle w:val="ListBullet"/>
        <w:jc w:val="both"/>
      </w:pPr>
      <w:r>
        <w:rPr>
          <w:rFonts w:ascii="Consolas" w:hAnsi="Consolas"/>
          <w:sz w:val="19"/>
        </w:rPr>
        <w:t>GSYH_PAY.md</w:t>
      </w:r>
    </w:p>
    <w:p>
      <w:pPr>
        <w:pStyle w:val="ListBullet"/>
        <w:jc w:val="both"/>
      </w:pPr>
      <w:r>
        <w:rPr>
          <w:rFonts w:ascii="Consolas" w:hAnsi="Consolas"/>
          <w:sz w:val="19"/>
        </w:rPr>
        <w:t>gsyh_pay.csv</w:t>
      </w:r>
    </w:p>
    <w:p>
      <w:pPr>
        <w:pStyle w:val="ListBullet"/>
        <w:jc w:val="both"/>
      </w:pPr>
      <w:r>
        <w:rPr>
          <w:rFonts w:ascii="Consolas" w:hAnsi="Consolas"/>
          <w:sz w:val="19"/>
        </w:rPr>
        <w:t>MALIYET_KAR_ORANI.md</w:t>
      </w:r>
    </w:p>
    <w:p>
      <w:pPr>
        <w:pStyle w:val="ListBullet"/>
        <w:jc w:val="both"/>
      </w:pPr>
      <w:r>
        <w:rPr>
          <w:rFonts w:ascii="Consolas" w:hAnsi="Consolas"/>
          <w:sz w:val="19"/>
        </w:rPr>
        <w:t>maliyet_kar_orani.csv</w:t>
      </w:r>
    </w:p>
    <w:p>
      <w:pPr>
        <w:pStyle w:val="ListBullet"/>
        <w:jc w:val="both"/>
      </w:pPr>
      <w:r>
        <w:rPr>
          <w:rFonts w:ascii="Consolas" w:hAnsi="Consolas"/>
          <w:sz w:val="19"/>
        </w:rPr>
        <w:t>ULUSLARARASI_UYGULAMALAR.md</w:t>
      </w:r>
    </w:p>
    <w:p>
      <w:pPr>
        <w:pStyle w:val="ListBullet"/>
        <w:jc w:val="both"/>
      </w:pPr>
      <w:r>
        <w:rPr>
          <w:rFonts w:ascii="Consolas" w:hAnsi="Consolas"/>
          <w:sz w:val="19"/>
        </w:rPr>
        <w:t>VAYSIS_INCELEME.md</w:t>
      </w:r>
    </w:p>
    <w:p>
      <w:pPr>
        <w:pStyle w:val="ListBullet"/>
        <w:jc w:val="both"/>
      </w:pPr>
      <w:r>
        <w:rPr>
          <w:rFonts w:ascii="Consolas" w:hAnsi="Consolas"/>
          <w:sz w:val="19"/>
        </w:rPr>
        <w:t>rev_adim1_sonuc.json</w:t>
      </w:r>
    </w:p>
    <w:p>
      <w:pPr>
        <w:pStyle w:val="ListBullet"/>
        <w:jc w:val="both"/>
      </w:pPr>
      <w:r>
        <w:rPr>
          <w:rFonts w:ascii="Consolas" w:hAnsi="Consolas"/>
          <w:sz w:val="19"/>
        </w:rPr>
        <w:t>rev_adim2_sonuc.json</w:t>
      </w:r>
    </w:p>
    <w:p>
      <w:pPr>
        <w:pStyle w:val="ListBullet"/>
        <w:jc w:val="both"/>
      </w:pPr>
      <w:r>
        <w:rPr>
          <w:rFonts w:ascii="Consolas" w:hAnsi="Consolas"/>
          <w:sz w:val="19"/>
        </w:rPr>
        <w:t>rev_adim3_sonuc.json</w:t>
      </w:r>
    </w:p>
    <w:p>
      <w:pPr>
        <w:pStyle w:val="ListBullet"/>
        <w:jc w:val="both"/>
      </w:pPr>
      <w:r>
        <w:rPr>
          <w:rFonts w:ascii="Consolas" w:hAnsi="Consolas"/>
          <w:sz w:val="19"/>
        </w:rPr>
        <w:t>rev_adim4_sonuc.json</w:t>
      </w:r>
    </w:p>
    <w:p>
      <w:pPr>
        <w:pStyle w:val="ListBullet"/>
        <w:jc w:val="both"/>
      </w:pPr>
      <w:r>
        <w:rPr>
          <w:rFonts w:ascii="Consolas" w:hAnsi="Consolas"/>
          <w:sz w:val="19"/>
        </w:rPr>
        <w:t>rev_adim45_sonuc.json</w:t>
      </w:r>
    </w:p>
    <w:p>
      <w:pPr>
        <w:pStyle w:val="ListBullet"/>
        <w:jc w:val="both"/>
      </w:pPr>
      <w:r>
        <w:rPr>
          <w:rFonts w:ascii="Consolas" w:hAnsi="Consolas"/>
          <w:sz w:val="19"/>
        </w:rPr>
        <w:t>rev_sok.py</w:t>
      </w:r>
    </w:p>
    <w:p>
      <w:pPr>
        <w:pStyle w:val="ListBullet"/>
        <w:jc w:val="both"/>
      </w:pPr>
      <w:r>
        <w:rPr>
          <w:rFonts w:ascii="Consolas" w:hAnsi="Consolas"/>
          <w:sz w:val="19"/>
        </w:rPr>
        <w:t>analiz/senet/SENET_ANALIZ.md (PR #29)</w:t>
      </w:r>
    </w:p>
    <w:p>
      <w:pPr>
        <w:pStyle w:val="ListBullet"/>
        <w:jc w:val="both"/>
      </w:pPr>
      <w:r>
        <w:rPr>
          <w:rFonts w:ascii="Consolas" w:hAnsi="Consolas"/>
          <w:sz w:val="19"/>
        </w:rPr>
        <w:t>analiz/senet/rant.py, rant_sonuc.json</w:t>
      </w:r>
    </w:p>
    <w:p>
      <w:pPr>
        <w:pStyle w:val="ListBullet"/>
        <w:jc w:val="both"/>
      </w:pPr>
      <w:r>
        <w:rPr>
          <w:rFonts w:ascii="Consolas" w:hAnsi="Consolas"/>
          <w:sz w:val="19"/>
        </w:rPr>
        <w:t>analiz/senet/bacak.py</w:t>
      </w:r>
    </w:p>
    <w:p>
      <w:pPr>
        <w:pStyle w:val="ListBullet"/>
        <w:jc w:val="both"/>
      </w:pPr>
      <w:r>
        <w:rPr>
          <w:rFonts w:ascii="Consolas" w:hAnsi="Consolas"/>
          <w:sz w:val="19"/>
        </w:rPr>
        <w:t>analiz/senet/patika_sonuc.json</w:t>
      </w:r>
    </w:p>
    <w:p>
      <w:pPr>
        <w:pStyle w:val="ListBullet"/>
        <w:jc w:val="both"/>
      </w:pPr>
      <w:r>
        <w:rPr>
          <w:rFonts w:ascii="Consolas" w:hAnsi="Consolas"/>
          <w:sz w:val="19"/>
        </w:rPr>
        <w:t>analiz/senet/olcek_sonuc.json</w:t>
      </w:r>
    </w:p>
    <w:p>
      <w:pPr>
        <w:pStyle w:val="ListBullet"/>
        <w:jc w:val="both"/>
      </w:pPr>
      <w:r>
        <w:rPr>
          <w:rFonts w:ascii="Consolas" w:hAnsi="Consolas"/>
          <w:sz w:val="19"/>
        </w:rPr>
        <w:t>analiz/senet/prim_tavan_sonuc.json</w:t>
      </w:r>
    </w:p>
    <w:p>
      <w:pPr>
        <w:pStyle w:val="ListBullet"/>
        <w:jc w:val="both"/>
      </w:pPr>
      <w:r>
        <w:rPr>
          <w:rFonts w:ascii="Consolas" w:hAnsi="Consolas"/>
          <w:sz w:val="19"/>
        </w:rPr>
        <w:t>analiz/senet/fx_durdur_sonuc.json</w:t>
      </w:r>
    </w:p>
    <w:p>
      <w:pPr>
        <w:jc w:val="both"/>
      </w:pPr>
      <w:r>
        <w:t>Dış referanslar (depo içinden aktarılan): Fleischman, Dini &amp; Littera (2020); Eisenberg &amp; Noe (2001); Ickes &amp; Ryterman (1992); Stodder (2009) (mahsup/README.md). Ticaret Bakanlığı, Ekonomik Görünüm Aralık 2025 (SENET_ANALIZ.md). TCMB EVDS; Sektör Bilançoları 2024; TÜİK ADNKS 2025.</w:t>
      </w:r>
    </w:p>
    <w:p>
      <w:pPr>
        <w:pStyle w:val="Heading1"/>
      </w:pPr>
      <w:r>
        <w:t>Ek C. Görev Metnindeki Değerlerin Depo ile Mutabakatı</w:t>
      </w:r>
    </w:p>
    <w:p>
      <w:pPr>
        <w:keepNext/>
        <w:spacing w:after="40"/>
        <w:jc w:val="left"/>
      </w:pPr>
      <w:r>
        <w:rPr>
          <w:b/>
          <w:sz w:val="19"/>
        </w:rPr>
        <w:t>Tablo C.1 — Mutabakat</w:t>
      </w:r>
    </w:p>
    <w:tbl>
      <w:tblPr>
        <w:tblStyle w:val="TableGrid"/>
        <w:tblW w:type="auto" w:w="0"/>
        <w:jc w:val="center"/>
        <w:tblLayout w:type="fixed"/>
        <w:tblLook w:firstColumn="1" w:firstRow="1" w:lastColumn="0" w:lastRow="0" w:noHBand="0" w:noVBand="1" w:val="04A0"/>
      </w:tblPr>
      <w:tblGrid>
        <w:gridCol w:w="3061"/>
        <w:gridCol w:w="3402"/>
        <w:gridCol w:w="2608"/>
      </w:tblGrid>
      <w:tr>
        <w:trPr>
          <w:tblHeader w:val="true"/>
        </w:trPr>
        <w:tc>
          <w:tcPr>
            <w:tcW w:type="dxa" w:w="3061"/>
            <w:shd w:val="clear" w:color="auto" w:fill="D9E2F3"/>
          </w:tcPr>
          <w:p>
            <w:r/>
            <w:r>
              <w:rPr>
                <w:b/>
                <w:sz w:val="16"/>
              </w:rPr>
              <w:t>Görev metnindeki değer</w:t>
            </w:r>
          </w:p>
        </w:tc>
        <w:tc>
          <w:tcPr>
            <w:tcW w:type="dxa" w:w="3402"/>
            <w:shd w:val="clear" w:color="auto" w:fill="D9E2F3"/>
          </w:tcPr>
          <w:p>
            <w:r/>
            <w:r>
              <w:rPr>
                <w:b/>
                <w:sz w:val="16"/>
              </w:rPr>
              <w:t>Depodaki karşılık</w:t>
            </w:r>
          </w:p>
        </w:tc>
        <w:tc>
          <w:tcPr>
            <w:tcW w:type="dxa" w:w="2608"/>
            <w:shd w:val="clear" w:color="auto" w:fill="D9E2F3"/>
          </w:tcPr>
          <w:p>
            <w:r/>
            <w:r>
              <w:rPr>
                <w:b/>
                <w:sz w:val="16"/>
              </w:rPr>
              <w:t>Durum</w:t>
            </w:r>
          </w:p>
        </w:tc>
      </w:tr>
      <w:tr>
        <w:tc>
          <w:tcPr>
            <w:tcW w:type="dxa" w:w="3061"/>
          </w:tcPr>
          <w:p>
            <w:pPr>
              <w:spacing w:after="20"/>
            </w:pPr>
            <w:r/>
            <w:r>
              <w:rPr>
                <w:sz w:val="16"/>
              </w:rPr>
              <w:t>En geniş kapsam maliyeti 18.442 milyar TL = %2,61 (ücret %1,93; K′ %0,68)</w:t>
            </w:r>
          </w:p>
        </w:tc>
        <w:tc>
          <w:tcPr>
            <w:tcW w:type="dxa" w:w="3402"/>
          </w:tcPr>
          <w:p>
            <w:pPr>
              <w:spacing w:after="20"/>
            </w:pPr>
            <w:r/>
            <w:r>
              <w:rPr>
                <w:sz w:val="16"/>
              </w:rPr>
              <w:t>18.345,7 (13.647,3 + 4.698,4) (MALIYET_KAR_ORANI.md); /705.996,2 = %2,60 (%1,93; %0,67)</w:t>
            </w:r>
          </w:p>
        </w:tc>
        <w:tc>
          <w:tcPr>
            <w:tcW w:type="dxa" w:w="2608"/>
          </w:tcPr>
          <w:p>
            <w:pPr>
              <w:spacing w:after="20"/>
            </w:pPr>
            <w:r/>
            <w:r>
              <w:rPr>
                <w:sz w:val="16"/>
              </w:rPr>
              <w:t xml:space="preserve">Farklı. 18.442,0 = 13.648,2 + 4.793,8 depoda yok; önceki çevrimdışı ve commit edilmemiş koşu </w:t>
            </w:r>
            <w:r>
              <w:rPr>
                <w:b/>
                <w:color w:val="9B1010"/>
                <w:sz w:val="16"/>
              </w:rPr>
              <w:t>[depo dışı]</w:t>
            </w:r>
            <w:r>
              <w:rPr>
                <w:sz w:val="16"/>
              </w:rPr>
              <w:t>. Belgede depo değeri esas alındı.</w:t>
            </w:r>
          </w:p>
        </w:tc>
      </w:tr>
      <w:tr>
        <w:tc>
          <w:tcPr>
            <w:tcW w:type="dxa" w:w="3061"/>
          </w:tcPr>
          <w:p>
            <w:pPr>
              <w:spacing w:after="20"/>
            </w:pPr>
            <w:r/>
            <w:r>
              <w:rPr>
                <w:sz w:val="16"/>
              </w:rPr>
              <w:t>Tam ağ 7 temerrüt, köprü 443,87</w:t>
            </w:r>
          </w:p>
        </w:tc>
        <w:tc>
          <w:tcPr>
            <w:tcW w:type="dxa" w:w="3402"/>
          </w:tcPr>
          <w:p>
            <w:pPr>
              <w:spacing w:after="20"/>
            </w:pPr>
            <w:r/>
            <w:r>
              <w:rPr>
                <w:sz w:val="16"/>
              </w:rPr>
              <w:t>SENET_ANALIZ.md:54</w:t>
            </w:r>
          </w:p>
        </w:tc>
        <w:tc>
          <w:tcPr>
            <w:tcW w:type="dxa" w:w="2608"/>
          </w:tcPr>
          <w:p>
            <w:pPr>
              <w:spacing w:after="20"/>
            </w:pPr>
            <w:r/>
            <w:r>
              <w:rPr>
                <w:sz w:val="16"/>
              </w:rPr>
              <w:t>Uyumlu</w:t>
            </w:r>
          </w:p>
        </w:tc>
      </w:tr>
      <w:tr>
        <w:tc>
          <w:tcPr>
            <w:tcW w:type="dxa" w:w="3061"/>
          </w:tcPr>
          <w:p>
            <w:pPr>
              <w:spacing w:after="20"/>
            </w:pPr>
            <w:r/>
            <w:r>
              <w:rPr>
                <w:sz w:val="16"/>
              </w:rPr>
              <w:t>Yoğunluk 0,25 ortanca 13 temerrüt, 4,81 trilyon</w:t>
            </w:r>
          </w:p>
        </w:tc>
        <w:tc>
          <w:tcPr>
            <w:tcW w:type="dxa" w:w="3402"/>
          </w:tcPr>
          <w:p>
            <w:pPr>
              <w:spacing w:after="20"/>
            </w:pPr>
            <w:r/>
            <w:r>
              <w:rPr>
                <w:sz w:val="16"/>
              </w:rPr>
              <w:t>SENET_ANALIZ.md (fx_durdur tablosu): ortanca 13, 4.810,19</w:t>
            </w:r>
          </w:p>
        </w:tc>
        <w:tc>
          <w:tcPr>
            <w:tcW w:type="dxa" w:w="2608"/>
          </w:tcPr>
          <w:p>
            <w:pPr>
              <w:spacing w:after="20"/>
            </w:pPr>
            <w:r/>
            <w:r>
              <w:rPr>
                <w:sz w:val="16"/>
              </w:rPr>
              <w:t>Uyumlu</w:t>
            </w:r>
          </w:p>
        </w:tc>
      </w:tr>
      <w:tr>
        <w:tc>
          <w:tcPr>
            <w:tcW w:type="dxa" w:w="3061"/>
          </w:tcPr>
          <w:p>
            <w:pPr>
              <w:spacing w:after="20"/>
            </w:pPr>
            <w:r/>
            <w:r>
              <w:rPr>
                <w:sz w:val="16"/>
              </w:rPr>
              <w:t>Mahsup köprüyü 8.956 → 46,8’e indirir</w:t>
            </w:r>
          </w:p>
        </w:tc>
        <w:tc>
          <w:tcPr>
            <w:tcW w:type="dxa" w:w="3402"/>
          </w:tcPr>
          <w:p>
            <w:pPr>
              <w:spacing w:after="20"/>
            </w:pPr>
            <w:r/>
            <w:r>
              <w:rPr>
                <w:sz w:val="16"/>
              </w:rPr>
              <w:t>Depoda yazılı değil; yerel koşu 8.956,38 → 46,77 (Ek D)</w:t>
            </w:r>
          </w:p>
        </w:tc>
        <w:tc>
          <w:tcPr>
            <w:tcW w:type="dxa" w:w="2608"/>
          </w:tcPr>
          <w:p>
            <w:pPr>
              <w:spacing w:after="20"/>
            </w:pPr>
            <w:r/>
            <w:r>
              <w:rPr>
                <w:sz w:val="16"/>
              </w:rPr>
              <w:t>Yerel koşuyla doğrulandı</w:t>
            </w:r>
          </w:p>
        </w:tc>
      </w:tr>
      <w:tr>
        <w:tc>
          <w:tcPr>
            <w:tcW w:type="dxa" w:w="3061"/>
          </w:tcPr>
          <w:p>
            <w:pPr>
              <w:spacing w:after="20"/>
            </w:pPr>
            <w:r/>
            <w:r>
              <w:rPr>
                <w:sz w:val="16"/>
              </w:rPr>
              <w:t>Kredi katsayısı bandı 0,08–0,787</w:t>
            </w:r>
          </w:p>
        </w:tc>
        <w:tc>
          <w:tcPr>
            <w:tcW w:type="dxa" w:w="3402"/>
          </w:tcPr>
          <w:p>
            <w:pPr>
              <w:spacing w:after="20"/>
            </w:pPr>
            <w:r/>
            <w:r>
              <w:rPr>
                <w:sz w:val="16"/>
              </w:rPr>
              <w:t>rev_adim4_sonuc.json</w:t>
            </w:r>
          </w:p>
        </w:tc>
        <w:tc>
          <w:tcPr>
            <w:tcW w:type="dxa" w:w="2608"/>
          </w:tcPr>
          <w:p>
            <w:pPr>
              <w:spacing w:after="20"/>
            </w:pPr>
            <w:r/>
            <w:r>
              <w:rPr>
                <w:sz w:val="16"/>
              </w:rPr>
              <w:t>Uyumlu</w:t>
            </w:r>
          </w:p>
        </w:tc>
      </w:tr>
      <w:tr>
        <w:tc>
          <w:tcPr>
            <w:tcW w:type="dxa" w:w="3061"/>
          </w:tcPr>
          <w:p>
            <w:pPr>
              <w:spacing w:after="20"/>
            </w:pPr>
            <w:r/>
            <w:r>
              <w:rPr>
                <w:sz w:val="16"/>
              </w:rPr>
              <w:t>Adres tabanı 12.722,5 – 19.361,9; hane DİBS 589,4</w:t>
            </w:r>
          </w:p>
        </w:tc>
        <w:tc>
          <w:tcPr>
            <w:tcW w:type="dxa" w:w="3402"/>
          </w:tcPr>
          <w:p>
            <w:pPr>
              <w:spacing w:after="20"/>
            </w:pPr>
            <w:r/>
            <w:r>
              <w:rPr>
                <w:sz w:val="16"/>
              </w:rPr>
              <w:t>rev_adim4_sonuc.json; SENET_ANALIZ.md:25 (589,3686)</w:t>
            </w:r>
          </w:p>
        </w:tc>
        <w:tc>
          <w:tcPr>
            <w:tcW w:type="dxa" w:w="2608"/>
          </w:tcPr>
          <w:p>
            <w:pPr>
              <w:spacing w:after="20"/>
            </w:pPr>
            <w:r/>
            <w:r>
              <w:rPr>
                <w:sz w:val="16"/>
              </w:rPr>
              <w:t>Uyumlu</w:t>
            </w:r>
          </w:p>
        </w:tc>
      </w:tr>
      <w:tr>
        <w:tc>
          <w:tcPr>
            <w:tcW w:type="dxa" w:w="3061"/>
          </w:tcPr>
          <w:p>
            <w:pPr>
              <w:spacing w:after="20"/>
            </w:pPr>
            <w:r/>
            <w:r>
              <w:rPr>
                <w:sz w:val="16"/>
              </w:rPr>
              <w:t>θ = 0,10 patika tepe fonlama %1,51 (2026 GSYH)</w:t>
            </w:r>
          </w:p>
        </w:tc>
        <w:tc>
          <w:tcPr>
            <w:tcW w:type="dxa" w:w="3402"/>
          </w:tcPr>
          <w:p>
            <w:pPr>
              <w:spacing w:after="20"/>
            </w:pPr>
            <w:r/>
            <w:r>
              <w:rPr>
                <w:sz w:val="16"/>
              </w:rPr>
              <w:t xml:space="preserve">Yıllık akış 1.272,25 / 84.425 = %1,51 </w:t>
            </w:r>
            <w:r>
              <w:rPr>
                <w:b/>
                <w:color w:val="1F3A8F"/>
                <w:sz w:val="16"/>
              </w:rPr>
              <w:t>[türetilmiş]</w:t>
            </w:r>
            <w:r>
              <w:rPr>
                <w:sz w:val="16"/>
              </w:rPr>
              <w:t>; atıl 1.225,48 = %1,45 (patika_sonuc.json)</w:t>
            </w:r>
          </w:p>
        </w:tc>
        <w:tc>
          <w:tcPr>
            <w:tcW w:type="dxa" w:w="2608"/>
          </w:tcPr>
          <w:p>
            <w:pPr>
              <w:spacing w:after="20"/>
            </w:pPr>
            <w:r/>
            <w:r>
              <w:rPr>
                <w:sz w:val="16"/>
              </w:rPr>
              <w:t>Brüt akış oranı olarak uyumlu; atıl oran %1,45</w:t>
            </w:r>
          </w:p>
        </w:tc>
      </w:tr>
      <w:tr>
        <w:tc>
          <w:tcPr>
            <w:tcW w:type="dxa" w:w="3061"/>
          </w:tcPr>
          <w:p>
            <w:pPr>
              <w:spacing w:after="20"/>
            </w:pPr>
            <w:r/>
            <w:r>
              <w:rPr>
                <w:sz w:val="16"/>
              </w:rPr>
              <w:t>Senet: tam ağ açığı 46,77 ile kapanır, θ* ≈ 0,0037</w:t>
            </w:r>
          </w:p>
        </w:tc>
        <w:tc>
          <w:tcPr>
            <w:tcW w:type="dxa" w:w="3402"/>
          </w:tcPr>
          <w:p>
            <w:pPr>
              <w:spacing w:after="20"/>
            </w:pPr>
            <w:r/>
            <w:r>
              <w:rPr>
                <w:sz w:val="16"/>
              </w:rPr>
              <w:t>SENET_ANALIZ.md:69</w:t>
            </w:r>
          </w:p>
        </w:tc>
        <w:tc>
          <w:tcPr>
            <w:tcW w:type="dxa" w:w="2608"/>
          </w:tcPr>
          <w:p>
            <w:pPr>
              <w:spacing w:after="20"/>
            </w:pPr>
            <w:r/>
            <w:r>
              <w:rPr>
                <w:sz w:val="16"/>
              </w:rPr>
              <w:t>Uyumlu</w:t>
            </w:r>
          </w:p>
        </w:tc>
      </w:tr>
      <w:tr>
        <w:tc>
          <w:tcPr>
            <w:tcW w:type="dxa" w:w="3061"/>
          </w:tcPr>
          <w:p>
            <w:pPr>
              <w:spacing w:after="20"/>
            </w:pPr>
            <w:r/>
            <w:r>
              <w:rPr>
                <w:sz w:val="16"/>
              </w:rPr>
              <w:t>Seyrek ortanca θ* ≈ 0,19–0,29</w:t>
            </w:r>
          </w:p>
        </w:tc>
        <w:tc>
          <w:tcPr>
            <w:tcW w:type="dxa" w:w="3402"/>
          </w:tcPr>
          <w:p>
            <w:pPr>
              <w:spacing w:after="20"/>
            </w:pPr>
            <w:r/>
            <w:r>
              <w:rPr>
                <w:sz w:val="16"/>
              </w:rPr>
              <w:t>0,193 (SENET_ANALIZ.md:71); 0,29 bulunamadı</w:t>
            </w:r>
          </w:p>
        </w:tc>
        <w:tc>
          <w:tcPr>
            <w:tcW w:type="dxa" w:w="2608"/>
          </w:tcPr>
          <w:p>
            <w:pPr>
              <w:spacing w:after="20"/>
            </w:pPr>
            <w:r/>
            <w:r>
              <w:rPr>
                <w:sz w:val="16"/>
              </w:rPr>
              <w:t>Alt uç uyumlu; üst uç depo dışı</w:t>
            </w:r>
          </w:p>
        </w:tc>
      </w:tr>
      <w:tr>
        <w:tc>
          <w:tcPr>
            <w:tcW w:type="dxa" w:w="3061"/>
          </w:tcPr>
          <w:p>
            <w:pPr>
              <w:spacing w:after="20"/>
            </w:pPr>
            <w:r/>
            <w:r>
              <w:rPr>
                <w:sz w:val="16"/>
              </w:rPr>
              <w:t>%30/yıl 3.816,8; yalnız DİBS piyasası emer</w:t>
            </w:r>
          </w:p>
        </w:tc>
        <w:tc>
          <w:tcPr>
            <w:tcW w:type="dxa" w:w="3402"/>
          </w:tcPr>
          <w:p>
            <w:pPr>
              <w:spacing w:after="20"/>
            </w:pPr>
            <w:r/>
            <w:r>
              <w:rPr>
                <w:sz w:val="16"/>
              </w:rPr>
              <w:t>SENET_ANALIZ.md:81</w:t>
            </w:r>
          </w:p>
        </w:tc>
        <w:tc>
          <w:tcPr>
            <w:tcW w:type="dxa" w:w="2608"/>
          </w:tcPr>
          <w:p>
            <w:pPr>
              <w:spacing w:after="20"/>
            </w:pPr>
            <w:r/>
            <w:r>
              <w:rPr>
                <w:sz w:val="16"/>
              </w:rPr>
              <w:t>Uyumlu</w:t>
            </w:r>
          </w:p>
        </w:tc>
      </w:tr>
      <w:tr>
        <w:tc>
          <w:tcPr>
            <w:tcW w:type="dxa" w:w="3061"/>
          </w:tcPr>
          <w:p>
            <w:pPr>
              <w:spacing w:after="20"/>
            </w:pPr>
            <w:r/>
            <w:r>
              <w:rPr>
                <w:sz w:val="16"/>
              </w:rPr>
              <w:t>%30 yıl 1 atıl TCMB fonlaması %4,52</w:t>
            </w:r>
          </w:p>
        </w:tc>
        <w:tc>
          <w:tcPr>
            <w:tcW w:type="dxa" w:w="3402"/>
          </w:tcPr>
          <w:p>
            <w:pPr>
              <w:spacing w:after="20"/>
            </w:pPr>
            <w:r/>
            <w:r>
              <w:rPr>
                <w:sz w:val="16"/>
              </w:rPr>
              <w:t xml:space="preserve">Atıl 3.769,98 = %4,47 (SENET_ANALIZ.md:86); brüt akış 3.816,75/84.425 = %4,52 </w:t>
            </w:r>
            <w:r>
              <w:rPr>
                <w:b/>
                <w:color w:val="1F3A8F"/>
                <w:sz w:val="16"/>
              </w:rPr>
              <w:t>[türetilmiş]</w:t>
            </w:r>
          </w:p>
        </w:tc>
        <w:tc>
          <w:tcPr>
            <w:tcW w:type="dxa" w:w="2608"/>
          </w:tcPr>
          <w:p>
            <w:pPr>
              <w:spacing w:after="20"/>
            </w:pPr>
            <w:r/>
            <w:r>
              <w:rPr>
                <w:sz w:val="16"/>
              </w:rPr>
              <w:t>Kısmen; belgede iki oran ayrı verildi</w:t>
            </w:r>
          </w:p>
        </w:tc>
      </w:tr>
      <w:tr>
        <w:tc>
          <w:tcPr>
            <w:tcW w:type="dxa" w:w="3061"/>
          </w:tcPr>
          <w:p>
            <w:pPr>
              <w:spacing w:after="20"/>
            </w:pPr>
            <w:r/>
            <w:r>
              <w:rPr>
                <w:sz w:val="16"/>
              </w:rPr>
              <w:t>Prim: Π = 0; BEC ara mal 250,2 milyar USD (~9.866 milyar TL; enerji hariç ~7.398); azami kupon 290 = dar tavanın %3,9’u</w:t>
            </w:r>
          </w:p>
        </w:tc>
        <w:tc>
          <w:tcPr>
            <w:tcW w:type="dxa" w:w="3402"/>
          </w:tcPr>
          <w:p>
            <w:pPr>
              <w:spacing w:after="20"/>
            </w:pPr>
            <w:r/>
            <w:r>
              <w:rPr>
                <w:sz w:val="16"/>
              </w:rPr>
              <w:t>SENET_ANALIZ.md:92–115 (250.228; 9.865,59; 7.397,89; 290,43 = %3,93)</w:t>
            </w:r>
          </w:p>
        </w:tc>
        <w:tc>
          <w:tcPr>
            <w:tcW w:type="dxa" w:w="2608"/>
          </w:tcPr>
          <w:p>
            <w:pPr>
              <w:spacing w:after="20"/>
            </w:pPr>
            <w:r/>
            <w:r>
              <w:rPr>
                <w:sz w:val="16"/>
              </w:rPr>
              <w:t>Uyumlu</w:t>
            </w:r>
          </w:p>
        </w:tc>
      </w:tr>
      <w:tr>
        <w:tc>
          <w:tcPr>
            <w:tcW w:type="dxa" w:w="3061"/>
          </w:tcPr>
          <w:p>
            <w:pPr>
              <w:spacing w:after="20"/>
            </w:pPr>
            <w:r/>
            <w:r>
              <w:rPr>
                <w:sz w:val="16"/>
              </w:rPr>
              <w:t>YP dondurma: değerleme 2.660,88; ~40,64 milyar USD/yıl (~1.730,5 milyar TL)</w:t>
            </w:r>
          </w:p>
        </w:tc>
        <w:tc>
          <w:tcPr>
            <w:tcW w:type="dxa" w:w="3402"/>
          </w:tcPr>
          <w:p>
            <w:pPr>
              <w:spacing w:after="20"/>
            </w:pPr>
            <w:r/>
            <w:r>
              <w:rPr>
                <w:sz w:val="16"/>
              </w:rPr>
              <w:t>SENET_ANALIZ.md “Döviz stok…”</w:t>
            </w:r>
          </w:p>
        </w:tc>
        <w:tc>
          <w:tcPr>
            <w:tcW w:type="dxa" w:w="2608"/>
          </w:tcPr>
          <w:p>
            <w:pPr>
              <w:spacing w:after="20"/>
            </w:pPr>
            <w:r/>
            <w:r>
              <w:rPr>
                <w:sz w:val="16"/>
              </w:rPr>
              <w:t>Uyumlu</w:t>
            </w:r>
          </w:p>
        </w:tc>
      </w:tr>
      <w:tr>
        <w:tc>
          <w:tcPr>
            <w:tcW w:type="dxa" w:w="3061"/>
          </w:tcPr>
          <w:p>
            <w:pPr>
              <w:spacing w:after="20"/>
            </w:pPr>
            <w:r/>
            <w:r>
              <w:rPr>
                <w:sz w:val="16"/>
              </w:rPr>
              <w:t>Takvim 12–15 ay en hızlı; 18–30 ay olası</w:t>
            </w:r>
          </w:p>
        </w:tc>
        <w:tc>
          <w:tcPr>
            <w:tcW w:type="dxa" w:w="3402"/>
          </w:tcPr>
          <w:p>
            <w:pPr>
              <w:spacing w:after="20"/>
            </w:pPr>
            <w:r/>
            <w:r>
              <w:rPr>
                <w:sz w:val="16"/>
              </w:rPr>
              <w:t>Depoda yok</w:t>
            </w:r>
          </w:p>
        </w:tc>
        <w:tc>
          <w:tcPr>
            <w:tcW w:type="dxa" w:w="2608"/>
          </w:tcPr>
          <w:p>
            <w:pPr>
              <w:spacing w:after="20"/>
            </w:pPr>
            <w:r/>
            <w:r>
              <w:rPr>
                <w:b/>
                <w:color w:val="9B1010"/>
                <w:sz w:val="16"/>
              </w:rPr>
              <w:t>[depo dışı]</w:t>
            </w:r>
            <w:r>
              <w:rPr>
                <w:sz w:val="16"/>
              </w:rPr>
              <w:t>; yalnız aday olarak anıldı</w:t>
            </w:r>
          </w:p>
        </w:tc>
      </w:tr>
    </w:tbl>
    <w:p>
      <w:pPr>
        <w:spacing w:after="40"/>
      </w:pPr>
    </w:p>
    <w:p>
      <w:pPr>
        <w:pStyle w:val="Heading1"/>
      </w:pPr>
      <w:r>
        <w:t>Ek D. Yerel Yeniden Koşu Kaydı</w:t>
      </w:r>
    </w:p>
    <w:p>
      <w:pPr>
        <w:jc w:val="both"/>
      </w:pPr>
      <w:r>
        <w:t>Depo salt okunur klonlanmış (</w:t>
      </w:r>
      <w:r>
        <w:rPr>
          <w:rFonts w:ascii="Consolas" w:hAnsi="Consolas"/>
          <w:sz w:val="19"/>
        </w:rPr>
        <w:t>git log</w:t>
      </w:r>
      <w:r>
        <w:t xml:space="preserve">: 371d99e), bağımlılıklar (networkx, pandas, numpy, scipy, openpyxl) kurulmuş ve aşağıdaki komut </w:t>
      </w:r>
      <w:r>
        <w:rPr>
          <w:rFonts w:ascii="Consolas" w:hAnsi="Consolas"/>
          <w:sz w:val="19"/>
        </w:rPr>
        <w:t>analiz/senet</w:t>
      </w:r>
      <w:r>
        <w:t xml:space="preserve"> dizininde depo koduyla çalıştırılmıştır. Komut depo dosyası yazmaz.</w:t>
      </w:r>
    </w:p>
    <w:p>
      <w:pPr>
        <w:spacing w:after="0"/>
      </w:pPr>
      <w:r>
        <w:rPr>
          <w:rFonts w:ascii="Consolas" w:hAnsi="Consolas"/>
          <w:sz w:val="17"/>
        </w:rPr>
        <w:t>import ortak, rev_sok</w:t>
      </w:r>
    </w:p>
    <w:p>
      <w:pPr>
        <w:spacing w:after="0"/>
      </w:pPr>
      <w:r>
        <w:rPr>
          <w:rFonts w:ascii="Consolas" w:hAnsi="Consolas"/>
          <w:sz w:val="17"/>
        </w:rPr>
        <w:t>from mahsuplasma.model import Parametreler, calistir</w:t>
      </w:r>
    </w:p>
    <w:p>
      <w:pPr>
        <w:spacing w:after="0"/>
      </w:pPr>
      <w:r>
        <w:rPr>
          <w:rFonts w:ascii="Consolas" w:hAnsi="Consolas"/>
          <w:sz w:val="17"/>
        </w:rPr>
        <w:t>g0 = rev_sok.yukle()</w:t>
      </w:r>
    </w:p>
    <w:p>
      <w:pPr>
        <w:spacing w:after="0"/>
      </w:pPr>
      <w:r>
        <w:rPr>
          <w:rFonts w:ascii="Consolas" w:hAnsi="Consolas"/>
          <w:sz w:val="17"/>
        </w:rPr>
        <w:t>for kur in (0, 19.29):</w:t>
      </w:r>
    </w:p>
    <w:p>
      <w:pPr>
        <w:spacing w:after="0"/>
      </w:pPr>
      <w:r>
        <w:rPr>
          <w:rFonts w:ascii="Consolas" w:hAnsi="Consolas"/>
          <w:sz w:val="17"/>
        </w:rPr>
        <w:t xml:space="preserve">    g, art = rev_sok.ag_kur(kur, ortak.LAM, g0)   # LAM = 1,0357</w:t>
      </w:r>
    </w:p>
    <w:p>
      <w:pPr>
        <w:spacing w:after="0"/>
      </w:pPr>
      <w:r>
        <w:rPr>
          <w:rFonts w:ascii="Consolas" w:hAnsi="Consolas"/>
          <w:sz w:val="17"/>
        </w:rPr>
        <w:t xml:space="preserve">    r = calistir(g, Parametreler(holding_odeme_orani=0.5, sart_kaldiraci=True, ucret_gecis_beta=ortak.BETA))  # BETA = 0,0439</w:t>
      </w:r>
    </w:p>
    <w:p/>
    <w:p>
      <w:pPr>
        <w:keepNext/>
        <w:spacing w:after="40"/>
        <w:jc w:val="left"/>
      </w:pPr>
      <w:r>
        <w:rPr>
          <w:b/>
          <w:sz w:val="19"/>
        </w:rPr>
        <w:t>Tablo D.1 — Yerel koşu çıktısı</w:t>
      </w:r>
    </w:p>
    <w:tbl>
      <w:tblPr>
        <w:tblStyle w:val="TableGrid"/>
        <w:tblW w:type="auto" w:w="0"/>
        <w:jc w:val="center"/>
        <w:tblLayout w:type="fixed"/>
        <w:tblLook w:firstColumn="1" w:firstRow="1" w:lastColumn="0" w:lastRow="0" w:noHBand="0" w:noVBand="1" w:val="04A0"/>
      </w:tblPr>
      <w:tblGrid>
        <w:gridCol w:w="1247"/>
        <w:gridCol w:w="2835"/>
        <w:gridCol w:w="1361"/>
        <w:gridCol w:w="2835"/>
      </w:tblGrid>
      <w:tr>
        <w:trPr>
          <w:tblHeader w:val="true"/>
        </w:trPr>
        <w:tc>
          <w:tcPr>
            <w:tcW w:type="dxa" w:w="1247"/>
            <w:shd w:val="clear" w:color="auto" w:fill="D9E2F3"/>
          </w:tcPr>
          <w:p>
            <w:r/>
            <w:r>
              <w:rPr>
                <w:b/>
                <w:sz w:val="18"/>
              </w:rPr>
              <w:t>δ (kur)</w:t>
            </w:r>
          </w:p>
        </w:tc>
        <w:tc>
          <w:tcPr>
            <w:tcW w:type="dxa" w:w="2835"/>
            <w:shd w:val="clear" w:color="auto" w:fill="D9E2F3"/>
          </w:tcPr>
          <w:p>
            <w:r/>
            <w:r>
              <w:rPr>
                <w:b/>
                <w:sz w:val="18"/>
              </w:rPr>
              <w:t>Aşama</w:t>
            </w:r>
          </w:p>
        </w:tc>
        <w:tc>
          <w:tcPr>
            <w:tcW w:type="dxa" w:w="1361"/>
            <w:shd w:val="clear" w:color="auto" w:fill="D9E2F3"/>
          </w:tcPr>
          <w:p>
            <w:r/>
            <w:r>
              <w:rPr>
                <w:b/>
                <w:sz w:val="18"/>
              </w:rPr>
              <w:t>Temerrüt</w:t>
            </w:r>
          </w:p>
        </w:tc>
        <w:tc>
          <w:tcPr>
            <w:tcW w:type="dxa" w:w="2835"/>
            <w:shd w:val="clear" w:color="auto" w:fill="D9E2F3"/>
          </w:tcPr>
          <w:p>
            <w:r/>
            <w:r>
              <w:rPr>
                <w:b/>
                <w:sz w:val="18"/>
              </w:rPr>
              <w:t>Kredi ihtiyacı / köprü (milyar TL)</w:t>
            </w:r>
          </w:p>
        </w:tc>
      </w:tr>
      <w:tr>
        <w:tc>
          <w:tcPr>
            <w:tcW w:type="dxa" w:w="1247"/>
          </w:tcPr>
          <w:p>
            <w:pPr>
              <w:spacing w:after="20"/>
            </w:pPr>
            <w:r/>
            <w:r>
              <w:rPr>
                <w:sz w:val="18"/>
              </w:rPr>
              <w:t>0</w:t>
            </w:r>
          </w:p>
        </w:tc>
        <w:tc>
          <w:tcPr>
            <w:tcW w:type="dxa" w:w="2835"/>
          </w:tcPr>
          <w:p>
            <w:pPr>
              <w:spacing w:after="20"/>
            </w:pPr>
            <w:r/>
            <w:r>
              <w:rPr>
                <w:sz w:val="18"/>
              </w:rPr>
              <w:t>1_brut</w:t>
            </w:r>
          </w:p>
        </w:tc>
        <w:tc>
          <w:tcPr>
            <w:tcW w:type="dxa" w:w="1361"/>
          </w:tcPr>
          <w:p>
            <w:pPr>
              <w:spacing w:after="20"/>
            </w:pPr>
            <w:r/>
            <w:r>
              <w:rPr>
                <w:sz w:val="18"/>
              </w:rPr>
              <w:t>16</w:t>
            </w:r>
          </w:p>
        </w:tc>
        <w:tc>
          <w:tcPr>
            <w:tcW w:type="dxa" w:w="2835"/>
          </w:tcPr>
          <w:p>
            <w:pPr>
              <w:spacing w:after="20"/>
            </w:pPr>
            <w:r/>
            <w:r>
              <w:rPr>
                <w:sz w:val="18"/>
              </w:rPr>
              <w:t>8.956,38</w:t>
            </w:r>
          </w:p>
        </w:tc>
      </w:tr>
      <w:tr>
        <w:tc>
          <w:tcPr>
            <w:tcW w:type="dxa" w:w="1247"/>
          </w:tcPr>
          <w:p>
            <w:pPr>
              <w:spacing w:after="20"/>
            </w:pPr>
            <w:r/>
            <w:r>
              <w:rPr>
                <w:sz w:val="18"/>
              </w:rPr>
              <w:t>0</w:t>
            </w:r>
          </w:p>
        </w:tc>
        <w:tc>
          <w:tcPr>
            <w:tcW w:type="dxa" w:w="2835"/>
          </w:tcPr>
          <w:p>
            <w:pPr>
              <w:spacing w:after="20"/>
            </w:pPr>
            <w:r/>
            <w:r>
              <w:rPr>
                <w:sz w:val="18"/>
              </w:rPr>
              <w:t>3_mahsup_sonrasi_akis</w:t>
            </w:r>
          </w:p>
        </w:tc>
        <w:tc>
          <w:tcPr>
            <w:tcW w:type="dxa" w:w="1361"/>
          </w:tcPr>
          <w:p>
            <w:pPr>
              <w:spacing w:after="20"/>
            </w:pPr>
            <w:r/>
            <w:r>
              <w:rPr>
                <w:sz w:val="18"/>
              </w:rPr>
              <w:t>3</w:t>
            </w:r>
          </w:p>
        </w:tc>
        <w:tc>
          <w:tcPr>
            <w:tcW w:type="dxa" w:w="2835"/>
          </w:tcPr>
          <w:p>
            <w:pPr>
              <w:spacing w:after="20"/>
            </w:pPr>
            <w:r/>
            <w:r>
              <w:rPr>
                <w:sz w:val="18"/>
              </w:rPr>
              <w:t>46,77</w:t>
            </w:r>
          </w:p>
        </w:tc>
      </w:tr>
      <w:tr>
        <w:tc>
          <w:tcPr>
            <w:tcW w:type="dxa" w:w="1247"/>
          </w:tcPr>
          <w:p>
            <w:pPr>
              <w:spacing w:after="20"/>
            </w:pPr>
            <w:r/>
            <w:r>
              <w:rPr>
                <w:sz w:val="18"/>
              </w:rPr>
              <w:t>0</w:t>
            </w:r>
          </w:p>
        </w:tc>
        <w:tc>
          <w:tcPr>
            <w:tcW w:type="dxa" w:w="2835"/>
          </w:tcPr>
          <w:p>
            <w:pPr>
              <w:spacing w:after="20"/>
            </w:pPr>
            <w:r/>
            <w:r>
              <w:rPr>
                <w:sz w:val="18"/>
              </w:rPr>
              <w:t>4_sart_kaldiraci</w:t>
            </w:r>
          </w:p>
        </w:tc>
        <w:tc>
          <w:tcPr>
            <w:tcW w:type="dxa" w:w="1361"/>
          </w:tcPr>
          <w:p>
            <w:pPr>
              <w:spacing w:after="20"/>
            </w:pPr>
            <w:r/>
            <w:r>
              <w:rPr>
                <w:sz w:val="18"/>
              </w:rPr>
              <w:t>3</w:t>
            </w:r>
          </w:p>
        </w:tc>
        <w:tc>
          <w:tcPr>
            <w:tcW w:type="dxa" w:w="2835"/>
          </w:tcPr>
          <w:p>
            <w:pPr>
              <w:spacing w:after="20"/>
            </w:pPr>
            <w:r/>
            <w:r>
              <w:rPr>
                <w:sz w:val="18"/>
              </w:rPr>
              <w:t>46,77</w:t>
            </w:r>
          </w:p>
        </w:tc>
      </w:tr>
      <w:tr>
        <w:tc>
          <w:tcPr>
            <w:tcW w:type="dxa" w:w="1247"/>
          </w:tcPr>
          <w:p>
            <w:pPr>
              <w:spacing w:after="20"/>
            </w:pPr>
            <w:r/>
            <w:r>
              <w:rPr>
                <w:sz w:val="18"/>
              </w:rPr>
              <w:t>19,29</w:t>
            </w:r>
          </w:p>
        </w:tc>
        <w:tc>
          <w:tcPr>
            <w:tcW w:type="dxa" w:w="2835"/>
          </w:tcPr>
          <w:p>
            <w:pPr>
              <w:spacing w:after="20"/>
            </w:pPr>
            <w:r/>
            <w:r>
              <w:rPr>
                <w:sz w:val="18"/>
              </w:rPr>
              <w:t>1_brut</w:t>
            </w:r>
          </w:p>
        </w:tc>
        <w:tc>
          <w:tcPr>
            <w:tcW w:type="dxa" w:w="1361"/>
          </w:tcPr>
          <w:p>
            <w:pPr>
              <w:spacing w:after="20"/>
            </w:pPr>
            <w:r/>
            <w:r>
              <w:rPr>
                <w:sz w:val="18"/>
              </w:rPr>
              <w:t>16</w:t>
            </w:r>
          </w:p>
        </w:tc>
        <w:tc>
          <w:tcPr>
            <w:tcW w:type="dxa" w:w="2835"/>
          </w:tcPr>
          <w:p>
            <w:pPr>
              <w:spacing w:after="20"/>
            </w:pPr>
            <w:r/>
            <w:r>
              <w:rPr>
                <w:sz w:val="18"/>
              </w:rPr>
              <w:t>11.527,68</w:t>
            </w:r>
          </w:p>
        </w:tc>
      </w:tr>
      <w:tr>
        <w:tc>
          <w:tcPr>
            <w:tcW w:type="dxa" w:w="1247"/>
          </w:tcPr>
          <w:p>
            <w:pPr>
              <w:spacing w:after="20"/>
            </w:pPr>
            <w:r/>
            <w:r>
              <w:rPr>
                <w:sz w:val="18"/>
              </w:rPr>
              <w:t>19,29</w:t>
            </w:r>
          </w:p>
        </w:tc>
        <w:tc>
          <w:tcPr>
            <w:tcW w:type="dxa" w:w="2835"/>
          </w:tcPr>
          <w:p>
            <w:pPr>
              <w:spacing w:after="20"/>
            </w:pPr>
            <w:r/>
            <w:r>
              <w:rPr>
                <w:sz w:val="18"/>
              </w:rPr>
              <w:t>3_mahsup_sonrasi_akis</w:t>
            </w:r>
          </w:p>
        </w:tc>
        <w:tc>
          <w:tcPr>
            <w:tcW w:type="dxa" w:w="1361"/>
          </w:tcPr>
          <w:p>
            <w:pPr>
              <w:spacing w:after="20"/>
            </w:pPr>
            <w:r/>
            <w:r>
              <w:rPr>
                <w:sz w:val="18"/>
              </w:rPr>
              <w:t>7</w:t>
            </w:r>
          </w:p>
        </w:tc>
        <w:tc>
          <w:tcPr>
            <w:tcW w:type="dxa" w:w="2835"/>
          </w:tcPr>
          <w:p>
            <w:pPr>
              <w:spacing w:after="20"/>
            </w:pPr>
            <w:r/>
            <w:r>
              <w:rPr>
                <w:sz w:val="18"/>
              </w:rPr>
              <w:t>443,87</w:t>
            </w:r>
          </w:p>
        </w:tc>
      </w:tr>
      <w:tr>
        <w:tc>
          <w:tcPr>
            <w:tcW w:type="dxa" w:w="1247"/>
          </w:tcPr>
          <w:p>
            <w:pPr>
              <w:spacing w:after="20"/>
            </w:pPr>
            <w:r/>
            <w:r>
              <w:rPr>
                <w:sz w:val="18"/>
              </w:rPr>
              <w:t>19,29</w:t>
            </w:r>
          </w:p>
        </w:tc>
        <w:tc>
          <w:tcPr>
            <w:tcW w:type="dxa" w:w="2835"/>
          </w:tcPr>
          <w:p>
            <w:pPr>
              <w:spacing w:after="20"/>
            </w:pPr>
            <w:r/>
            <w:r>
              <w:rPr>
                <w:sz w:val="18"/>
              </w:rPr>
              <w:t>4_sart_kaldiraci</w:t>
            </w:r>
          </w:p>
        </w:tc>
        <w:tc>
          <w:tcPr>
            <w:tcW w:type="dxa" w:w="1361"/>
          </w:tcPr>
          <w:p>
            <w:pPr>
              <w:spacing w:after="20"/>
            </w:pPr>
            <w:r/>
            <w:r>
              <w:rPr>
                <w:sz w:val="18"/>
              </w:rPr>
              <w:t>7</w:t>
            </w:r>
          </w:p>
        </w:tc>
        <w:tc>
          <w:tcPr>
            <w:tcW w:type="dxa" w:w="2835"/>
          </w:tcPr>
          <w:p>
            <w:pPr>
              <w:spacing w:after="20"/>
            </w:pPr>
            <w:r/>
            <w:r>
              <w:rPr>
                <w:sz w:val="18"/>
              </w:rPr>
              <w:t>443,87</w:t>
            </w:r>
          </w:p>
        </w:tc>
      </w:tr>
    </w:tbl>
    <w:p>
      <w:pPr>
        <w:spacing w:after="40"/>
      </w:pPr>
    </w:p>
    <w:p>
      <w:pPr>
        <w:jc w:val="both"/>
      </w:pPr>
      <w:r>
        <w:t>δ = %19,29 şart kaldıracı aşamasının sonucu (7; 443,87) depodaki SENET_ANALIZ.md:54 değeriyle aynıdır; bu, yerel koşunun depo çıktısını yeniden ürettiğini doğrulamaktadır.</w:t>
      </w:r>
    </w:p>
    <w:sectPr w:rsidR="00FC693F" w:rsidRPr="0006063C" w:rsidSect="00034616">
      <w:footerReference w:type="default" r:id="rId9"/>
      <w:headerReference w:type="default" r:id="rId10"/>
      <w:pgSz w:w="11906" w:h="16838"/>
      <w:pgMar w:top="1304" w:right="124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Sayfa </w:t>
    </w:r>
    <w:r>
      <w:rPr>
        <w:sz w:val="18"/>
      </w:rPr>
      <w:fldChar w:fldCharType="begin"/>
      <w:instrText xml:space="preserve">PAGE</w:instrText>
      <w:fldChar w:fldCharType="separate"/>
      <w:t>1</w:t>
      <w:fldChar w:fldCharType="end"/>
    </w:r>
    <w:r>
      <w:rPr>
        <w:sz w:val="18"/>
      </w:rPr>
      <w:t xml:space="preserve"> /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55555"/>
        <w:sz w:val="17"/>
      </w:rPr>
      <w:t>Zarar Teorisi Modeli · Teşhis ve Tedavi Bulgusu · 17.10.2026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eastAsia="Times New Roman" w:cs="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imes New Roman" w:hAnsi="Times New Roman" w:eastAsia="Times New Roman" w:cs="Times New Roman"/>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