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চতুর্থ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বিষয়: চিত্রাংকন </w:t>
        <w:tab/>
        <w:tab/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           ১০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ঘর </w:t>
        <w:tab/>
        <w:tab/>
        <w:tab/>
        <w:tab/>
        <w:tab/>
        <w:t xml:space="preserve">খ) চেয়ার 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আম </w:t>
        <w:tab/>
        <w:tab/>
        <w:tab/>
        <w:tab/>
        <w:tab/>
        <w:t xml:space="preserve">ঘ) স্মৃতিসৌধ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পরিষ্কার-পরিচ্ছন্নতা, হাতের লেখা, ইত্যাদি।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২০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চতুর্থ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বিষয়: চিত্রাংকন </w:t>
        <w:tab/>
        <w:tab/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           ১০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ঘর </w:t>
        <w:tab/>
        <w:tab/>
        <w:tab/>
        <w:tab/>
        <w:tab/>
        <w:t xml:space="preserve">খ) চেয়ার 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আম </w:t>
        <w:tab/>
        <w:tab/>
        <w:tab/>
        <w:tab/>
        <w:tab/>
        <w:t xml:space="preserve">ঘ) স্মৃতিসৌধ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পরিষ্কার-পরিচ্ছন্নতা, হাতের লেখা, ইত্যাদি।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২০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