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2" w:lineRule="auto"/>
        <w:jc w:val="center"/>
      </w:pPr>
      <w:r>
        <w:rPr>
          <w:b/>
          <w:color w:val="2F75B5"/>
          <w:sz w:val="24"/>
        </w:rPr>
        <w:t>WEEK 2 TASK</w:t>
      </w:r>
    </w:p>
    <w:p>
      <w:pPr>
        <w:spacing w:after="100" w:line="252" w:lineRule="auto"/>
        <w:jc w:val="center"/>
      </w:pPr>
      <w:r>
        <w:rPr>
          <w:b/>
          <w:color w:val="17365D"/>
          <w:sz w:val="54"/>
        </w:rPr>
        <w:t>Exploratory Data Analysis (EDA)</w:t>
        <w:br/>
        <w:t>&amp; Visualization Framework Design</w:t>
      </w:r>
    </w:p>
    <w:p>
      <w:pPr>
        <w:spacing w:after="100" w:line="252" w:lineRule="auto"/>
        <w:jc w:val="center"/>
      </w:pPr>
      <w:r>
        <w:rPr>
          <w:b/>
          <w:color w:val="548235"/>
          <w:sz w:val="26"/>
        </w:rPr>
        <w:t>Framework for the Student Academic Performance Prediction and Analysis Project</w:t>
      </w:r>
    </w:p>
    <w:p>
      <w:pPr>
        <w:spacing w:after="100" w:line="252" w:lineRule="auto"/>
      </w:pP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Calibri" w:hAnsi="Calibri"/>
                <w:b/>
                <w:color w:val="FFFFFF"/>
                <w:sz w:val="18"/>
              </w:rPr>
              <w:t>Project Detail</w:t>
            </w:r>
          </w:p>
        </w:tc>
        <w:tc>
          <w:tcPr>
            <w:tcW w:type="dxa" w:w="5040"/>
            <w:vAlign w:val="center"/>
            <w:shd w:fill="17365D"/>
          </w:tcPr>
          <w:p>
            <w:r/>
            <w:r>
              <w:rPr>
                <w:rFonts w:ascii="Calibri" w:hAnsi="Calibri"/>
                <w:b/>
                <w:color w:val="FFFFFF"/>
                <w:sz w:val="18"/>
              </w:rPr>
              <w:t>Information</w:t>
            </w:r>
          </w:p>
        </w:tc>
      </w:tr>
      <w:tr>
        <w:tc>
          <w:tcPr>
            <w:tcW w:type="dxa" w:w="5040"/>
            <w:vAlign w:val="center"/>
          </w:tcPr>
          <w:p>
            <w:r/>
            <w:r>
              <w:rPr>
                <w:rFonts w:ascii="Calibri" w:hAnsi="Calibri"/>
                <w:b w:val="0"/>
                <w:color w:val="222222"/>
                <w:sz w:val="17"/>
              </w:rPr>
              <w:t>Internship</w:t>
            </w:r>
          </w:p>
        </w:tc>
        <w:tc>
          <w:tcPr>
            <w:tcW w:type="dxa" w:w="5040"/>
            <w:vAlign w:val="center"/>
          </w:tcPr>
          <w:p>
            <w:r/>
            <w:r>
              <w:rPr>
                <w:rFonts w:ascii="Calibri" w:hAnsi="Calibri"/>
                <w:b w:val="0"/>
                <w:color w:val="222222"/>
                <w:sz w:val="17"/>
              </w:rPr>
              <w:t>Virtual Data Science Explorer Internship</w:t>
            </w:r>
          </w:p>
        </w:tc>
      </w:tr>
      <w:tr>
        <w:tc>
          <w:tcPr>
            <w:tcW w:type="dxa" w:w="5040"/>
            <w:vAlign w:val="center"/>
            <w:shd w:fill="F8FAFC"/>
          </w:tcPr>
          <w:p>
            <w:r/>
            <w:r>
              <w:rPr>
                <w:rFonts w:ascii="Calibri" w:hAnsi="Calibri"/>
                <w:b w:val="0"/>
                <w:color w:val="222222"/>
                <w:sz w:val="17"/>
              </w:rPr>
              <w:t>Organization</w:t>
            </w:r>
          </w:p>
        </w:tc>
        <w:tc>
          <w:tcPr>
            <w:tcW w:type="dxa" w:w="5040"/>
            <w:vAlign w:val="center"/>
            <w:shd w:fill="F8FAFC"/>
          </w:tcPr>
          <w:p>
            <w:r/>
            <w:r>
              <w:rPr>
                <w:rFonts w:ascii="Calibri" w:hAnsi="Calibri"/>
                <w:b w:val="0"/>
                <w:color w:val="222222"/>
                <w:sz w:val="17"/>
              </w:rPr>
              <w:t>YuvaIntern</w:t>
            </w:r>
          </w:p>
        </w:tc>
      </w:tr>
      <w:tr>
        <w:tc>
          <w:tcPr>
            <w:tcW w:type="dxa" w:w="5040"/>
            <w:vAlign w:val="center"/>
          </w:tcPr>
          <w:p>
            <w:r/>
            <w:r>
              <w:rPr>
                <w:rFonts w:ascii="Calibri" w:hAnsi="Calibri"/>
                <w:b w:val="0"/>
                <w:color w:val="222222"/>
                <w:sz w:val="17"/>
              </w:rPr>
              <w:t>Intern</w:t>
            </w:r>
          </w:p>
        </w:tc>
        <w:tc>
          <w:tcPr>
            <w:tcW w:type="dxa" w:w="5040"/>
            <w:vAlign w:val="center"/>
          </w:tcPr>
          <w:p>
            <w:r/>
            <w:r>
              <w:rPr>
                <w:rFonts w:ascii="Calibri" w:hAnsi="Calibri"/>
                <w:b w:val="0"/>
                <w:color w:val="222222"/>
                <w:sz w:val="17"/>
              </w:rPr>
              <w:t>Sayed Ajmal Rizavi</w:t>
            </w:r>
          </w:p>
        </w:tc>
      </w:tr>
      <w:tr>
        <w:tc>
          <w:tcPr>
            <w:tcW w:type="dxa" w:w="5040"/>
            <w:vAlign w:val="center"/>
            <w:shd w:fill="F8FAFC"/>
          </w:tcPr>
          <w:p>
            <w:r/>
            <w:r>
              <w:rPr>
                <w:rFonts w:ascii="Calibri" w:hAnsi="Calibri"/>
                <w:b w:val="0"/>
                <w:color w:val="222222"/>
                <w:sz w:val="17"/>
              </w:rPr>
              <w:t>Task</w:t>
            </w:r>
          </w:p>
        </w:tc>
        <w:tc>
          <w:tcPr>
            <w:tcW w:type="dxa" w:w="5040"/>
            <w:vAlign w:val="center"/>
            <w:shd w:fill="F8FAFC"/>
          </w:tcPr>
          <w:p>
            <w:r/>
            <w:r>
              <w:rPr>
                <w:rFonts w:ascii="Calibri" w:hAnsi="Calibri"/>
                <w:b w:val="0"/>
                <w:color w:val="222222"/>
                <w:sz w:val="17"/>
              </w:rPr>
              <w:t>Week 2 — Exploratory Data Analysis &amp; Visualization Framework Design</w:t>
            </w:r>
          </w:p>
        </w:tc>
      </w:tr>
      <w:tr>
        <w:tc>
          <w:tcPr>
            <w:tcW w:type="dxa" w:w="5040"/>
            <w:vAlign w:val="center"/>
          </w:tcPr>
          <w:p>
            <w:r/>
            <w:r>
              <w:rPr>
                <w:rFonts w:ascii="Calibri" w:hAnsi="Calibri"/>
                <w:b w:val="0"/>
                <w:color w:val="222222"/>
                <w:sz w:val="17"/>
              </w:rPr>
              <w:t>Planned Effort</w:t>
            </w:r>
          </w:p>
        </w:tc>
        <w:tc>
          <w:tcPr>
            <w:tcW w:type="dxa" w:w="5040"/>
            <w:vAlign w:val="center"/>
          </w:tcPr>
          <w:p>
            <w:r/>
            <w:r>
              <w:rPr>
                <w:rFonts w:ascii="Calibri" w:hAnsi="Calibri"/>
                <w:b w:val="0"/>
                <w:color w:val="222222"/>
                <w:sz w:val="17"/>
              </w:rPr>
              <w:t>34 hours</w:t>
            </w:r>
          </w:p>
        </w:tc>
      </w:tr>
      <w:tr>
        <w:tc>
          <w:tcPr>
            <w:tcW w:type="dxa" w:w="5040"/>
            <w:vAlign w:val="center"/>
            <w:shd w:fill="F8FAFC"/>
          </w:tcPr>
          <w:p>
            <w:r/>
            <w:r>
              <w:rPr>
                <w:rFonts w:ascii="Calibri" w:hAnsi="Calibri"/>
                <w:b w:val="0"/>
                <w:color w:val="222222"/>
                <w:sz w:val="17"/>
              </w:rPr>
              <w:t>Dataset Status</w:t>
            </w:r>
          </w:p>
        </w:tc>
        <w:tc>
          <w:tcPr>
            <w:tcW w:type="dxa" w:w="5040"/>
            <w:vAlign w:val="center"/>
            <w:shd w:fill="F8FAFC"/>
          </w:tcPr>
          <w:p>
            <w:r/>
            <w:r>
              <w:rPr>
                <w:rFonts w:ascii="Calibri" w:hAnsi="Calibri"/>
                <w:b w:val="0"/>
                <w:color w:val="222222"/>
                <w:sz w:val="17"/>
              </w:rPr>
              <w:t>No dataset provided; framework designed to be adaptable</w:t>
            </w:r>
          </w:p>
        </w:tc>
      </w:tr>
    </w:tbl>
    <w:p>
      <w:pPr>
        <w:spacing w:after="100" w:line="252" w:lineRule="auto"/>
      </w:pPr>
    </w:p>
    <w:p>
      <w:pPr>
        <w:spacing w:after="100" w:line="252" w:lineRule="auto"/>
        <w:jc w:val="center"/>
      </w:pPr>
      <w:r>
        <w:rPr>
          <w:i/>
          <w:color w:val="666666"/>
          <w:sz w:val="20"/>
        </w:rPr>
        <w:t>Prepared for internship submission</w:t>
      </w:r>
    </w:p>
    <w:p>
      <w:pPr>
        <w:spacing w:after="100" w:line="252" w:lineRule="auto"/>
      </w:pPr>
      <w:r>
        <w:br w:type="page"/>
      </w:r>
    </w:p>
    <w:p>
      <w:pPr>
        <w:pStyle w:val="Heading1"/>
        <w:keepNext/>
        <w:spacing w:after="100" w:line="252" w:lineRule="auto"/>
      </w:pPr>
      <w:r>
        <w:t>1. Introduction to Exploratory Data Analysis</w:t>
      </w:r>
    </w:p>
    <w:p>
      <w:pPr>
        <w:spacing w:after="100" w:line="252" w:lineRule="auto"/>
      </w:pPr>
      <w:r>
        <w:t>Exploratory Data Analysis (EDA) is the systematic process of inspecting, summarising, visualising, and questioning a dataset before formal statistical modeling or machine-learning development. EDA helps a data scientist understand the structure and quality of data, discover patterns and relationships, identify unusual observations, and formulate useful analytical questions.</w:t>
      </w:r>
    </w:p>
    <w:p>
      <w:pPr>
        <w:spacing w:after="100" w:line="252" w:lineRule="auto"/>
      </w:pPr>
      <w:r>
        <w:t>For the proposed Student Academic Performance project, EDA will be used to understand how variables such as attendance, study hours, assignment performance, midterm score, previous semester performance, and participation may relate to the final academic outcome. Because Week 2 provides no dataset, this document defines a reusable framework rather than reporting findings from actual observations.</w:t>
      </w:r>
    </w:p>
    <w:p>
      <w:pPr>
        <w:pStyle w:val="Heading2"/>
        <w:keepNext/>
        <w:spacing w:after="100" w:line="252" w:lineRule="auto"/>
      </w:pPr>
      <w:r>
        <w:t>1.1 Why EDA Matters</w:t>
      </w:r>
    </w:p>
    <w:p>
      <w:pPr>
        <w:pStyle w:val="ListBullet"/>
        <w:spacing w:after="100" w:line="252" w:lineRule="auto"/>
      </w:pPr>
      <w:r>
        <w:t>Reveals data-quality problems before modeling.</w:t>
      </w:r>
    </w:p>
    <w:p>
      <w:pPr>
        <w:pStyle w:val="ListBullet"/>
        <w:spacing w:after="100" w:line="252" w:lineRule="auto"/>
      </w:pPr>
      <w:r>
        <w:t>Shows distributions, ranges, variability and potential skewness.</w:t>
      </w:r>
    </w:p>
    <w:p>
      <w:pPr>
        <w:pStyle w:val="ListBullet"/>
        <w:spacing w:after="100" w:line="252" w:lineRule="auto"/>
      </w:pPr>
      <w:r>
        <w:t>Identifies missing values, duplicates and unusual observations.</w:t>
      </w:r>
    </w:p>
    <w:p>
      <w:pPr>
        <w:pStyle w:val="ListBullet"/>
        <w:spacing w:after="100" w:line="252" w:lineRule="auto"/>
      </w:pPr>
      <w:r>
        <w:t>Helps detect relationships between predictors and the target.</w:t>
      </w:r>
    </w:p>
    <w:p>
      <w:pPr>
        <w:pStyle w:val="ListBullet"/>
        <w:spacing w:after="100" w:line="252" w:lineRule="auto"/>
      </w:pPr>
      <w:r>
        <w:t>Guides feature engineering and model selection.</w:t>
      </w:r>
    </w:p>
    <w:p>
      <w:pPr>
        <w:pStyle w:val="ListBullet"/>
        <w:spacing w:after="100" w:line="252" w:lineRule="auto"/>
      </w:pPr>
      <w:r>
        <w:t>Provides visual evidence that makes analytical findings easier to communicate.</w:t>
      </w:r>
    </w:p>
    <w:p>
      <w:pPr>
        <w:pStyle w:val="ListBullet"/>
        <w:spacing w:after="100" w:line="252" w:lineRule="auto"/>
      </w:pPr>
      <w:r>
        <w:t>Reduces the risk of building models on misunderstood or unsuitable data.</w:t>
      </w:r>
    </w:p>
    <w:p>
      <w:pPr>
        <w:pStyle w:val="Heading1"/>
        <w:keepNext/>
        <w:spacing w:after="100" w:line="252" w:lineRule="auto"/>
      </w:pPr>
      <w:r>
        <w:t>2. EDA Objectives</w:t>
      </w:r>
    </w:p>
    <w:p>
      <w:pPr>
        <w:pStyle w:val="ListNumber"/>
        <w:spacing w:after="100" w:line="252" w:lineRule="auto"/>
      </w:pPr>
      <w:r>
        <w:t>Understand dataset structure, size, variables and data types.</w:t>
      </w:r>
    </w:p>
    <w:p>
      <w:pPr>
        <w:pStyle w:val="ListNumber"/>
        <w:spacing w:after="100" w:line="252" w:lineRule="auto"/>
      </w:pPr>
      <w:r>
        <w:t>Assess completeness, consistency and validity of the data.</w:t>
      </w:r>
    </w:p>
    <w:p>
      <w:pPr>
        <w:pStyle w:val="ListNumber"/>
        <w:spacing w:after="100" w:line="252" w:lineRule="auto"/>
      </w:pPr>
      <w:r>
        <w:t>Summarise individual variables using descriptive statistics.</w:t>
      </w:r>
    </w:p>
    <w:p>
      <w:pPr>
        <w:pStyle w:val="ListNumber"/>
        <w:spacing w:after="100" w:line="252" w:lineRule="auto"/>
      </w:pPr>
      <w:r>
        <w:t>Explore pairwise and multivariable relationships.</w:t>
      </w:r>
    </w:p>
    <w:p>
      <w:pPr>
        <w:pStyle w:val="ListNumber"/>
        <w:spacing w:after="100" w:line="252" w:lineRule="auto"/>
      </w:pPr>
      <w:r>
        <w:t>Identify potential outliers, skewness and unusual patterns.</w:t>
      </w:r>
    </w:p>
    <w:p>
      <w:pPr>
        <w:pStyle w:val="ListNumber"/>
        <w:spacing w:after="100" w:line="252" w:lineRule="auto"/>
      </w:pPr>
      <w:r>
        <w:t>Select appropriate visualizations based on analytical questions and variable types.</w:t>
      </w:r>
    </w:p>
    <w:p>
      <w:pPr>
        <w:pStyle w:val="ListNumber"/>
        <w:spacing w:after="100" w:line="252" w:lineRule="auto"/>
      </w:pPr>
      <w:r>
        <w:t>Generate hypotheses and insights that can guide later modeling.</w:t>
      </w:r>
    </w:p>
    <w:p>
      <w:pPr>
        <w:pStyle w:val="ListNumber"/>
        <w:spacing w:after="100" w:line="252" w:lineRule="auto"/>
      </w:pPr>
      <w:r>
        <w:t>Document every major analytical decision for reproducibility.</w:t>
      </w:r>
    </w:p>
    <w:p>
      <w:pPr>
        <w:pStyle w:val="Heading1"/>
        <w:keepNext/>
        <w:spacing w:after="100" w:line="252" w:lineRule="auto"/>
      </w:pPr>
      <w:r>
        <w:t>3. Potential Data Types &amp; Dataset Profiling</w:t>
      </w:r>
    </w:p>
    <w:p>
      <w:pPr>
        <w:spacing w:after="100" w:line="252" w:lineRule="auto"/>
      </w:pPr>
      <w:r>
        <w:t>The framework is designed to work with common structured-data types. Correctly identifying data types is important because it determines which summaries, statistical techniques and visualizations are appropriate.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Calibri" w:hAnsi="Calibri"/>
                <w:b/>
                <w:color w:val="FFFFFF"/>
                <w:sz w:val="18"/>
              </w:rPr>
              <w:t>Data Type</w:t>
            </w:r>
          </w:p>
        </w:tc>
        <w:tc>
          <w:tcPr>
            <w:tcW w:type="dxa" w:w="3360"/>
            <w:vAlign w:val="center"/>
            <w:shd w:fill="17365D"/>
          </w:tcPr>
          <w:p>
            <w:r/>
            <w:r>
              <w:rPr>
                <w:rFonts w:ascii="Calibri" w:hAnsi="Calibri"/>
                <w:b/>
                <w:color w:val="FFFFFF"/>
                <w:sz w:val="18"/>
              </w:rPr>
              <w:t>Examples</w:t>
            </w:r>
          </w:p>
        </w:tc>
        <w:tc>
          <w:tcPr>
            <w:tcW w:type="dxa" w:w="3360"/>
            <w:vAlign w:val="center"/>
            <w:shd w:fill="17365D"/>
          </w:tcPr>
          <w:p>
            <w:r/>
            <w:r>
              <w:rPr>
                <w:rFonts w:ascii="Calibri" w:hAnsi="Calibri"/>
                <w:b/>
                <w:color w:val="FFFFFF"/>
                <w:sz w:val="18"/>
              </w:rPr>
              <w:t>Typical EDA / Visualization</w:t>
            </w:r>
          </w:p>
        </w:tc>
      </w:tr>
      <w:tr>
        <w:tc>
          <w:tcPr>
            <w:tcW w:type="dxa" w:w="3360"/>
            <w:vAlign w:val="center"/>
          </w:tcPr>
          <w:p>
            <w:r/>
            <w:r>
              <w:rPr>
                <w:rFonts w:ascii="Calibri" w:hAnsi="Calibri"/>
                <w:b w:val="0"/>
                <w:color w:val="222222"/>
                <w:sz w:val="17"/>
              </w:rPr>
              <w:t>Numeric — continuous</w:t>
            </w:r>
          </w:p>
        </w:tc>
        <w:tc>
          <w:tcPr>
            <w:tcW w:type="dxa" w:w="3360"/>
            <w:vAlign w:val="center"/>
          </w:tcPr>
          <w:p>
            <w:r/>
            <w:r>
              <w:rPr>
                <w:rFonts w:ascii="Calibri" w:hAnsi="Calibri"/>
                <w:b w:val="0"/>
                <w:color w:val="222222"/>
                <w:sz w:val="17"/>
              </w:rPr>
              <w:t>Attendance %, study hours, final score</w:t>
            </w:r>
          </w:p>
        </w:tc>
        <w:tc>
          <w:tcPr>
            <w:tcW w:type="dxa" w:w="3360"/>
            <w:vAlign w:val="center"/>
          </w:tcPr>
          <w:p>
            <w:r/>
            <w:r>
              <w:rPr>
                <w:rFonts w:ascii="Calibri" w:hAnsi="Calibri"/>
                <w:b w:val="0"/>
                <w:color w:val="222222"/>
                <w:sz w:val="17"/>
              </w:rPr>
              <w:t>Histogram, KDE, box plot, scatter plot</w:t>
            </w:r>
          </w:p>
        </w:tc>
      </w:tr>
      <w:tr>
        <w:tc>
          <w:tcPr>
            <w:tcW w:type="dxa" w:w="3360"/>
            <w:vAlign w:val="center"/>
            <w:shd w:fill="F8FAFC"/>
          </w:tcPr>
          <w:p>
            <w:r/>
            <w:r>
              <w:rPr>
                <w:rFonts w:ascii="Calibri" w:hAnsi="Calibri"/>
                <w:b w:val="0"/>
                <w:color w:val="222222"/>
                <w:sz w:val="17"/>
              </w:rPr>
              <w:t>Numeric — discrete</w:t>
            </w:r>
          </w:p>
        </w:tc>
        <w:tc>
          <w:tcPr>
            <w:tcW w:type="dxa" w:w="3360"/>
            <w:vAlign w:val="center"/>
            <w:shd w:fill="F8FAFC"/>
          </w:tcPr>
          <w:p>
            <w:r/>
            <w:r>
              <w:rPr>
                <w:rFonts w:ascii="Calibri" w:hAnsi="Calibri"/>
                <w:b w:val="0"/>
                <w:color w:val="222222"/>
                <w:sz w:val="17"/>
              </w:rPr>
              <w:t>Number of assignments, absence count</w:t>
            </w:r>
          </w:p>
        </w:tc>
        <w:tc>
          <w:tcPr>
            <w:tcW w:type="dxa" w:w="3360"/>
            <w:vAlign w:val="center"/>
            <w:shd w:fill="F8FAFC"/>
          </w:tcPr>
          <w:p>
            <w:r/>
            <w:r>
              <w:rPr>
                <w:rFonts w:ascii="Calibri" w:hAnsi="Calibri"/>
                <w:b w:val="0"/>
                <w:color w:val="222222"/>
                <w:sz w:val="17"/>
              </w:rPr>
              <w:t>Bar chart, histogram, box plot</w:t>
            </w:r>
          </w:p>
        </w:tc>
      </w:tr>
      <w:tr>
        <w:tc>
          <w:tcPr>
            <w:tcW w:type="dxa" w:w="3360"/>
            <w:vAlign w:val="center"/>
          </w:tcPr>
          <w:p>
            <w:r/>
            <w:r>
              <w:rPr>
                <w:rFonts w:ascii="Calibri" w:hAnsi="Calibri"/>
                <w:b w:val="0"/>
                <w:color w:val="222222"/>
                <w:sz w:val="17"/>
              </w:rPr>
              <w:t>Categorical — nominal</w:t>
            </w:r>
          </w:p>
        </w:tc>
        <w:tc>
          <w:tcPr>
            <w:tcW w:type="dxa" w:w="3360"/>
            <w:vAlign w:val="center"/>
          </w:tcPr>
          <w:p>
            <w:r/>
            <w:r>
              <w:rPr>
                <w:rFonts w:ascii="Calibri" w:hAnsi="Calibri"/>
                <w:b w:val="0"/>
                <w:color w:val="222222"/>
                <w:sz w:val="17"/>
              </w:rPr>
              <w:t>Participation level, subject, program</w:t>
            </w:r>
          </w:p>
        </w:tc>
        <w:tc>
          <w:tcPr>
            <w:tcW w:type="dxa" w:w="3360"/>
            <w:vAlign w:val="center"/>
          </w:tcPr>
          <w:p>
            <w:r/>
            <w:r>
              <w:rPr>
                <w:rFonts w:ascii="Calibri" w:hAnsi="Calibri"/>
                <w:b w:val="0"/>
                <w:color w:val="222222"/>
                <w:sz w:val="17"/>
              </w:rPr>
              <w:t>Count plot, bar chart</w:t>
            </w:r>
          </w:p>
        </w:tc>
      </w:tr>
      <w:tr>
        <w:tc>
          <w:tcPr>
            <w:tcW w:type="dxa" w:w="3360"/>
            <w:vAlign w:val="center"/>
            <w:shd w:fill="F8FAFC"/>
          </w:tcPr>
          <w:p>
            <w:r/>
            <w:r>
              <w:rPr>
                <w:rFonts w:ascii="Calibri" w:hAnsi="Calibri"/>
                <w:b w:val="0"/>
                <w:color w:val="222222"/>
                <w:sz w:val="17"/>
              </w:rPr>
              <w:t>Categorical — ordinal</w:t>
            </w:r>
          </w:p>
        </w:tc>
        <w:tc>
          <w:tcPr>
            <w:tcW w:type="dxa" w:w="3360"/>
            <w:vAlign w:val="center"/>
            <w:shd w:fill="F8FAFC"/>
          </w:tcPr>
          <w:p>
            <w:r/>
            <w:r>
              <w:rPr>
                <w:rFonts w:ascii="Calibri" w:hAnsi="Calibri"/>
                <w:b w:val="0"/>
                <w:color w:val="222222"/>
                <w:sz w:val="17"/>
              </w:rPr>
              <w:t>Low / Medium / High performance</w:t>
            </w:r>
          </w:p>
        </w:tc>
        <w:tc>
          <w:tcPr>
            <w:tcW w:type="dxa" w:w="3360"/>
            <w:vAlign w:val="center"/>
            <w:shd w:fill="F8FAFC"/>
          </w:tcPr>
          <w:p>
            <w:r/>
            <w:r>
              <w:rPr>
                <w:rFonts w:ascii="Calibri" w:hAnsi="Calibri"/>
                <w:b w:val="0"/>
                <w:color w:val="222222"/>
                <w:sz w:val="17"/>
              </w:rPr>
              <w:t>Ordered bar chart, box plot</w:t>
            </w:r>
          </w:p>
        </w:tc>
      </w:tr>
      <w:tr>
        <w:tc>
          <w:tcPr>
            <w:tcW w:type="dxa" w:w="3360"/>
            <w:vAlign w:val="center"/>
          </w:tcPr>
          <w:p>
            <w:r/>
            <w:r>
              <w:rPr>
                <w:rFonts w:ascii="Calibri" w:hAnsi="Calibri"/>
                <w:b w:val="0"/>
                <w:color w:val="222222"/>
                <w:sz w:val="17"/>
              </w:rPr>
              <w:t>Boolean / binary</w:t>
            </w:r>
          </w:p>
        </w:tc>
        <w:tc>
          <w:tcPr>
            <w:tcW w:type="dxa" w:w="3360"/>
            <w:vAlign w:val="center"/>
          </w:tcPr>
          <w:p>
            <w:r/>
            <w:r>
              <w:rPr>
                <w:rFonts w:ascii="Calibri" w:hAnsi="Calibri"/>
                <w:b w:val="0"/>
                <w:color w:val="222222"/>
                <w:sz w:val="17"/>
              </w:rPr>
              <w:t>Passed/failed, yes/no</w:t>
            </w:r>
          </w:p>
        </w:tc>
        <w:tc>
          <w:tcPr>
            <w:tcW w:type="dxa" w:w="3360"/>
            <w:vAlign w:val="center"/>
          </w:tcPr>
          <w:p>
            <w:r/>
            <w:r>
              <w:rPr>
                <w:rFonts w:ascii="Calibri" w:hAnsi="Calibri"/>
                <w:b w:val="0"/>
                <w:color w:val="222222"/>
                <w:sz w:val="17"/>
              </w:rPr>
              <w:t>Count plot, proportion bar</w:t>
            </w:r>
          </w:p>
        </w:tc>
      </w:tr>
      <w:tr>
        <w:tc>
          <w:tcPr>
            <w:tcW w:type="dxa" w:w="3360"/>
            <w:vAlign w:val="center"/>
            <w:shd w:fill="F8FAFC"/>
          </w:tcPr>
          <w:p>
            <w:r/>
            <w:r>
              <w:rPr>
                <w:rFonts w:ascii="Calibri" w:hAnsi="Calibri"/>
                <w:b w:val="0"/>
                <w:color w:val="222222"/>
                <w:sz w:val="17"/>
              </w:rPr>
              <w:t>Datetime</w:t>
            </w:r>
          </w:p>
        </w:tc>
        <w:tc>
          <w:tcPr>
            <w:tcW w:type="dxa" w:w="3360"/>
            <w:vAlign w:val="center"/>
            <w:shd w:fill="F8FAFC"/>
          </w:tcPr>
          <w:p>
            <w:r/>
            <w:r>
              <w:rPr>
                <w:rFonts w:ascii="Calibri" w:hAnsi="Calibri"/>
                <w:b w:val="0"/>
                <w:color w:val="222222"/>
                <w:sz w:val="17"/>
              </w:rPr>
              <w:t>Submission date, exam date</w:t>
            </w:r>
          </w:p>
        </w:tc>
        <w:tc>
          <w:tcPr>
            <w:tcW w:type="dxa" w:w="3360"/>
            <w:vAlign w:val="center"/>
            <w:shd w:fill="F8FAFC"/>
          </w:tcPr>
          <w:p>
            <w:r/>
            <w:r>
              <w:rPr>
                <w:rFonts w:ascii="Calibri" w:hAnsi="Calibri"/>
                <w:b w:val="0"/>
                <w:color w:val="222222"/>
                <w:sz w:val="17"/>
              </w:rPr>
              <w:t>Line chart, time trend</w:t>
            </w:r>
          </w:p>
        </w:tc>
      </w:tr>
      <w:tr>
        <w:tc>
          <w:tcPr>
            <w:tcW w:type="dxa" w:w="3360"/>
            <w:vAlign w:val="center"/>
          </w:tcPr>
          <w:p>
            <w:r/>
            <w:r>
              <w:rPr>
                <w:rFonts w:ascii="Calibri" w:hAnsi="Calibri"/>
                <w:b w:val="0"/>
                <w:color w:val="222222"/>
                <w:sz w:val="17"/>
              </w:rPr>
              <w:t>Text</w:t>
            </w:r>
          </w:p>
        </w:tc>
        <w:tc>
          <w:tcPr>
            <w:tcW w:type="dxa" w:w="3360"/>
            <w:vAlign w:val="center"/>
          </w:tcPr>
          <w:p>
            <w:r/>
            <w:r>
              <w:rPr>
                <w:rFonts w:ascii="Calibri" w:hAnsi="Calibri"/>
                <w:b w:val="0"/>
                <w:color w:val="222222"/>
                <w:sz w:val="17"/>
              </w:rPr>
              <w:t>Comments or free-form responses</w:t>
            </w:r>
          </w:p>
        </w:tc>
        <w:tc>
          <w:tcPr>
            <w:tcW w:type="dxa" w:w="3360"/>
            <w:vAlign w:val="center"/>
          </w:tcPr>
          <w:p>
            <w:r/>
            <w:r>
              <w:rPr>
                <w:rFonts w:ascii="Calibri" w:hAnsi="Calibri"/>
                <w:b w:val="0"/>
                <w:color w:val="222222"/>
                <w:sz w:val="17"/>
              </w:rPr>
              <w:t>Length/frequency analysis; NLP only if in scope</w:t>
            </w:r>
          </w:p>
        </w:tc>
      </w:tr>
    </w:tbl>
    <w:p>
      <w:pPr>
        <w:spacing w:after="100" w:line="252" w:lineRule="auto"/>
      </w:pPr>
    </w:p>
    <w:p>
      <w:pPr>
        <w:pStyle w:val="Heading2"/>
        <w:keepNext/>
        <w:spacing w:after="100" w:line="252" w:lineRule="auto"/>
      </w:pPr>
      <w:r>
        <w:t>3.1 Initial Dataset Profiling</w:t>
      </w:r>
    </w:p>
    <w:p>
      <w:pPr>
        <w:pStyle w:val="ListBullet"/>
        <w:spacing w:after="100" w:line="252" w:lineRule="auto"/>
      </w:pPr>
      <w:r>
        <w:t>Load data with Pandas and inspect rows and columns.</w:t>
      </w:r>
    </w:p>
    <w:p>
      <w:pPr>
        <w:pStyle w:val="ListBullet"/>
        <w:spacing w:after="100" w:line="252" w:lineRule="auto"/>
      </w:pPr>
      <w:r>
        <w:t>Check data shape, column names and data types.</w:t>
      </w:r>
    </w:p>
    <w:p>
      <w:pPr>
        <w:pStyle w:val="ListBullet"/>
        <w:spacing w:after="100" w:line="252" w:lineRule="auto"/>
      </w:pPr>
      <w:r>
        <w:t>Review sample records using head() and tail().</w:t>
      </w:r>
    </w:p>
    <w:p>
      <w:pPr>
        <w:pStyle w:val="ListBullet"/>
        <w:spacing w:after="100" w:line="252" w:lineRule="auto"/>
      </w:pPr>
      <w:r>
        <w:t>Generate descriptive statistics for numeric and categorical fields.</w:t>
      </w:r>
    </w:p>
    <w:p>
      <w:pPr>
        <w:pStyle w:val="ListBullet"/>
        <w:spacing w:after="100" w:line="252" w:lineRule="auto"/>
      </w:pPr>
      <w:r>
        <w:t>Measure missingness by column and, where useful, by row.</w:t>
      </w:r>
    </w:p>
    <w:p>
      <w:pPr>
        <w:pStyle w:val="ListBullet"/>
        <w:spacing w:after="100" w:line="252" w:lineRule="auto"/>
      </w:pPr>
      <w:r>
        <w:t>Check duplicate records and unique category values.</w:t>
      </w:r>
    </w:p>
    <w:p>
      <w:pPr>
        <w:pStyle w:val="ListBullet"/>
        <w:spacing w:after="100" w:line="252" w:lineRule="auto"/>
      </w:pPr>
      <w:r>
        <w:t>Confirm units, valid ranges and target definition against the data dictionary.</w:t>
      </w:r>
    </w:p>
    <w:p>
      <w:pPr>
        <w:pStyle w:val="Heading1"/>
        <w:keepNext/>
        <w:spacing w:after="100" w:line="252" w:lineRule="auto"/>
      </w:pPr>
      <w:r>
        <w:t>4. Proposed EDA Workflow</w:t>
      </w:r>
    </w:p>
    <w:p>
      <w:pPr>
        <w:spacing w:after="100" w:line="252" w:lineRule="auto"/>
        <w:jc w:val="center"/>
      </w:pPr>
      <w:r>
        <w:drawing>
          <wp:inline xmlns:a="http://schemas.openxmlformats.org/drawingml/2006/main" xmlns:pic="http://schemas.openxmlformats.org/drawingml/2006/picture">
            <wp:extent cx="6400800" cy="2834640"/>
            <wp:docPr id="1" name="Picture 1"/>
            <wp:cNvGraphicFramePr>
              <a:graphicFrameLocks noChangeAspect="1"/>
            </wp:cNvGraphicFramePr>
            <a:graphic>
              <a:graphicData uri="http://schemas.openxmlformats.org/drawingml/2006/picture">
                <pic:pic>
                  <pic:nvPicPr>
                    <pic:cNvPr id="0" name="week2_eda_workflow.png"/>
                    <pic:cNvPicPr/>
                  </pic:nvPicPr>
                  <pic:blipFill>
                    <a:blip r:embed="rId11"/>
                    <a:stretch>
                      <a:fillRect/>
                    </a:stretch>
                  </pic:blipFill>
                  <pic:spPr>
                    <a:xfrm>
                      <a:off x="0" y="0"/>
                      <a:ext cx="6400800" cy="2834640"/>
                    </a:xfrm>
                    <a:prstGeom prst="rect"/>
                  </pic:spPr>
                </pic:pic>
              </a:graphicData>
            </a:graphic>
          </wp:inline>
        </w:drawing>
      </w:r>
    </w:p>
    <w:p>
      <w:pPr>
        <w:pStyle w:val="Caption"/>
        <w:spacing w:after="100" w:line="252" w:lineRule="auto"/>
      </w:pPr>
      <w:r>
        <w:t>Figure 1. Planned EDA and visualization workflow.</w:t>
      </w:r>
    </w:p>
    <w:p>
      <w:pPr>
        <w:pStyle w:val="Heading1"/>
        <w:keepNext/>
        <w:spacing w:after="100" w:line="252" w:lineRule="auto"/>
      </w:pPr>
      <w:r>
        <w:t>5. Data Quality Assessment</w:t>
      </w:r>
    </w:p>
    <w:p>
      <w:pPr>
        <w:pStyle w:val="Heading2"/>
        <w:keepNext/>
        <w:spacing w:after="100" w:line="252" w:lineRule="auto"/>
      </w:pPr>
      <w:r>
        <w:t>5.1 Missing Data</w:t>
      </w:r>
    </w:p>
    <w:p>
      <w:pPr>
        <w:spacing w:after="100" w:line="252" w:lineRule="auto"/>
      </w:pPr>
      <w:r>
        <w:t>Missing values will first be quantified and investigated rather than automatically replaced. The treatment will depend on the amount of missingness, variable meaning, missingness pattern, and analytical objective.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Calibri" w:hAnsi="Calibri"/>
                <w:b/>
                <w:color w:val="FFFFFF"/>
                <w:sz w:val="18"/>
              </w:rPr>
              <w:t>Situation</w:t>
            </w:r>
          </w:p>
        </w:tc>
        <w:tc>
          <w:tcPr>
            <w:tcW w:type="dxa" w:w="3360"/>
            <w:vAlign w:val="center"/>
            <w:shd w:fill="17365D"/>
          </w:tcPr>
          <w:p>
            <w:r/>
            <w:r>
              <w:rPr>
                <w:rFonts w:ascii="Calibri" w:hAnsi="Calibri"/>
                <w:b/>
                <w:color w:val="FFFFFF"/>
                <w:sz w:val="18"/>
              </w:rPr>
              <w:t>Possible Treatment</w:t>
            </w:r>
          </w:p>
        </w:tc>
        <w:tc>
          <w:tcPr>
            <w:tcW w:type="dxa" w:w="3360"/>
            <w:vAlign w:val="center"/>
            <w:shd w:fill="17365D"/>
          </w:tcPr>
          <w:p>
            <w:r/>
            <w:r>
              <w:rPr>
                <w:rFonts w:ascii="Calibri" w:hAnsi="Calibri"/>
                <w:b/>
                <w:color w:val="FFFFFF"/>
                <w:sz w:val="18"/>
              </w:rPr>
              <w:t>Decision Principle</w:t>
            </w:r>
          </w:p>
        </w:tc>
      </w:tr>
      <w:tr>
        <w:tc>
          <w:tcPr>
            <w:tcW w:type="dxa" w:w="3360"/>
            <w:vAlign w:val="center"/>
          </w:tcPr>
          <w:p>
            <w:r/>
            <w:r>
              <w:rPr>
                <w:rFonts w:ascii="Calibri" w:hAnsi="Calibri"/>
                <w:b w:val="0"/>
                <w:color w:val="222222"/>
                <w:sz w:val="17"/>
              </w:rPr>
              <w:t>Small amount of random missing numeric values</w:t>
            </w:r>
          </w:p>
        </w:tc>
        <w:tc>
          <w:tcPr>
            <w:tcW w:type="dxa" w:w="3360"/>
            <w:vAlign w:val="center"/>
          </w:tcPr>
          <w:p>
            <w:r/>
            <w:r>
              <w:rPr>
                <w:rFonts w:ascii="Calibri" w:hAnsi="Calibri"/>
                <w:b w:val="0"/>
                <w:color w:val="222222"/>
                <w:sz w:val="17"/>
              </w:rPr>
              <w:t>Median/mean imputation or appropriate model-based method</w:t>
            </w:r>
          </w:p>
        </w:tc>
        <w:tc>
          <w:tcPr>
            <w:tcW w:type="dxa" w:w="3360"/>
            <w:vAlign w:val="center"/>
          </w:tcPr>
          <w:p>
            <w:r/>
            <w:r>
              <w:rPr>
                <w:rFonts w:ascii="Calibri" w:hAnsi="Calibri"/>
                <w:b w:val="0"/>
                <w:color w:val="222222"/>
                <w:sz w:val="17"/>
              </w:rPr>
              <w:t>Preserve records while limiting distortion.</w:t>
            </w:r>
          </w:p>
        </w:tc>
      </w:tr>
      <w:tr>
        <w:tc>
          <w:tcPr>
            <w:tcW w:type="dxa" w:w="3360"/>
            <w:vAlign w:val="center"/>
            <w:shd w:fill="F8FAFC"/>
          </w:tcPr>
          <w:p>
            <w:r/>
            <w:r>
              <w:rPr>
                <w:rFonts w:ascii="Calibri" w:hAnsi="Calibri"/>
                <w:b w:val="0"/>
                <w:color w:val="222222"/>
                <w:sz w:val="17"/>
              </w:rPr>
              <w:t>Categorical missing values</w:t>
            </w:r>
          </w:p>
        </w:tc>
        <w:tc>
          <w:tcPr>
            <w:tcW w:type="dxa" w:w="3360"/>
            <w:vAlign w:val="center"/>
            <w:shd w:fill="F8FAFC"/>
          </w:tcPr>
          <w:p>
            <w:r/>
            <w:r>
              <w:rPr>
                <w:rFonts w:ascii="Calibri" w:hAnsi="Calibri"/>
                <w:b w:val="0"/>
                <w:color w:val="222222"/>
                <w:sz w:val="17"/>
              </w:rPr>
              <w:t>Explicit 'Unknown' category or mode when justified</w:t>
            </w:r>
          </w:p>
        </w:tc>
        <w:tc>
          <w:tcPr>
            <w:tcW w:type="dxa" w:w="3360"/>
            <w:vAlign w:val="center"/>
            <w:shd w:fill="F8FAFC"/>
          </w:tcPr>
          <w:p>
            <w:r/>
            <w:r>
              <w:rPr>
                <w:rFonts w:ascii="Calibri" w:hAnsi="Calibri"/>
                <w:b w:val="0"/>
                <w:color w:val="222222"/>
                <w:sz w:val="17"/>
              </w:rPr>
              <w:t>Avoid hiding meaningful missingness.</w:t>
            </w:r>
          </w:p>
        </w:tc>
      </w:tr>
      <w:tr>
        <w:tc>
          <w:tcPr>
            <w:tcW w:type="dxa" w:w="3360"/>
            <w:vAlign w:val="center"/>
          </w:tcPr>
          <w:p>
            <w:r/>
            <w:r>
              <w:rPr>
                <w:rFonts w:ascii="Calibri" w:hAnsi="Calibri"/>
                <w:b w:val="0"/>
                <w:color w:val="222222"/>
                <w:sz w:val="17"/>
              </w:rPr>
              <w:t>Large missingness in a critical feature</w:t>
            </w:r>
          </w:p>
        </w:tc>
        <w:tc>
          <w:tcPr>
            <w:tcW w:type="dxa" w:w="3360"/>
            <w:vAlign w:val="center"/>
          </w:tcPr>
          <w:p>
            <w:r/>
            <w:r>
              <w:rPr>
                <w:rFonts w:ascii="Calibri" w:hAnsi="Calibri"/>
                <w:b w:val="0"/>
                <w:color w:val="222222"/>
                <w:sz w:val="17"/>
              </w:rPr>
              <w:t>Investigate source; consider excluding feature</w:t>
            </w:r>
          </w:p>
        </w:tc>
        <w:tc>
          <w:tcPr>
            <w:tcW w:type="dxa" w:w="3360"/>
            <w:vAlign w:val="center"/>
          </w:tcPr>
          <w:p>
            <w:r/>
            <w:r>
              <w:rPr>
                <w:rFonts w:ascii="Calibri" w:hAnsi="Calibri"/>
                <w:b w:val="0"/>
                <w:color w:val="222222"/>
                <w:sz w:val="17"/>
              </w:rPr>
              <w:t>Avoid unreliable information.</w:t>
            </w:r>
          </w:p>
        </w:tc>
      </w:tr>
      <w:tr>
        <w:tc>
          <w:tcPr>
            <w:tcW w:type="dxa" w:w="3360"/>
            <w:vAlign w:val="center"/>
            <w:shd w:fill="F8FAFC"/>
          </w:tcPr>
          <w:p>
            <w:r/>
            <w:r>
              <w:rPr>
                <w:rFonts w:ascii="Calibri" w:hAnsi="Calibri"/>
                <w:b w:val="0"/>
                <w:color w:val="222222"/>
                <w:sz w:val="17"/>
              </w:rPr>
              <w:t>Missing target values</w:t>
            </w:r>
          </w:p>
        </w:tc>
        <w:tc>
          <w:tcPr>
            <w:tcW w:type="dxa" w:w="3360"/>
            <w:vAlign w:val="center"/>
            <w:shd w:fill="F8FAFC"/>
          </w:tcPr>
          <w:p>
            <w:r/>
            <w:r>
              <w:rPr>
                <w:rFonts w:ascii="Calibri" w:hAnsi="Calibri"/>
                <w:b w:val="0"/>
                <w:color w:val="222222"/>
                <w:sz w:val="17"/>
              </w:rPr>
              <w:t>Usually exclude from supervised training</w:t>
            </w:r>
          </w:p>
        </w:tc>
        <w:tc>
          <w:tcPr>
            <w:tcW w:type="dxa" w:w="3360"/>
            <w:vAlign w:val="center"/>
            <w:shd w:fill="F8FAFC"/>
          </w:tcPr>
          <w:p>
            <w:r/>
            <w:r>
              <w:rPr>
                <w:rFonts w:ascii="Calibri" w:hAnsi="Calibri"/>
                <w:b w:val="0"/>
                <w:color w:val="222222"/>
                <w:sz w:val="17"/>
              </w:rPr>
              <w:t>Target is required for evaluation.</w:t>
            </w:r>
          </w:p>
        </w:tc>
      </w:tr>
      <w:tr>
        <w:tc>
          <w:tcPr>
            <w:tcW w:type="dxa" w:w="3360"/>
            <w:vAlign w:val="center"/>
          </w:tcPr>
          <w:p>
            <w:r/>
            <w:r>
              <w:rPr>
                <w:rFonts w:ascii="Calibri" w:hAnsi="Calibri"/>
                <w:b w:val="0"/>
                <w:color w:val="222222"/>
                <w:sz w:val="17"/>
              </w:rPr>
              <w:t>Systematic missingness</w:t>
            </w:r>
          </w:p>
        </w:tc>
        <w:tc>
          <w:tcPr>
            <w:tcW w:type="dxa" w:w="3360"/>
            <w:vAlign w:val="center"/>
          </w:tcPr>
          <w:p>
            <w:r/>
            <w:r>
              <w:rPr>
                <w:rFonts w:ascii="Calibri" w:hAnsi="Calibri"/>
                <w:b w:val="0"/>
                <w:color w:val="222222"/>
                <w:sz w:val="17"/>
              </w:rPr>
              <w:t>Investigate collection process</w:t>
            </w:r>
          </w:p>
        </w:tc>
        <w:tc>
          <w:tcPr>
            <w:tcW w:type="dxa" w:w="3360"/>
            <w:vAlign w:val="center"/>
          </w:tcPr>
          <w:p>
            <w:r/>
            <w:r>
              <w:rPr>
                <w:rFonts w:ascii="Calibri" w:hAnsi="Calibri"/>
                <w:b w:val="0"/>
                <w:color w:val="222222"/>
                <w:sz w:val="17"/>
              </w:rPr>
              <w:t>Missingness itself may carry information.</w:t>
            </w:r>
          </w:p>
        </w:tc>
      </w:tr>
    </w:tbl>
    <w:p>
      <w:pPr>
        <w:spacing w:after="100" w:line="252" w:lineRule="auto"/>
      </w:pPr>
    </w:p>
    <w:p>
      <w:pPr>
        <w:pStyle w:val="Heading2"/>
        <w:keepNext/>
        <w:spacing w:after="100" w:line="252" w:lineRule="auto"/>
      </w:pPr>
      <w:r>
        <w:t>5.2 Duplicates &amp; Invalid Values</w:t>
      </w:r>
    </w:p>
    <w:p>
      <w:pPr>
        <w:pStyle w:val="ListBullet"/>
        <w:spacing w:after="100" w:line="252" w:lineRule="auto"/>
      </w:pPr>
      <w:r>
        <w:t>Identify exact duplicates and assess whether they represent repeated observations or errors.</w:t>
      </w:r>
    </w:p>
    <w:p>
      <w:pPr>
        <w:pStyle w:val="ListBullet"/>
        <w:spacing w:after="100" w:line="252" w:lineRule="auto"/>
      </w:pPr>
      <w:r>
        <w:t>Validate numeric ranges such as attendance percentages and assessment scores.</w:t>
      </w:r>
    </w:p>
    <w:p>
      <w:pPr>
        <w:pStyle w:val="ListBullet"/>
        <w:spacing w:after="100" w:line="252" w:lineRule="auto"/>
      </w:pPr>
      <w:r>
        <w:t>Standardize units and categorical labels.</w:t>
      </w:r>
    </w:p>
    <w:p>
      <w:pPr>
        <w:pStyle w:val="ListBullet"/>
        <w:spacing w:after="100" w:line="252" w:lineRule="auto"/>
      </w:pPr>
      <w:r>
        <w:t>Check impossible dates, negative counts and inconsistent identifiers.</w:t>
      </w:r>
    </w:p>
    <w:p>
      <w:pPr>
        <w:pStyle w:val="ListBullet"/>
        <w:spacing w:after="100" w:line="252" w:lineRule="auto"/>
      </w:pPr>
      <w:r>
        <w:t>Record all cleaning decisions rather than silently changing data.</w:t>
      </w:r>
    </w:p>
    <w:p>
      <w:pPr>
        <w:pStyle w:val="Heading2"/>
        <w:keepNext/>
        <w:spacing w:after="100" w:line="252" w:lineRule="auto"/>
      </w:pPr>
      <w:r>
        <w:t>5.3 Outlier Detection</w:t>
      </w:r>
    </w:p>
    <w:p>
      <w:pPr>
        <w:spacing w:after="100" w:line="252" w:lineRule="auto"/>
      </w:pPr>
      <w:r>
        <w:t>Outliers will be treated as observations requiring investigation, not automatically as errors. Detection methods may include the Interquartile Range (IQR) rule, box plots, z-scores where assumptions are appropriate, and visual inspection.</w:t>
      </w:r>
    </w:p>
    <w:p>
      <w:pPr>
        <w:pStyle w:val="ListBullet"/>
        <w:spacing w:after="100" w:line="252" w:lineRule="auto"/>
      </w:pPr>
      <w:r>
        <w:t>Verify whether an extreme value is valid and meaningful.</w:t>
      </w:r>
    </w:p>
    <w:p>
      <w:pPr>
        <w:pStyle w:val="ListBullet"/>
        <w:spacing w:after="100" w:line="252" w:lineRule="auto"/>
      </w:pPr>
      <w:r>
        <w:t>Correct clear data-entry errors when reliable evidence exists.</w:t>
      </w:r>
    </w:p>
    <w:p>
      <w:pPr>
        <w:pStyle w:val="ListBullet"/>
        <w:spacing w:after="100" w:line="252" w:lineRule="auto"/>
      </w:pPr>
      <w:r>
        <w:t>Consider transformation or robust methods when extreme values are legitimate.</w:t>
      </w:r>
    </w:p>
    <w:p>
      <w:pPr>
        <w:pStyle w:val="ListBullet"/>
        <w:spacing w:after="100" w:line="252" w:lineRule="auto"/>
      </w:pPr>
      <w:r>
        <w:t>Compare results with and without influential observations when appropriate.</w:t>
      </w:r>
    </w:p>
    <w:p>
      <w:pPr>
        <w:pStyle w:val="Heading1"/>
        <w:keepNext/>
        <w:spacing w:after="100" w:line="252" w:lineRule="auto"/>
      </w:pPr>
      <w:r>
        <w:t>6. Univariate Analysis</w:t>
      </w:r>
    </w:p>
    <w:p>
      <w:pPr>
        <w:spacing w:after="100" w:line="252" w:lineRule="auto"/>
      </w:pPr>
      <w:r>
        <w:t>Univariate analysis examines one variable at a time. The objective is to understand its distribution, central tendency, variability, frequency and unusual values.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Calibri" w:hAnsi="Calibri"/>
                <w:b/>
                <w:color w:val="FFFFFF"/>
                <w:sz w:val="18"/>
              </w:rPr>
              <w:t>Variable Type</w:t>
            </w:r>
          </w:p>
        </w:tc>
        <w:tc>
          <w:tcPr>
            <w:tcW w:type="dxa" w:w="3360"/>
            <w:vAlign w:val="center"/>
            <w:shd w:fill="17365D"/>
          </w:tcPr>
          <w:p>
            <w:r/>
            <w:r>
              <w:rPr>
                <w:rFonts w:ascii="Calibri" w:hAnsi="Calibri"/>
                <w:b/>
                <w:color w:val="FFFFFF"/>
                <w:sz w:val="18"/>
              </w:rPr>
              <w:t>Techniques</w:t>
            </w:r>
          </w:p>
        </w:tc>
        <w:tc>
          <w:tcPr>
            <w:tcW w:type="dxa" w:w="3360"/>
            <w:vAlign w:val="center"/>
            <w:shd w:fill="17365D"/>
          </w:tcPr>
          <w:p>
            <w:r/>
            <w:r>
              <w:rPr>
                <w:rFonts w:ascii="Calibri" w:hAnsi="Calibri"/>
                <w:b/>
                <w:color w:val="FFFFFF"/>
                <w:sz w:val="18"/>
              </w:rPr>
              <w:t>Example Question</w:t>
            </w:r>
          </w:p>
        </w:tc>
      </w:tr>
      <w:tr>
        <w:tc>
          <w:tcPr>
            <w:tcW w:type="dxa" w:w="3360"/>
            <w:vAlign w:val="center"/>
          </w:tcPr>
          <w:p>
            <w:r/>
            <w:r>
              <w:rPr>
                <w:rFonts w:ascii="Calibri" w:hAnsi="Calibri"/>
                <w:b w:val="0"/>
                <w:color w:val="222222"/>
                <w:sz w:val="17"/>
              </w:rPr>
              <w:t>Numeric</w:t>
            </w:r>
          </w:p>
        </w:tc>
        <w:tc>
          <w:tcPr>
            <w:tcW w:type="dxa" w:w="3360"/>
            <w:vAlign w:val="center"/>
          </w:tcPr>
          <w:p>
            <w:r/>
            <w:r>
              <w:rPr>
                <w:rFonts w:ascii="Calibri" w:hAnsi="Calibri"/>
                <w:b w:val="0"/>
                <w:color w:val="222222"/>
                <w:sz w:val="17"/>
              </w:rPr>
              <w:t>Mean, median, quantiles, standard deviation, histogram, KDE, box plot</w:t>
            </w:r>
          </w:p>
        </w:tc>
        <w:tc>
          <w:tcPr>
            <w:tcW w:type="dxa" w:w="3360"/>
            <w:vAlign w:val="center"/>
          </w:tcPr>
          <w:p>
            <w:r/>
            <w:r>
              <w:rPr>
                <w:rFonts w:ascii="Calibri" w:hAnsi="Calibri"/>
                <w:b w:val="0"/>
                <w:color w:val="222222"/>
                <w:sz w:val="17"/>
              </w:rPr>
              <w:t>What is the distribution of attendance and final scores?</w:t>
            </w:r>
          </w:p>
        </w:tc>
      </w:tr>
      <w:tr>
        <w:tc>
          <w:tcPr>
            <w:tcW w:type="dxa" w:w="3360"/>
            <w:vAlign w:val="center"/>
            <w:shd w:fill="F8FAFC"/>
          </w:tcPr>
          <w:p>
            <w:r/>
            <w:r>
              <w:rPr>
                <w:rFonts w:ascii="Calibri" w:hAnsi="Calibri"/>
                <w:b w:val="0"/>
                <w:color w:val="222222"/>
                <w:sz w:val="17"/>
              </w:rPr>
              <w:t>Categorical</w:t>
            </w:r>
          </w:p>
        </w:tc>
        <w:tc>
          <w:tcPr>
            <w:tcW w:type="dxa" w:w="3360"/>
            <w:vAlign w:val="center"/>
            <w:shd w:fill="F8FAFC"/>
          </w:tcPr>
          <w:p>
            <w:r/>
            <w:r>
              <w:rPr>
                <w:rFonts w:ascii="Calibri" w:hAnsi="Calibri"/>
                <w:b w:val="0"/>
                <w:color w:val="222222"/>
                <w:sz w:val="17"/>
              </w:rPr>
              <w:t>Frequency table, unique count, bar/count plot</w:t>
            </w:r>
          </w:p>
        </w:tc>
        <w:tc>
          <w:tcPr>
            <w:tcW w:type="dxa" w:w="3360"/>
            <w:vAlign w:val="center"/>
            <w:shd w:fill="F8FAFC"/>
          </w:tcPr>
          <w:p>
            <w:r/>
            <w:r>
              <w:rPr>
                <w:rFonts w:ascii="Calibri" w:hAnsi="Calibri"/>
                <w:b w:val="0"/>
                <w:color w:val="222222"/>
                <w:sz w:val="17"/>
              </w:rPr>
              <w:t>Which participation levels are most common?</w:t>
            </w:r>
          </w:p>
        </w:tc>
      </w:tr>
      <w:tr>
        <w:tc>
          <w:tcPr>
            <w:tcW w:type="dxa" w:w="3360"/>
            <w:vAlign w:val="center"/>
          </w:tcPr>
          <w:p>
            <w:r/>
            <w:r>
              <w:rPr>
                <w:rFonts w:ascii="Calibri" w:hAnsi="Calibri"/>
                <w:b w:val="0"/>
                <w:color w:val="222222"/>
                <w:sz w:val="17"/>
              </w:rPr>
              <w:t>Datetime</w:t>
            </w:r>
          </w:p>
        </w:tc>
        <w:tc>
          <w:tcPr>
            <w:tcW w:type="dxa" w:w="3360"/>
            <w:vAlign w:val="center"/>
          </w:tcPr>
          <w:p>
            <w:r/>
            <w:r>
              <w:rPr>
                <w:rFonts w:ascii="Calibri" w:hAnsi="Calibri"/>
                <w:b w:val="0"/>
                <w:color w:val="222222"/>
                <w:sz w:val="17"/>
              </w:rPr>
              <w:t>Minimum/maximum date, frequency over time, line plot</w:t>
            </w:r>
          </w:p>
        </w:tc>
        <w:tc>
          <w:tcPr>
            <w:tcW w:type="dxa" w:w="3360"/>
            <w:vAlign w:val="center"/>
          </w:tcPr>
          <w:p>
            <w:r/>
            <w:r>
              <w:rPr>
                <w:rFonts w:ascii="Calibri" w:hAnsi="Calibri"/>
                <w:b w:val="0"/>
                <w:color w:val="222222"/>
                <w:sz w:val="17"/>
              </w:rPr>
              <w:t>Are observations concentrated in particular periods?</w:t>
            </w:r>
          </w:p>
        </w:tc>
      </w:tr>
    </w:tbl>
    <w:p>
      <w:pPr>
        <w:spacing w:after="100" w:line="252" w:lineRule="auto"/>
      </w:pPr>
    </w:p>
    <w:p>
      <w:pPr>
        <w:pStyle w:val="Heading1"/>
        <w:keepNext/>
        <w:spacing w:after="100" w:line="252" w:lineRule="auto"/>
      </w:pPr>
      <w:r>
        <w:t>7. Bivariate Analysis</w:t>
      </w:r>
    </w:p>
    <w:p>
      <w:pPr>
        <w:spacing w:after="100" w:line="252" w:lineRule="auto"/>
      </w:pPr>
      <w:r>
        <w:t>Bivariate analysis examines the relationship between two variables. The chosen method depends on whether the variables are numeric, categorical, or mixed.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Calibri" w:hAnsi="Calibri"/>
                <w:b/>
                <w:color w:val="FFFFFF"/>
                <w:sz w:val="18"/>
              </w:rPr>
              <w:t>Variable Pair</w:t>
            </w:r>
          </w:p>
        </w:tc>
        <w:tc>
          <w:tcPr>
            <w:tcW w:type="dxa" w:w="3360"/>
            <w:vAlign w:val="center"/>
            <w:shd w:fill="17365D"/>
          </w:tcPr>
          <w:p>
            <w:r/>
            <w:r>
              <w:rPr>
                <w:rFonts w:ascii="Calibri" w:hAnsi="Calibri"/>
                <w:b/>
                <w:color w:val="FFFFFF"/>
                <w:sz w:val="18"/>
              </w:rPr>
              <w:t>Techniques</w:t>
            </w:r>
          </w:p>
        </w:tc>
        <w:tc>
          <w:tcPr>
            <w:tcW w:type="dxa" w:w="3360"/>
            <w:vAlign w:val="center"/>
            <w:shd w:fill="17365D"/>
          </w:tcPr>
          <w:p>
            <w:r/>
            <w:r>
              <w:rPr>
                <w:rFonts w:ascii="Calibri" w:hAnsi="Calibri"/>
                <w:b/>
                <w:color w:val="FFFFFF"/>
                <w:sz w:val="18"/>
              </w:rPr>
              <w:t>Suggested Visualization</w:t>
            </w:r>
          </w:p>
        </w:tc>
      </w:tr>
      <w:tr>
        <w:tc>
          <w:tcPr>
            <w:tcW w:type="dxa" w:w="3360"/>
            <w:vAlign w:val="center"/>
          </w:tcPr>
          <w:p>
            <w:r/>
            <w:r>
              <w:rPr>
                <w:rFonts w:ascii="Calibri" w:hAnsi="Calibri"/>
                <w:b w:val="0"/>
                <w:color w:val="222222"/>
                <w:sz w:val="17"/>
              </w:rPr>
              <w:t>Numeric + Numeric</w:t>
            </w:r>
          </w:p>
        </w:tc>
        <w:tc>
          <w:tcPr>
            <w:tcW w:type="dxa" w:w="3360"/>
            <w:vAlign w:val="center"/>
          </w:tcPr>
          <w:p>
            <w:r/>
            <w:r>
              <w:rPr>
                <w:rFonts w:ascii="Calibri" w:hAnsi="Calibri"/>
                <w:b w:val="0"/>
                <w:color w:val="222222"/>
                <w:sz w:val="17"/>
              </w:rPr>
              <w:t>Correlation, covariance, scatter plot</w:t>
            </w:r>
          </w:p>
        </w:tc>
        <w:tc>
          <w:tcPr>
            <w:tcW w:type="dxa" w:w="3360"/>
            <w:vAlign w:val="center"/>
          </w:tcPr>
          <w:p>
            <w:r/>
            <w:r>
              <w:rPr>
                <w:rFonts w:ascii="Calibri" w:hAnsi="Calibri"/>
                <w:b w:val="0"/>
                <w:color w:val="222222"/>
                <w:sz w:val="17"/>
              </w:rPr>
              <w:t>Scatter plot / regression trend</w:t>
            </w:r>
          </w:p>
        </w:tc>
      </w:tr>
      <w:tr>
        <w:tc>
          <w:tcPr>
            <w:tcW w:type="dxa" w:w="3360"/>
            <w:vAlign w:val="center"/>
            <w:shd w:fill="F8FAFC"/>
          </w:tcPr>
          <w:p>
            <w:r/>
            <w:r>
              <w:rPr>
                <w:rFonts w:ascii="Calibri" w:hAnsi="Calibri"/>
                <w:b w:val="0"/>
                <w:color w:val="222222"/>
                <w:sz w:val="17"/>
              </w:rPr>
              <w:t>Categorical + Numeric</w:t>
            </w:r>
          </w:p>
        </w:tc>
        <w:tc>
          <w:tcPr>
            <w:tcW w:type="dxa" w:w="3360"/>
            <w:vAlign w:val="center"/>
            <w:shd w:fill="F8FAFC"/>
          </w:tcPr>
          <w:p>
            <w:r/>
            <w:r>
              <w:rPr>
                <w:rFonts w:ascii="Calibri" w:hAnsi="Calibri"/>
                <w:b w:val="0"/>
                <w:color w:val="222222"/>
                <w:sz w:val="17"/>
              </w:rPr>
              <w:t>Group statistics, distribution comparison</w:t>
            </w:r>
          </w:p>
        </w:tc>
        <w:tc>
          <w:tcPr>
            <w:tcW w:type="dxa" w:w="3360"/>
            <w:vAlign w:val="center"/>
            <w:shd w:fill="F8FAFC"/>
          </w:tcPr>
          <w:p>
            <w:r/>
            <w:r>
              <w:rPr>
                <w:rFonts w:ascii="Calibri" w:hAnsi="Calibri"/>
                <w:b w:val="0"/>
                <w:color w:val="222222"/>
                <w:sz w:val="17"/>
              </w:rPr>
              <w:t>Box plot / violin plot / bar chart</w:t>
            </w:r>
          </w:p>
        </w:tc>
      </w:tr>
      <w:tr>
        <w:tc>
          <w:tcPr>
            <w:tcW w:type="dxa" w:w="3360"/>
            <w:vAlign w:val="center"/>
          </w:tcPr>
          <w:p>
            <w:r/>
            <w:r>
              <w:rPr>
                <w:rFonts w:ascii="Calibri" w:hAnsi="Calibri"/>
                <w:b w:val="0"/>
                <w:color w:val="222222"/>
                <w:sz w:val="17"/>
              </w:rPr>
              <w:t>Categorical + Categorical</w:t>
            </w:r>
          </w:p>
        </w:tc>
        <w:tc>
          <w:tcPr>
            <w:tcW w:type="dxa" w:w="3360"/>
            <w:vAlign w:val="center"/>
          </w:tcPr>
          <w:p>
            <w:r/>
            <w:r>
              <w:rPr>
                <w:rFonts w:ascii="Calibri" w:hAnsi="Calibri"/>
                <w:b w:val="0"/>
                <w:color w:val="222222"/>
                <w:sz w:val="17"/>
              </w:rPr>
              <w:t>Cross-tabulation, proportions</w:t>
            </w:r>
          </w:p>
        </w:tc>
        <w:tc>
          <w:tcPr>
            <w:tcW w:type="dxa" w:w="3360"/>
            <w:vAlign w:val="center"/>
          </w:tcPr>
          <w:p>
            <w:r/>
            <w:r>
              <w:rPr>
                <w:rFonts w:ascii="Calibri" w:hAnsi="Calibri"/>
                <w:b w:val="0"/>
                <w:color w:val="222222"/>
                <w:sz w:val="17"/>
              </w:rPr>
              <w:t>Grouped or stacked bar chart</w:t>
            </w:r>
          </w:p>
        </w:tc>
      </w:tr>
      <w:tr>
        <w:tc>
          <w:tcPr>
            <w:tcW w:type="dxa" w:w="3360"/>
            <w:vAlign w:val="center"/>
            <w:shd w:fill="F8FAFC"/>
          </w:tcPr>
          <w:p>
            <w:r/>
            <w:r>
              <w:rPr>
                <w:rFonts w:ascii="Calibri" w:hAnsi="Calibri"/>
                <w:b w:val="0"/>
                <w:color w:val="222222"/>
                <w:sz w:val="17"/>
              </w:rPr>
              <w:t>Datetime + Numeric</w:t>
            </w:r>
          </w:p>
        </w:tc>
        <w:tc>
          <w:tcPr>
            <w:tcW w:type="dxa" w:w="3360"/>
            <w:vAlign w:val="center"/>
            <w:shd w:fill="F8FAFC"/>
          </w:tcPr>
          <w:p>
            <w:r/>
            <w:r>
              <w:rPr>
                <w:rFonts w:ascii="Calibri" w:hAnsi="Calibri"/>
                <w:b w:val="0"/>
                <w:color w:val="222222"/>
                <w:sz w:val="17"/>
              </w:rPr>
              <w:t>Trend analysis</w:t>
            </w:r>
          </w:p>
        </w:tc>
        <w:tc>
          <w:tcPr>
            <w:tcW w:type="dxa" w:w="3360"/>
            <w:vAlign w:val="center"/>
            <w:shd w:fill="F8FAFC"/>
          </w:tcPr>
          <w:p>
            <w:r/>
            <w:r>
              <w:rPr>
                <w:rFonts w:ascii="Calibri" w:hAnsi="Calibri"/>
                <w:b w:val="0"/>
                <w:color w:val="222222"/>
                <w:sz w:val="17"/>
              </w:rPr>
              <w:t>Line chart</w:t>
            </w:r>
          </w:p>
        </w:tc>
      </w:tr>
    </w:tbl>
    <w:p>
      <w:pPr>
        <w:spacing w:after="100" w:line="252" w:lineRule="auto"/>
      </w:pPr>
    </w:p>
    <w:p>
      <w:pPr>
        <w:pStyle w:val="Heading1"/>
        <w:keepNext/>
        <w:spacing w:after="100" w:line="252" w:lineRule="auto"/>
      </w:pPr>
      <w:r>
        <w:t>8. Multivariate Analysis</w:t>
      </w:r>
    </w:p>
    <w:p>
      <w:pPr>
        <w:spacing w:after="100" w:line="252" w:lineRule="auto"/>
      </w:pPr>
      <w:r>
        <w:t>Multivariate analysis examines several variables together to identify interactions, clusters, correlated features, and broader patterns that may not be visible in one- or two-variable analysis.</w:t>
      </w:r>
    </w:p>
    <w:p>
      <w:pPr>
        <w:pStyle w:val="ListBullet"/>
        <w:spacing w:after="100" w:line="252" w:lineRule="auto"/>
      </w:pPr>
      <w:r>
        <w:t>Correlation heatmap for numerical variables.</w:t>
      </w:r>
    </w:p>
    <w:p>
      <w:pPr>
        <w:pStyle w:val="ListBullet"/>
        <w:spacing w:after="100" w:line="252" w:lineRule="auto"/>
      </w:pPr>
      <w:r>
        <w:t>Pair plots for selected numerical features.</w:t>
      </w:r>
    </w:p>
    <w:p>
      <w:pPr>
        <w:pStyle w:val="ListBullet"/>
        <w:spacing w:after="100" w:line="252" w:lineRule="auto"/>
      </w:pPr>
      <w:r>
        <w:t>Grouped comparisons across multiple categorical dimensions.</w:t>
      </w:r>
    </w:p>
    <w:p>
      <w:pPr>
        <w:pStyle w:val="ListBullet"/>
        <w:spacing w:after="100" w:line="252" w:lineRule="auto"/>
      </w:pPr>
      <w:r>
        <w:t>Faceted charts when subgroup comparison is analytically justified.</w:t>
      </w:r>
    </w:p>
    <w:p>
      <w:pPr>
        <w:pStyle w:val="ListBullet"/>
        <w:spacing w:after="100" w:line="252" w:lineRule="auto"/>
      </w:pPr>
      <w:r>
        <w:t>Feature relationships with the target while monitoring redundancy and leakage.</w:t>
      </w:r>
    </w:p>
    <w:p>
      <w:pPr>
        <w:spacing w:after="100" w:line="252" w:lineRule="auto"/>
      </w:pPr>
      <w:r>
        <w:t>Multivariate exploration will be selective rather than generating every possible chart. The objective is to answer meaningful questions and avoid visual noise.</w:t>
      </w:r>
    </w:p>
    <w:p>
      <w:pPr>
        <w:pStyle w:val="Heading1"/>
        <w:keepNext/>
        <w:spacing w:after="100" w:line="252" w:lineRule="auto"/>
      </w:pPr>
      <w:r>
        <w:t>9. Visualization Strategies</w:t>
      </w:r>
    </w:p>
    <w:p>
      <w:pPr>
        <w:spacing w:after="100" w:line="252" w:lineRule="auto"/>
      </w:pPr>
      <w:r>
        <w:t>Visualization will be question-driven. Each chart should communicate a specific analytical message, use appropriate scales and labels, and avoid unnecessary decoration.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Calibri" w:hAnsi="Calibri"/>
                <w:b/>
                <w:color w:val="FFFFFF"/>
                <w:sz w:val="18"/>
              </w:rPr>
              <w:t>Chart</w:t>
            </w:r>
          </w:p>
        </w:tc>
        <w:tc>
          <w:tcPr>
            <w:tcW w:type="dxa" w:w="3360"/>
            <w:vAlign w:val="center"/>
            <w:shd w:fill="17365D"/>
          </w:tcPr>
          <w:p>
            <w:r/>
            <w:r>
              <w:rPr>
                <w:rFonts w:ascii="Calibri" w:hAnsi="Calibri"/>
                <w:b/>
                <w:color w:val="FFFFFF"/>
                <w:sz w:val="18"/>
              </w:rPr>
              <w:t>Best Use</w:t>
            </w:r>
          </w:p>
        </w:tc>
        <w:tc>
          <w:tcPr>
            <w:tcW w:type="dxa" w:w="3360"/>
            <w:vAlign w:val="center"/>
            <w:shd w:fill="17365D"/>
          </w:tcPr>
          <w:p>
            <w:r/>
            <w:r>
              <w:rPr>
                <w:rFonts w:ascii="Calibri" w:hAnsi="Calibri"/>
                <w:b/>
                <w:color w:val="FFFFFF"/>
                <w:sz w:val="18"/>
              </w:rPr>
              <w:t>Example in Project</w:t>
            </w:r>
          </w:p>
        </w:tc>
      </w:tr>
      <w:tr>
        <w:tc>
          <w:tcPr>
            <w:tcW w:type="dxa" w:w="3360"/>
            <w:vAlign w:val="center"/>
          </w:tcPr>
          <w:p>
            <w:r/>
            <w:r>
              <w:rPr>
                <w:rFonts w:ascii="Calibri" w:hAnsi="Calibri"/>
                <w:b w:val="0"/>
                <w:color w:val="222222"/>
                <w:sz w:val="17"/>
              </w:rPr>
              <w:t>Histogram</w:t>
            </w:r>
          </w:p>
        </w:tc>
        <w:tc>
          <w:tcPr>
            <w:tcW w:type="dxa" w:w="3360"/>
            <w:vAlign w:val="center"/>
          </w:tcPr>
          <w:p>
            <w:r/>
            <w:r>
              <w:rPr>
                <w:rFonts w:ascii="Calibri" w:hAnsi="Calibri"/>
                <w:b w:val="0"/>
                <w:color w:val="222222"/>
                <w:sz w:val="17"/>
              </w:rPr>
              <w:t>Distribution of one numeric variable</w:t>
            </w:r>
          </w:p>
        </w:tc>
        <w:tc>
          <w:tcPr>
            <w:tcW w:type="dxa" w:w="3360"/>
            <w:vAlign w:val="center"/>
          </w:tcPr>
          <w:p>
            <w:r/>
            <w:r>
              <w:rPr>
                <w:rFonts w:ascii="Calibri" w:hAnsi="Calibri"/>
                <w:b w:val="0"/>
                <w:color w:val="222222"/>
                <w:sz w:val="17"/>
              </w:rPr>
              <w:t>Final score distribution</w:t>
            </w:r>
          </w:p>
        </w:tc>
      </w:tr>
      <w:tr>
        <w:tc>
          <w:tcPr>
            <w:tcW w:type="dxa" w:w="3360"/>
            <w:vAlign w:val="center"/>
            <w:shd w:fill="F8FAFC"/>
          </w:tcPr>
          <w:p>
            <w:r/>
            <w:r>
              <w:rPr>
                <w:rFonts w:ascii="Calibri" w:hAnsi="Calibri"/>
                <w:b w:val="0"/>
                <w:color w:val="222222"/>
                <w:sz w:val="17"/>
              </w:rPr>
              <w:t>KDE plot</w:t>
            </w:r>
          </w:p>
        </w:tc>
        <w:tc>
          <w:tcPr>
            <w:tcW w:type="dxa" w:w="3360"/>
            <w:vAlign w:val="center"/>
            <w:shd w:fill="F8FAFC"/>
          </w:tcPr>
          <w:p>
            <w:r/>
            <w:r>
              <w:rPr>
                <w:rFonts w:ascii="Calibri" w:hAnsi="Calibri"/>
                <w:b w:val="0"/>
                <w:color w:val="222222"/>
                <w:sz w:val="17"/>
              </w:rPr>
              <w:t>Smooth view of numeric distribution</w:t>
            </w:r>
          </w:p>
        </w:tc>
        <w:tc>
          <w:tcPr>
            <w:tcW w:type="dxa" w:w="3360"/>
            <w:vAlign w:val="center"/>
            <w:shd w:fill="F8FAFC"/>
          </w:tcPr>
          <w:p>
            <w:r/>
            <w:r>
              <w:rPr>
                <w:rFonts w:ascii="Calibri" w:hAnsi="Calibri"/>
                <w:b w:val="0"/>
                <w:color w:val="222222"/>
                <w:sz w:val="17"/>
              </w:rPr>
              <w:t>Attendance or study-hours density</w:t>
            </w:r>
          </w:p>
        </w:tc>
      </w:tr>
      <w:tr>
        <w:tc>
          <w:tcPr>
            <w:tcW w:type="dxa" w:w="3360"/>
            <w:vAlign w:val="center"/>
          </w:tcPr>
          <w:p>
            <w:r/>
            <w:r>
              <w:rPr>
                <w:rFonts w:ascii="Calibri" w:hAnsi="Calibri"/>
                <w:b w:val="0"/>
                <w:color w:val="222222"/>
                <w:sz w:val="17"/>
              </w:rPr>
              <w:t>Box plot</w:t>
            </w:r>
          </w:p>
        </w:tc>
        <w:tc>
          <w:tcPr>
            <w:tcW w:type="dxa" w:w="3360"/>
            <w:vAlign w:val="center"/>
          </w:tcPr>
          <w:p>
            <w:r/>
            <w:r>
              <w:rPr>
                <w:rFonts w:ascii="Calibri" w:hAnsi="Calibri"/>
                <w:b w:val="0"/>
                <w:color w:val="222222"/>
                <w:sz w:val="17"/>
              </w:rPr>
              <w:t>Spread and outliers; group comparison</w:t>
            </w:r>
          </w:p>
        </w:tc>
        <w:tc>
          <w:tcPr>
            <w:tcW w:type="dxa" w:w="3360"/>
            <w:vAlign w:val="center"/>
          </w:tcPr>
          <w:p>
            <w:r/>
            <w:r>
              <w:rPr>
                <w:rFonts w:ascii="Calibri" w:hAnsi="Calibri"/>
                <w:b w:val="0"/>
                <w:color w:val="222222"/>
                <w:sz w:val="17"/>
              </w:rPr>
              <w:t>Final score by participation level</w:t>
            </w:r>
          </w:p>
        </w:tc>
      </w:tr>
      <w:tr>
        <w:tc>
          <w:tcPr>
            <w:tcW w:type="dxa" w:w="3360"/>
            <w:vAlign w:val="center"/>
            <w:shd w:fill="F8FAFC"/>
          </w:tcPr>
          <w:p>
            <w:r/>
            <w:r>
              <w:rPr>
                <w:rFonts w:ascii="Calibri" w:hAnsi="Calibri"/>
                <w:b w:val="0"/>
                <w:color w:val="222222"/>
                <w:sz w:val="17"/>
              </w:rPr>
              <w:t>Violin plot</w:t>
            </w:r>
          </w:p>
        </w:tc>
        <w:tc>
          <w:tcPr>
            <w:tcW w:type="dxa" w:w="3360"/>
            <w:vAlign w:val="center"/>
            <w:shd w:fill="F8FAFC"/>
          </w:tcPr>
          <w:p>
            <w:r/>
            <w:r>
              <w:rPr>
                <w:rFonts w:ascii="Calibri" w:hAnsi="Calibri"/>
                <w:b w:val="0"/>
                <w:color w:val="222222"/>
                <w:sz w:val="17"/>
              </w:rPr>
              <w:t>Distribution shape across groups</w:t>
            </w:r>
          </w:p>
        </w:tc>
        <w:tc>
          <w:tcPr>
            <w:tcW w:type="dxa" w:w="3360"/>
            <w:vAlign w:val="center"/>
            <w:shd w:fill="F8FAFC"/>
          </w:tcPr>
          <w:p>
            <w:r/>
            <w:r>
              <w:rPr>
                <w:rFonts w:ascii="Calibri" w:hAnsi="Calibri"/>
                <w:b w:val="0"/>
                <w:color w:val="222222"/>
                <w:sz w:val="17"/>
              </w:rPr>
              <w:t>Score distribution across attendance bands</w:t>
            </w:r>
          </w:p>
        </w:tc>
      </w:tr>
      <w:tr>
        <w:tc>
          <w:tcPr>
            <w:tcW w:type="dxa" w:w="3360"/>
            <w:vAlign w:val="center"/>
          </w:tcPr>
          <w:p>
            <w:r/>
            <w:r>
              <w:rPr>
                <w:rFonts w:ascii="Calibri" w:hAnsi="Calibri"/>
                <w:b w:val="0"/>
                <w:color w:val="222222"/>
                <w:sz w:val="17"/>
              </w:rPr>
              <w:t>Bar / Count plot</w:t>
            </w:r>
          </w:p>
        </w:tc>
        <w:tc>
          <w:tcPr>
            <w:tcW w:type="dxa" w:w="3360"/>
            <w:vAlign w:val="center"/>
          </w:tcPr>
          <w:p>
            <w:r/>
            <w:r>
              <w:rPr>
                <w:rFonts w:ascii="Calibri" w:hAnsi="Calibri"/>
                <w:b w:val="0"/>
                <w:color w:val="222222"/>
                <w:sz w:val="17"/>
              </w:rPr>
              <w:t>Category frequencies or group summaries</w:t>
            </w:r>
          </w:p>
        </w:tc>
        <w:tc>
          <w:tcPr>
            <w:tcW w:type="dxa" w:w="3360"/>
            <w:vAlign w:val="center"/>
          </w:tcPr>
          <w:p>
            <w:r/>
            <w:r>
              <w:rPr>
                <w:rFonts w:ascii="Calibri" w:hAnsi="Calibri"/>
                <w:b w:val="0"/>
                <w:color w:val="222222"/>
                <w:sz w:val="17"/>
              </w:rPr>
              <w:t>Number of students by performance category</w:t>
            </w:r>
          </w:p>
        </w:tc>
      </w:tr>
      <w:tr>
        <w:tc>
          <w:tcPr>
            <w:tcW w:type="dxa" w:w="3360"/>
            <w:vAlign w:val="center"/>
            <w:shd w:fill="F8FAFC"/>
          </w:tcPr>
          <w:p>
            <w:r/>
            <w:r>
              <w:rPr>
                <w:rFonts w:ascii="Calibri" w:hAnsi="Calibri"/>
                <w:b w:val="0"/>
                <w:color w:val="222222"/>
                <w:sz w:val="17"/>
              </w:rPr>
              <w:t>Scatter plot</w:t>
            </w:r>
          </w:p>
        </w:tc>
        <w:tc>
          <w:tcPr>
            <w:tcW w:type="dxa" w:w="3360"/>
            <w:vAlign w:val="center"/>
            <w:shd w:fill="F8FAFC"/>
          </w:tcPr>
          <w:p>
            <w:r/>
            <w:r>
              <w:rPr>
                <w:rFonts w:ascii="Calibri" w:hAnsi="Calibri"/>
                <w:b w:val="0"/>
                <w:color w:val="222222"/>
                <w:sz w:val="17"/>
              </w:rPr>
              <w:t>Relationship between two numeric variables</w:t>
            </w:r>
          </w:p>
        </w:tc>
        <w:tc>
          <w:tcPr>
            <w:tcW w:type="dxa" w:w="3360"/>
            <w:vAlign w:val="center"/>
            <w:shd w:fill="F8FAFC"/>
          </w:tcPr>
          <w:p>
            <w:r/>
            <w:r>
              <w:rPr>
                <w:rFonts w:ascii="Calibri" w:hAnsi="Calibri"/>
                <w:b w:val="0"/>
                <w:color w:val="222222"/>
                <w:sz w:val="17"/>
              </w:rPr>
              <w:t>Study hours vs final score</w:t>
            </w:r>
          </w:p>
        </w:tc>
      </w:tr>
      <w:tr>
        <w:tc>
          <w:tcPr>
            <w:tcW w:type="dxa" w:w="3360"/>
            <w:vAlign w:val="center"/>
          </w:tcPr>
          <w:p>
            <w:r/>
            <w:r>
              <w:rPr>
                <w:rFonts w:ascii="Calibri" w:hAnsi="Calibri"/>
                <w:b w:val="0"/>
                <w:color w:val="222222"/>
                <w:sz w:val="17"/>
              </w:rPr>
              <w:t>Line chart</w:t>
            </w:r>
          </w:p>
        </w:tc>
        <w:tc>
          <w:tcPr>
            <w:tcW w:type="dxa" w:w="3360"/>
            <w:vAlign w:val="center"/>
          </w:tcPr>
          <w:p>
            <w:r/>
            <w:r>
              <w:rPr>
                <w:rFonts w:ascii="Calibri" w:hAnsi="Calibri"/>
                <w:b w:val="0"/>
                <w:color w:val="222222"/>
                <w:sz w:val="17"/>
              </w:rPr>
              <w:t>Trends over ordered time</w:t>
            </w:r>
          </w:p>
        </w:tc>
        <w:tc>
          <w:tcPr>
            <w:tcW w:type="dxa" w:w="3360"/>
            <w:vAlign w:val="center"/>
          </w:tcPr>
          <w:p>
            <w:r/>
            <w:r>
              <w:rPr>
                <w:rFonts w:ascii="Calibri" w:hAnsi="Calibri"/>
                <w:b w:val="0"/>
                <w:color w:val="222222"/>
                <w:sz w:val="17"/>
              </w:rPr>
              <w:t>Average score across assessment dates</w:t>
            </w:r>
          </w:p>
        </w:tc>
      </w:tr>
      <w:tr>
        <w:tc>
          <w:tcPr>
            <w:tcW w:type="dxa" w:w="3360"/>
            <w:vAlign w:val="center"/>
            <w:shd w:fill="F8FAFC"/>
          </w:tcPr>
          <w:p>
            <w:r/>
            <w:r>
              <w:rPr>
                <w:rFonts w:ascii="Calibri" w:hAnsi="Calibri"/>
                <w:b w:val="0"/>
                <w:color w:val="222222"/>
                <w:sz w:val="17"/>
              </w:rPr>
              <w:t>Heatmap</w:t>
            </w:r>
          </w:p>
        </w:tc>
        <w:tc>
          <w:tcPr>
            <w:tcW w:type="dxa" w:w="3360"/>
            <w:vAlign w:val="center"/>
            <w:shd w:fill="F8FAFC"/>
          </w:tcPr>
          <w:p>
            <w:r/>
            <w:r>
              <w:rPr>
                <w:rFonts w:ascii="Calibri" w:hAnsi="Calibri"/>
                <w:b w:val="0"/>
                <w:color w:val="222222"/>
                <w:sz w:val="17"/>
              </w:rPr>
              <w:t>Correlation or matrix-style comparison</w:t>
            </w:r>
          </w:p>
        </w:tc>
        <w:tc>
          <w:tcPr>
            <w:tcW w:type="dxa" w:w="3360"/>
            <w:vAlign w:val="center"/>
            <w:shd w:fill="F8FAFC"/>
          </w:tcPr>
          <w:p>
            <w:r/>
            <w:r>
              <w:rPr>
                <w:rFonts w:ascii="Calibri" w:hAnsi="Calibri"/>
                <w:b w:val="0"/>
                <w:color w:val="222222"/>
                <w:sz w:val="17"/>
              </w:rPr>
              <w:t>Correlation among academic variables</w:t>
            </w:r>
          </w:p>
        </w:tc>
      </w:tr>
      <w:tr>
        <w:tc>
          <w:tcPr>
            <w:tcW w:type="dxa" w:w="3360"/>
            <w:vAlign w:val="center"/>
          </w:tcPr>
          <w:p>
            <w:r/>
            <w:r>
              <w:rPr>
                <w:rFonts w:ascii="Calibri" w:hAnsi="Calibri"/>
                <w:b w:val="0"/>
                <w:color w:val="222222"/>
                <w:sz w:val="17"/>
              </w:rPr>
              <w:t>Pair plot</w:t>
            </w:r>
          </w:p>
        </w:tc>
        <w:tc>
          <w:tcPr>
            <w:tcW w:type="dxa" w:w="3360"/>
            <w:vAlign w:val="center"/>
          </w:tcPr>
          <w:p>
            <w:r/>
            <w:r>
              <w:rPr>
                <w:rFonts w:ascii="Calibri" w:hAnsi="Calibri"/>
                <w:b w:val="0"/>
                <w:color w:val="222222"/>
                <w:sz w:val="17"/>
              </w:rPr>
              <w:t>Multiple pairwise numeric relationships</w:t>
            </w:r>
          </w:p>
        </w:tc>
        <w:tc>
          <w:tcPr>
            <w:tcW w:type="dxa" w:w="3360"/>
            <w:vAlign w:val="center"/>
          </w:tcPr>
          <w:p>
            <w:r/>
            <w:r>
              <w:rPr>
                <w:rFonts w:ascii="Calibri" w:hAnsi="Calibri"/>
                <w:b w:val="0"/>
                <w:color w:val="222222"/>
                <w:sz w:val="17"/>
              </w:rPr>
              <w:t>Selected academic predictors</w:t>
            </w:r>
          </w:p>
        </w:tc>
      </w:tr>
      <w:tr>
        <w:tc>
          <w:tcPr>
            <w:tcW w:type="dxa" w:w="3360"/>
            <w:vAlign w:val="center"/>
            <w:shd w:fill="F8FAFC"/>
          </w:tcPr>
          <w:p>
            <w:r/>
            <w:r>
              <w:rPr>
                <w:rFonts w:ascii="Calibri" w:hAnsi="Calibri"/>
                <w:b w:val="0"/>
                <w:color w:val="222222"/>
                <w:sz w:val="17"/>
              </w:rPr>
              <w:t>Stacked / Grouped bar</w:t>
            </w:r>
          </w:p>
        </w:tc>
        <w:tc>
          <w:tcPr>
            <w:tcW w:type="dxa" w:w="3360"/>
            <w:vAlign w:val="center"/>
            <w:shd w:fill="F8FAFC"/>
          </w:tcPr>
          <w:p>
            <w:r/>
            <w:r>
              <w:rPr>
                <w:rFonts w:ascii="Calibri" w:hAnsi="Calibri"/>
                <w:b w:val="0"/>
                <w:color w:val="222222"/>
                <w:sz w:val="17"/>
              </w:rPr>
              <w:t>Composition or category comparison</w:t>
            </w:r>
          </w:p>
        </w:tc>
        <w:tc>
          <w:tcPr>
            <w:tcW w:type="dxa" w:w="3360"/>
            <w:vAlign w:val="center"/>
            <w:shd w:fill="F8FAFC"/>
          </w:tcPr>
          <w:p>
            <w:r/>
            <w:r>
              <w:rPr>
                <w:rFonts w:ascii="Calibri" w:hAnsi="Calibri"/>
                <w:b w:val="0"/>
                <w:color w:val="222222"/>
                <w:sz w:val="17"/>
              </w:rPr>
              <w:t>Performance category by participation level</w:t>
            </w:r>
          </w:p>
        </w:tc>
      </w:tr>
    </w:tbl>
    <w:p>
      <w:pPr>
        <w:spacing w:after="100" w:line="252" w:lineRule="auto"/>
      </w:pPr>
    </w:p>
    <w:p>
      <w:pPr>
        <w:spacing w:after="100" w:line="252" w:lineRule="auto"/>
        <w:jc w:val="center"/>
      </w:pPr>
      <w:r>
        <w:drawing>
          <wp:inline xmlns:a="http://schemas.openxmlformats.org/drawingml/2006/main" xmlns:pic="http://schemas.openxmlformats.org/drawingml/2006/picture">
            <wp:extent cx="6400800" cy="2971800"/>
            <wp:docPr id="2" name="Picture 2"/>
            <wp:cNvGraphicFramePr>
              <a:graphicFrameLocks noChangeAspect="1"/>
            </wp:cNvGraphicFramePr>
            <a:graphic>
              <a:graphicData uri="http://schemas.openxmlformats.org/drawingml/2006/picture">
                <pic:pic>
                  <pic:nvPicPr>
                    <pic:cNvPr id="0" name="week2_visualization_framework.png"/>
                    <pic:cNvPicPr/>
                  </pic:nvPicPr>
                  <pic:blipFill>
                    <a:blip r:embed="rId12"/>
                    <a:stretch>
                      <a:fillRect/>
                    </a:stretch>
                  </pic:blipFill>
                  <pic:spPr>
                    <a:xfrm>
                      <a:off x="0" y="0"/>
                      <a:ext cx="6400800" cy="2971800"/>
                    </a:xfrm>
                    <a:prstGeom prst="rect"/>
                  </pic:spPr>
                </pic:pic>
              </a:graphicData>
            </a:graphic>
          </wp:inline>
        </w:drawing>
      </w:r>
    </w:p>
    <w:p>
      <w:pPr>
        <w:pStyle w:val="Caption"/>
        <w:spacing w:after="100" w:line="252" w:lineRule="auto"/>
      </w:pPr>
      <w:r>
        <w:t>Figure 2. Decision framework for selecting visualizations based on analytical questions and variable types.</w:t>
      </w:r>
    </w:p>
    <w:p>
      <w:pPr>
        <w:pStyle w:val="Heading1"/>
        <w:keepNext/>
        <w:spacing w:after="100" w:line="252" w:lineRule="auto"/>
      </w:pPr>
      <w:r>
        <w:t>10. Visualization Design Principles</w:t>
      </w:r>
    </w:p>
    <w:p>
      <w:pPr>
        <w:pStyle w:val="ListBullet"/>
        <w:spacing w:after="100" w:line="252" w:lineRule="auto"/>
      </w:pPr>
      <w:r>
        <w:t>Give every chart a clear, descriptive title.</w:t>
      </w:r>
    </w:p>
    <w:p>
      <w:pPr>
        <w:pStyle w:val="ListBullet"/>
        <w:spacing w:after="100" w:line="252" w:lineRule="auto"/>
      </w:pPr>
      <w:r>
        <w:t>Label axes and include units where relevant.</w:t>
      </w:r>
    </w:p>
    <w:p>
      <w:pPr>
        <w:pStyle w:val="ListBullet"/>
        <w:spacing w:after="100" w:line="252" w:lineRule="auto"/>
      </w:pPr>
      <w:r>
        <w:t>Use consistent categorical ordering and terminology.</w:t>
      </w:r>
    </w:p>
    <w:p>
      <w:pPr>
        <w:pStyle w:val="ListBullet"/>
        <w:spacing w:after="100" w:line="252" w:lineRule="auto"/>
      </w:pPr>
      <w:r>
        <w:t>Avoid misleading scales, unnecessary 3D effects, and excessive decoration.</w:t>
      </w:r>
    </w:p>
    <w:p>
      <w:pPr>
        <w:pStyle w:val="ListBullet"/>
        <w:spacing w:after="100" w:line="252" w:lineRule="auto"/>
      </w:pPr>
      <w:r>
        <w:t>Use legends only when they improve interpretation.</w:t>
      </w:r>
    </w:p>
    <w:p>
      <w:pPr>
        <w:pStyle w:val="ListBullet"/>
        <w:spacing w:after="100" w:line="252" w:lineRule="auto"/>
      </w:pPr>
      <w:r>
        <w:t>Keep charts readable and appropriately sized for reports and presentations.</w:t>
      </w:r>
    </w:p>
    <w:p>
      <w:pPr>
        <w:pStyle w:val="ListBullet"/>
        <w:spacing w:after="100" w:line="252" w:lineRule="auto"/>
      </w:pPr>
      <w:r>
        <w:t>Use annotations when a specific insight needs emphasis.</w:t>
      </w:r>
    </w:p>
    <w:p>
      <w:pPr>
        <w:pStyle w:val="ListBullet"/>
        <w:spacing w:after="100" w:line="252" w:lineRule="auto"/>
      </w:pPr>
      <w:r>
        <w:t>Consider accessibility, including readable text and distinguishable categories.</w:t>
      </w:r>
    </w:p>
    <w:p>
      <w:pPr>
        <w:pStyle w:val="ListBullet"/>
        <w:spacing w:after="100" w:line="252" w:lineRule="auto"/>
      </w:pPr>
      <w:r>
        <w:t>Save important figures with reproducible filenames and document their purpose.</w:t>
      </w:r>
    </w:p>
    <w:p>
      <w:pPr>
        <w:pStyle w:val="Heading1"/>
        <w:keepNext/>
        <w:spacing w:after="100" w:line="252" w:lineRule="auto"/>
      </w:pPr>
      <w:r>
        <w:t>11. Python Tools &amp; Libraries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Calibri" w:hAnsi="Calibri"/>
                <w:b/>
                <w:color w:val="FFFFFF"/>
                <w:sz w:val="18"/>
              </w:rPr>
              <w:t>Tool / Library</w:t>
            </w:r>
          </w:p>
        </w:tc>
        <w:tc>
          <w:tcPr>
            <w:tcW w:type="dxa" w:w="5040"/>
            <w:vAlign w:val="center"/>
            <w:shd w:fill="17365D"/>
          </w:tcPr>
          <w:p>
            <w:r/>
            <w:r>
              <w:rPr>
                <w:rFonts w:ascii="Calibri" w:hAnsi="Calibri"/>
                <w:b/>
                <w:color w:val="FFFFFF"/>
                <w:sz w:val="18"/>
              </w:rPr>
              <w:t>Contribution to EDA Framework</w:t>
            </w:r>
          </w:p>
        </w:tc>
      </w:tr>
      <w:tr>
        <w:tc>
          <w:tcPr>
            <w:tcW w:type="dxa" w:w="5040"/>
            <w:vAlign w:val="center"/>
          </w:tcPr>
          <w:p>
            <w:r/>
            <w:r>
              <w:rPr>
                <w:rFonts w:ascii="Calibri" w:hAnsi="Calibri"/>
                <w:b w:val="0"/>
                <w:color w:val="222222"/>
                <w:sz w:val="17"/>
              </w:rPr>
              <w:t>Python</w:t>
            </w:r>
          </w:p>
        </w:tc>
        <w:tc>
          <w:tcPr>
            <w:tcW w:type="dxa" w:w="5040"/>
            <w:vAlign w:val="center"/>
          </w:tcPr>
          <w:p>
            <w:r/>
            <w:r>
              <w:rPr>
                <w:rFonts w:ascii="Calibri" w:hAnsi="Calibri"/>
                <w:b w:val="0"/>
                <w:color w:val="222222"/>
                <w:sz w:val="17"/>
              </w:rPr>
              <w:t>Core programming environment.</w:t>
            </w:r>
          </w:p>
        </w:tc>
      </w:tr>
      <w:tr>
        <w:tc>
          <w:tcPr>
            <w:tcW w:type="dxa" w:w="5040"/>
            <w:vAlign w:val="center"/>
            <w:shd w:fill="F8FAFC"/>
          </w:tcPr>
          <w:p>
            <w:r/>
            <w:r>
              <w:rPr>
                <w:rFonts w:ascii="Calibri" w:hAnsi="Calibri"/>
                <w:b w:val="0"/>
                <w:color w:val="222222"/>
                <w:sz w:val="17"/>
              </w:rPr>
              <w:t>Pandas</w:t>
            </w:r>
          </w:p>
        </w:tc>
        <w:tc>
          <w:tcPr>
            <w:tcW w:type="dxa" w:w="5040"/>
            <w:vAlign w:val="center"/>
            <w:shd w:fill="F8FAFC"/>
          </w:tcPr>
          <w:p>
            <w:r/>
            <w:r>
              <w:rPr>
                <w:rFonts w:ascii="Calibri" w:hAnsi="Calibri"/>
                <w:b w:val="0"/>
                <w:color w:val="222222"/>
                <w:sz w:val="17"/>
              </w:rPr>
              <w:t>Data loading, inspection, filtering, grouping, missing-value analysis and summaries.</w:t>
            </w:r>
          </w:p>
        </w:tc>
      </w:tr>
      <w:tr>
        <w:tc>
          <w:tcPr>
            <w:tcW w:type="dxa" w:w="5040"/>
            <w:vAlign w:val="center"/>
          </w:tcPr>
          <w:p>
            <w:r/>
            <w:r>
              <w:rPr>
                <w:rFonts w:ascii="Calibri" w:hAnsi="Calibri"/>
                <w:b w:val="0"/>
                <w:color w:val="222222"/>
                <w:sz w:val="17"/>
              </w:rPr>
              <w:t>NumPy</w:t>
            </w:r>
          </w:p>
        </w:tc>
        <w:tc>
          <w:tcPr>
            <w:tcW w:type="dxa" w:w="5040"/>
            <w:vAlign w:val="center"/>
          </w:tcPr>
          <w:p>
            <w:r/>
            <w:r>
              <w:rPr>
                <w:rFonts w:ascii="Calibri" w:hAnsi="Calibri"/>
                <w:b w:val="0"/>
                <w:color w:val="222222"/>
                <w:sz w:val="17"/>
              </w:rPr>
              <w:t>Numerical calculations and array operations.</w:t>
            </w:r>
          </w:p>
        </w:tc>
      </w:tr>
      <w:tr>
        <w:tc>
          <w:tcPr>
            <w:tcW w:type="dxa" w:w="5040"/>
            <w:vAlign w:val="center"/>
            <w:shd w:fill="F8FAFC"/>
          </w:tcPr>
          <w:p>
            <w:r/>
            <w:r>
              <w:rPr>
                <w:rFonts w:ascii="Calibri" w:hAnsi="Calibri"/>
                <w:b w:val="0"/>
                <w:color w:val="222222"/>
                <w:sz w:val="17"/>
              </w:rPr>
              <w:t>Matplotlib</w:t>
            </w:r>
          </w:p>
        </w:tc>
        <w:tc>
          <w:tcPr>
            <w:tcW w:type="dxa" w:w="5040"/>
            <w:vAlign w:val="center"/>
            <w:shd w:fill="F8FAFC"/>
          </w:tcPr>
          <w:p>
            <w:r/>
            <w:r>
              <w:rPr>
                <w:rFonts w:ascii="Calibri" w:hAnsi="Calibri"/>
                <w:b w:val="0"/>
                <w:color w:val="222222"/>
                <w:sz w:val="17"/>
              </w:rPr>
              <w:t>Flexible, publication-oriented base plotting library.</w:t>
            </w:r>
          </w:p>
        </w:tc>
      </w:tr>
      <w:tr>
        <w:tc>
          <w:tcPr>
            <w:tcW w:type="dxa" w:w="5040"/>
            <w:vAlign w:val="center"/>
          </w:tcPr>
          <w:p>
            <w:r/>
            <w:r>
              <w:rPr>
                <w:rFonts w:ascii="Calibri" w:hAnsi="Calibri"/>
                <w:b w:val="0"/>
                <w:color w:val="222222"/>
                <w:sz w:val="17"/>
              </w:rPr>
              <w:t>Seaborn</w:t>
            </w:r>
          </w:p>
        </w:tc>
        <w:tc>
          <w:tcPr>
            <w:tcW w:type="dxa" w:w="5040"/>
            <w:vAlign w:val="center"/>
          </w:tcPr>
          <w:p>
            <w:r/>
            <w:r>
              <w:rPr>
                <w:rFonts w:ascii="Calibri" w:hAnsi="Calibri"/>
                <w:b w:val="0"/>
                <w:color w:val="222222"/>
                <w:sz w:val="17"/>
              </w:rPr>
              <w:t>Statistical visualization with concise syntax and strong EDA support.</w:t>
            </w:r>
          </w:p>
        </w:tc>
      </w:tr>
      <w:tr>
        <w:tc>
          <w:tcPr>
            <w:tcW w:type="dxa" w:w="5040"/>
            <w:vAlign w:val="center"/>
            <w:shd w:fill="F8FAFC"/>
          </w:tcPr>
          <w:p>
            <w:r/>
            <w:r>
              <w:rPr>
                <w:rFonts w:ascii="Calibri" w:hAnsi="Calibri"/>
                <w:b w:val="0"/>
                <w:color w:val="222222"/>
                <w:sz w:val="17"/>
              </w:rPr>
              <w:t>Plotly</w:t>
            </w:r>
          </w:p>
        </w:tc>
        <w:tc>
          <w:tcPr>
            <w:tcW w:type="dxa" w:w="5040"/>
            <w:vAlign w:val="center"/>
            <w:shd w:fill="F8FAFC"/>
          </w:tcPr>
          <w:p>
            <w:r/>
            <w:r>
              <w:rPr>
                <w:rFonts w:ascii="Calibri" w:hAnsi="Calibri"/>
                <w:b w:val="0"/>
                <w:color w:val="222222"/>
                <w:sz w:val="17"/>
              </w:rPr>
              <w:t>Interactive charts useful for exploratory dashboards and presentations.</w:t>
            </w:r>
          </w:p>
        </w:tc>
      </w:tr>
      <w:tr>
        <w:tc>
          <w:tcPr>
            <w:tcW w:type="dxa" w:w="5040"/>
            <w:vAlign w:val="center"/>
          </w:tcPr>
          <w:p>
            <w:r/>
            <w:r>
              <w:rPr>
                <w:rFonts w:ascii="Calibri" w:hAnsi="Calibri"/>
                <w:b w:val="0"/>
                <w:color w:val="222222"/>
                <w:sz w:val="17"/>
              </w:rPr>
              <w:t>Jupyter Notebook</w:t>
            </w:r>
          </w:p>
        </w:tc>
        <w:tc>
          <w:tcPr>
            <w:tcW w:type="dxa" w:w="5040"/>
            <w:vAlign w:val="center"/>
          </w:tcPr>
          <w:p>
            <w:r/>
            <w:r>
              <w:rPr>
                <w:rFonts w:ascii="Calibri" w:hAnsi="Calibri"/>
                <w:b w:val="0"/>
                <w:color w:val="222222"/>
                <w:sz w:val="17"/>
              </w:rPr>
              <w:t>Combines code, narrative explanations, tables and visualizations.</w:t>
            </w:r>
          </w:p>
        </w:tc>
      </w:tr>
      <w:tr>
        <w:tc>
          <w:tcPr>
            <w:tcW w:type="dxa" w:w="5040"/>
            <w:vAlign w:val="center"/>
            <w:shd w:fill="F8FAFC"/>
          </w:tcPr>
          <w:p>
            <w:r/>
            <w:r>
              <w:rPr>
                <w:rFonts w:ascii="Calibri" w:hAnsi="Calibri"/>
                <w:b w:val="0"/>
                <w:color w:val="222222"/>
                <w:sz w:val="17"/>
              </w:rPr>
              <w:t>VS Code</w:t>
            </w:r>
          </w:p>
        </w:tc>
        <w:tc>
          <w:tcPr>
            <w:tcW w:type="dxa" w:w="5040"/>
            <w:vAlign w:val="center"/>
            <w:shd w:fill="F8FAFC"/>
          </w:tcPr>
          <w:p>
            <w:r/>
            <w:r>
              <w:rPr>
                <w:rFonts w:ascii="Calibri" w:hAnsi="Calibri"/>
                <w:b w:val="0"/>
                <w:color w:val="222222"/>
                <w:sz w:val="17"/>
              </w:rPr>
              <w:t>Project development, code organization and debugging.</w:t>
            </w:r>
          </w:p>
        </w:tc>
      </w:tr>
      <w:tr>
        <w:tc>
          <w:tcPr>
            <w:tcW w:type="dxa" w:w="5040"/>
            <w:vAlign w:val="center"/>
          </w:tcPr>
          <w:p>
            <w:r/>
            <w:r>
              <w:rPr>
                <w:rFonts w:ascii="Calibri" w:hAnsi="Calibri"/>
                <w:b w:val="0"/>
                <w:color w:val="222222"/>
                <w:sz w:val="17"/>
              </w:rPr>
              <w:t>Git &amp; GitHub</w:t>
            </w:r>
          </w:p>
        </w:tc>
        <w:tc>
          <w:tcPr>
            <w:tcW w:type="dxa" w:w="5040"/>
            <w:vAlign w:val="center"/>
          </w:tcPr>
          <w:p>
            <w:r/>
            <w:r>
              <w:rPr>
                <w:rFonts w:ascii="Calibri" w:hAnsi="Calibri"/>
                <w:b w:val="0"/>
                <w:color w:val="222222"/>
                <w:sz w:val="17"/>
              </w:rPr>
              <w:t>Version control, collaboration and reproducible project history.</w:t>
            </w:r>
          </w:p>
        </w:tc>
      </w:tr>
    </w:tbl>
    <w:p>
      <w:pPr>
        <w:spacing w:after="100" w:line="252" w:lineRule="auto"/>
      </w:pPr>
    </w:p>
    <w:p>
      <w:pPr>
        <w:pStyle w:val="Heading1"/>
        <w:keepNext/>
        <w:spacing w:after="100" w:line="252" w:lineRule="auto"/>
      </w:pPr>
      <w:r>
        <w:t>12. Proposed EDA Question Bank</w:t>
      </w:r>
    </w:p>
    <w:p>
      <w:pPr>
        <w:pStyle w:val="ListBullet"/>
        <w:spacing w:after="100" w:line="252" w:lineRule="auto"/>
      </w:pPr>
      <w:r>
        <w:t>What is the overall distribution of final academic scores?</w:t>
      </w:r>
    </w:p>
    <w:p>
      <w:pPr>
        <w:pStyle w:val="ListBullet"/>
        <w:spacing w:after="100" w:line="252" w:lineRule="auto"/>
      </w:pPr>
      <w:r>
        <w:t>Are attendance percentages concentrated within a particular range?</w:t>
      </w:r>
    </w:p>
    <w:p>
      <w:pPr>
        <w:pStyle w:val="ListBullet"/>
        <w:spacing w:after="100" w:line="252" w:lineRule="auto"/>
      </w:pPr>
      <w:r>
        <w:t>Is there an apparent relationship between study hours and final score?</w:t>
      </w:r>
    </w:p>
    <w:p>
      <w:pPr>
        <w:pStyle w:val="ListBullet"/>
        <w:spacing w:after="100" w:line="252" w:lineRule="auto"/>
      </w:pPr>
      <w:r>
        <w:t>How does assignment performance compare across performance categories?</w:t>
      </w:r>
    </w:p>
    <w:p>
      <w:pPr>
        <w:pStyle w:val="ListBullet"/>
        <w:spacing w:after="100" w:line="252" w:lineRule="auto"/>
      </w:pPr>
      <w:r>
        <w:t>Do participation levels show different score distributions?</w:t>
      </w:r>
    </w:p>
    <w:p>
      <w:pPr>
        <w:pStyle w:val="ListBullet"/>
        <w:spacing w:after="100" w:line="252" w:lineRule="auto"/>
      </w:pPr>
      <w:r>
        <w:t>Which numerical variables appear strongly correlated with each other?</w:t>
      </w:r>
    </w:p>
    <w:p>
      <w:pPr>
        <w:pStyle w:val="ListBullet"/>
        <w:spacing w:after="100" w:line="252" w:lineRule="auto"/>
      </w:pPr>
      <w:r>
        <w:t>Are there unusual or potentially invalid records?</w:t>
      </w:r>
    </w:p>
    <w:p>
      <w:pPr>
        <w:pStyle w:val="ListBullet"/>
        <w:spacing w:after="100" w:line="252" w:lineRule="auto"/>
      </w:pPr>
      <w:r>
        <w:t>Are categorical classes balanced enough for later classification?</w:t>
      </w:r>
    </w:p>
    <w:p>
      <w:pPr>
        <w:pStyle w:val="ListBullet"/>
        <w:spacing w:after="100" w:line="252" w:lineRule="auto"/>
      </w:pPr>
      <w:r>
        <w:t>Which variables may require transformation or encoding before modeling?</w:t>
      </w:r>
    </w:p>
    <w:p>
      <w:pPr>
        <w:pStyle w:val="ListBullet"/>
        <w:spacing w:after="100" w:line="252" w:lineRule="auto"/>
      </w:pPr>
      <w:r>
        <w:t>What limitations in the data could affect interpretation?</w:t>
      </w:r>
    </w:p>
    <w:p>
      <w:pPr>
        <w:pStyle w:val="Heading1"/>
        <w:keepNext/>
        <w:spacing w:after="100" w:line="252" w:lineRule="auto"/>
      </w:pPr>
      <w:r>
        <w:t>13. Reporting &amp; Documentation Plan</w:t>
      </w:r>
    </w:p>
    <w:p>
      <w:pPr>
        <w:spacing w:after="100" w:line="252" w:lineRule="auto"/>
      </w:pPr>
      <w:r>
        <w:t>The EDA work will be documented so another person can understand what was analysed, why each method was selected, what was discovered, and what limitations remain.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Calibri" w:hAnsi="Calibri"/>
                <w:b/>
                <w:color w:val="FFFFFF"/>
                <w:sz w:val="18"/>
              </w:rPr>
              <w:t>Report Section</w:t>
            </w:r>
          </w:p>
        </w:tc>
        <w:tc>
          <w:tcPr>
            <w:tcW w:type="dxa" w:w="5040"/>
            <w:vAlign w:val="center"/>
            <w:shd w:fill="17365D"/>
          </w:tcPr>
          <w:p>
            <w:r/>
            <w:r>
              <w:rPr>
                <w:rFonts w:ascii="Calibri" w:hAnsi="Calibri"/>
                <w:b/>
                <w:color w:val="FFFFFF"/>
                <w:sz w:val="18"/>
              </w:rPr>
              <w:t>Content</w:t>
            </w:r>
          </w:p>
        </w:tc>
      </w:tr>
      <w:tr>
        <w:tc>
          <w:tcPr>
            <w:tcW w:type="dxa" w:w="5040"/>
            <w:vAlign w:val="center"/>
          </w:tcPr>
          <w:p>
            <w:r/>
            <w:r>
              <w:rPr>
                <w:rFonts w:ascii="Calibri" w:hAnsi="Calibri"/>
                <w:b w:val="0"/>
                <w:color w:val="222222"/>
                <w:sz w:val="17"/>
              </w:rPr>
              <w:t>1. Executive Summary</w:t>
            </w:r>
          </w:p>
        </w:tc>
        <w:tc>
          <w:tcPr>
            <w:tcW w:type="dxa" w:w="5040"/>
            <w:vAlign w:val="center"/>
          </w:tcPr>
          <w:p>
            <w:r/>
            <w:r>
              <w:rPr>
                <w:rFonts w:ascii="Calibri" w:hAnsi="Calibri"/>
                <w:b w:val="0"/>
                <w:color w:val="222222"/>
                <w:sz w:val="17"/>
              </w:rPr>
              <w:t>Purpose, major findings and most important implications.</w:t>
            </w:r>
          </w:p>
        </w:tc>
      </w:tr>
      <w:tr>
        <w:tc>
          <w:tcPr>
            <w:tcW w:type="dxa" w:w="5040"/>
            <w:vAlign w:val="center"/>
            <w:shd w:fill="F8FAFC"/>
          </w:tcPr>
          <w:p>
            <w:r/>
            <w:r>
              <w:rPr>
                <w:rFonts w:ascii="Calibri" w:hAnsi="Calibri"/>
                <w:b w:val="0"/>
                <w:color w:val="222222"/>
                <w:sz w:val="17"/>
              </w:rPr>
              <w:t>2. Dataset Overview</w:t>
            </w:r>
          </w:p>
        </w:tc>
        <w:tc>
          <w:tcPr>
            <w:tcW w:type="dxa" w:w="5040"/>
            <w:vAlign w:val="center"/>
            <w:shd w:fill="F8FAFC"/>
          </w:tcPr>
          <w:p>
            <w:r/>
            <w:r>
              <w:rPr>
                <w:rFonts w:ascii="Calibri" w:hAnsi="Calibri"/>
                <w:b w:val="0"/>
                <w:color w:val="222222"/>
                <w:sz w:val="17"/>
              </w:rPr>
              <w:t>Source, size, variables, target and data dictionary.</w:t>
            </w:r>
          </w:p>
        </w:tc>
      </w:tr>
      <w:tr>
        <w:tc>
          <w:tcPr>
            <w:tcW w:type="dxa" w:w="5040"/>
            <w:vAlign w:val="center"/>
          </w:tcPr>
          <w:p>
            <w:r/>
            <w:r>
              <w:rPr>
                <w:rFonts w:ascii="Calibri" w:hAnsi="Calibri"/>
                <w:b w:val="0"/>
                <w:color w:val="222222"/>
                <w:sz w:val="17"/>
              </w:rPr>
              <w:t>3. Data Quality</w:t>
            </w:r>
          </w:p>
        </w:tc>
        <w:tc>
          <w:tcPr>
            <w:tcW w:type="dxa" w:w="5040"/>
            <w:vAlign w:val="center"/>
          </w:tcPr>
          <w:p>
            <w:r/>
            <w:r>
              <w:rPr>
                <w:rFonts w:ascii="Calibri" w:hAnsi="Calibri"/>
                <w:b w:val="0"/>
                <w:color w:val="222222"/>
                <w:sz w:val="17"/>
              </w:rPr>
              <w:t>Missing values, duplicates, invalid values and outlier assessment.</w:t>
            </w:r>
          </w:p>
        </w:tc>
      </w:tr>
      <w:tr>
        <w:tc>
          <w:tcPr>
            <w:tcW w:type="dxa" w:w="5040"/>
            <w:vAlign w:val="center"/>
            <w:shd w:fill="F8FAFC"/>
          </w:tcPr>
          <w:p>
            <w:r/>
            <w:r>
              <w:rPr>
                <w:rFonts w:ascii="Calibri" w:hAnsi="Calibri"/>
                <w:b w:val="0"/>
                <w:color w:val="222222"/>
                <w:sz w:val="17"/>
              </w:rPr>
              <w:t>4. Univariate Analysis</w:t>
            </w:r>
          </w:p>
        </w:tc>
        <w:tc>
          <w:tcPr>
            <w:tcW w:type="dxa" w:w="5040"/>
            <w:vAlign w:val="center"/>
            <w:shd w:fill="F8FAFC"/>
          </w:tcPr>
          <w:p>
            <w:r/>
            <w:r>
              <w:rPr>
                <w:rFonts w:ascii="Calibri" w:hAnsi="Calibri"/>
                <w:b w:val="0"/>
                <w:color w:val="222222"/>
                <w:sz w:val="17"/>
              </w:rPr>
              <w:t>Distributions, frequencies and descriptive statistics.</w:t>
            </w:r>
          </w:p>
        </w:tc>
      </w:tr>
      <w:tr>
        <w:tc>
          <w:tcPr>
            <w:tcW w:type="dxa" w:w="5040"/>
            <w:vAlign w:val="center"/>
          </w:tcPr>
          <w:p>
            <w:r/>
            <w:r>
              <w:rPr>
                <w:rFonts w:ascii="Calibri" w:hAnsi="Calibri"/>
                <w:b w:val="0"/>
                <w:color w:val="222222"/>
                <w:sz w:val="17"/>
              </w:rPr>
              <w:t>5. Bivariate Analysis</w:t>
            </w:r>
          </w:p>
        </w:tc>
        <w:tc>
          <w:tcPr>
            <w:tcW w:type="dxa" w:w="5040"/>
            <w:vAlign w:val="center"/>
          </w:tcPr>
          <w:p>
            <w:r/>
            <w:r>
              <w:rPr>
                <w:rFonts w:ascii="Calibri" w:hAnsi="Calibri"/>
                <w:b w:val="0"/>
                <w:color w:val="222222"/>
                <w:sz w:val="17"/>
              </w:rPr>
              <w:t>Relationships between key variables.</w:t>
            </w:r>
          </w:p>
        </w:tc>
      </w:tr>
      <w:tr>
        <w:tc>
          <w:tcPr>
            <w:tcW w:type="dxa" w:w="5040"/>
            <w:vAlign w:val="center"/>
            <w:shd w:fill="F8FAFC"/>
          </w:tcPr>
          <w:p>
            <w:r/>
            <w:r>
              <w:rPr>
                <w:rFonts w:ascii="Calibri" w:hAnsi="Calibri"/>
                <w:b w:val="0"/>
                <w:color w:val="222222"/>
                <w:sz w:val="17"/>
              </w:rPr>
              <w:t>6. Multivariate Analysis</w:t>
            </w:r>
          </w:p>
        </w:tc>
        <w:tc>
          <w:tcPr>
            <w:tcW w:type="dxa" w:w="5040"/>
            <w:vAlign w:val="center"/>
            <w:shd w:fill="F8FAFC"/>
          </w:tcPr>
          <w:p>
            <w:r/>
            <w:r>
              <w:rPr>
                <w:rFonts w:ascii="Calibri" w:hAnsi="Calibri"/>
                <w:b w:val="0"/>
                <w:color w:val="222222"/>
                <w:sz w:val="17"/>
              </w:rPr>
              <w:t>Combined patterns, correlations and subgroup analysis.</w:t>
            </w:r>
          </w:p>
        </w:tc>
      </w:tr>
      <w:tr>
        <w:tc>
          <w:tcPr>
            <w:tcW w:type="dxa" w:w="5040"/>
            <w:vAlign w:val="center"/>
          </w:tcPr>
          <w:p>
            <w:r/>
            <w:r>
              <w:rPr>
                <w:rFonts w:ascii="Calibri" w:hAnsi="Calibri"/>
                <w:b w:val="0"/>
                <w:color w:val="222222"/>
                <w:sz w:val="17"/>
              </w:rPr>
              <w:t>7. Visualization Findings</w:t>
            </w:r>
          </w:p>
        </w:tc>
        <w:tc>
          <w:tcPr>
            <w:tcW w:type="dxa" w:w="5040"/>
            <w:vAlign w:val="center"/>
          </w:tcPr>
          <w:p>
            <w:r/>
            <w:r>
              <w:rPr>
                <w:rFonts w:ascii="Calibri" w:hAnsi="Calibri"/>
                <w:b w:val="0"/>
                <w:color w:val="222222"/>
                <w:sz w:val="17"/>
              </w:rPr>
              <w:t>Key charts with concise interpretation.</w:t>
            </w:r>
          </w:p>
        </w:tc>
      </w:tr>
      <w:tr>
        <w:tc>
          <w:tcPr>
            <w:tcW w:type="dxa" w:w="5040"/>
            <w:vAlign w:val="center"/>
            <w:shd w:fill="F8FAFC"/>
          </w:tcPr>
          <w:p>
            <w:r/>
            <w:r>
              <w:rPr>
                <w:rFonts w:ascii="Calibri" w:hAnsi="Calibri"/>
                <w:b w:val="0"/>
                <w:color w:val="222222"/>
                <w:sz w:val="17"/>
              </w:rPr>
              <w:t>8. Limitations</w:t>
            </w:r>
          </w:p>
        </w:tc>
        <w:tc>
          <w:tcPr>
            <w:tcW w:type="dxa" w:w="5040"/>
            <w:vAlign w:val="center"/>
            <w:shd w:fill="F8FAFC"/>
          </w:tcPr>
          <w:p>
            <w:r/>
            <w:r>
              <w:rPr>
                <w:rFonts w:ascii="Calibri" w:hAnsi="Calibri"/>
                <w:b w:val="0"/>
                <w:color w:val="222222"/>
                <w:sz w:val="17"/>
              </w:rPr>
              <w:t>Data gaps, assumptions, sampling and analytical limitations.</w:t>
            </w:r>
          </w:p>
        </w:tc>
      </w:tr>
      <w:tr>
        <w:tc>
          <w:tcPr>
            <w:tcW w:type="dxa" w:w="5040"/>
            <w:vAlign w:val="center"/>
          </w:tcPr>
          <w:p>
            <w:r/>
            <w:r>
              <w:rPr>
                <w:rFonts w:ascii="Calibri" w:hAnsi="Calibri"/>
                <w:b w:val="0"/>
                <w:color w:val="222222"/>
                <w:sz w:val="17"/>
              </w:rPr>
              <w:t>9. Recommendations</w:t>
            </w:r>
          </w:p>
        </w:tc>
        <w:tc>
          <w:tcPr>
            <w:tcW w:type="dxa" w:w="5040"/>
            <w:vAlign w:val="center"/>
          </w:tcPr>
          <w:p>
            <w:r/>
            <w:r>
              <w:rPr>
                <w:rFonts w:ascii="Calibri" w:hAnsi="Calibri"/>
                <w:b w:val="0"/>
                <w:color w:val="222222"/>
                <w:sz w:val="17"/>
              </w:rPr>
              <w:t>Actionable next steps supported by the evidence.</w:t>
            </w:r>
          </w:p>
        </w:tc>
      </w:tr>
      <w:tr>
        <w:tc>
          <w:tcPr>
            <w:tcW w:type="dxa" w:w="5040"/>
            <w:vAlign w:val="center"/>
            <w:shd w:fill="F8FAFC"/>
          </w:tcPr>
          <w:p>
            <w:r/>
            <w:r>
              <w:rPr>
                <w:rFonts w:ascii="Calibri" w:hAnsi="Calibri"/>
                <w:b w:val="0"/>
                <w:color w:val="222222"/>
                <w:sz w:val="17"/>
              </w:rPr>
              <w:t>10. Appendix</w:t>
            </w:r>
          </w:p>
        </w:tc>
        <w:tc>
          <w:tcPr>
            <w:tcW w:type="dxa" w:w="5040"/>
            <w:vAlign w:val="center"/>
            <w:shd w:fill="F8FAFC"/>
          </w:tcPr>
          <w:p>
            <w:r/>
            <w:r>
              <w:rPr>
                <w:rFonts w:ascii="Calibri" w:hAnsi="Calibri"/>
                <w:b w:val="0"/>
                <w:color w:val="222222"/>
                <w:sz w:val="17"/>
              </w:rPr>
              <w:t>Additional charts, tables, code notes and technical details.</w:t>
            </w:r>
          </w:p>
        </w:tc>
      </w:tr>
    </w:tbl>
    <w:p>
      <w:pPr>
        <w:spacing w:after="100" w:line="252" w:lineRule="auto"/>
      </w:pPr>
    </w:p>
    <w:p>
      <w:pPr>
        <w:pStyle w:val="Heading1"/>
        <w:keepNext/>
        <w:spacing w:after="100" w:line="252" w:lineRule="auto"/>
      </w:pPr>
      <w:r>
        <w:t>14. Notebook Documentation Standard</w:t>
      </w:r>
    </w:p>
    <w:p>
      <w:pPr>
        <w:pStyle w:val="ListNumber"/>
        <w:spacing w:after="100" w:line="252" w:lineRule="auto"/>
      </w:pPr>
      <w:r>
        <w:t>Begin with project purpose, analytical questions and dataset description.</w:t>
      </w:r>
    </w:p>
    <w:p>
      <w:pPr>
        <w:pStyle w:val="ListNumber"/>
        <w:spacing w:after="100" w:line="252" w:lineRule="auto"/>
      </w:pPr>
      <w:r>
        <w:t>Use clear Markdown headings for each EDA stage.</w:t>
      </w:r>
    </w:p>
    <w:p>
      <w:pPr>
        <w:pStyle w:val="ListNumber"/>
        <w:spacing w:after="100" w:line="252" w:lineRule="auto"/>
      </w:pPr>
      <w:r>
        <w:t>Explain the purpose of important code blocks before executing them.</w:t>
      </w:r>
    </w:p>
    <w:p>
      <w:pPr>
        <w:pStyle w:val="ListNumber"/>
        <w:spacing w:after="100" w:line="252" w:lineRule="auto"/>
      </w:pPr>
      <w:r>
        <w:t>Display intermediate quality checks and relevant summary tables.</w:t>
      </w:r>
    </w:p>
    <w:p>
      <w:pPr>
        <w:pStyle w:val="ListNumber"/>
        <w:spacing w:after="100" w:line="252" w:lineRule="auto"/>
      </w:pPr>
      <w:r>
        <w:t>Give each important chart a meaningful title and interpretation.</w:t>
      </w:r>
    </w:p>
    <w:p>
      <w:pPr>
        <w:pStyle w:val="ListNumber"/>
        <w:spacing w:after="100" w:line="252" w:lineRule="auto"/>
      </w:pPr>
      <w:r>
        <w:t>Record transformations and assumptions.</w:t>
      </w:r>
    </w:p>
    <w:p>
      <w:pPr>
        <w:pStyle w:val="ListNumber"/>
        <w:spacing w:after="100" w:line="252" w:lineRule="auto"/>
      </w:pPr>
      <w:r>
        <w:t>Separate exploratory experiments from final selected analyses.</w:t>
      </w:r>
    </w:p>
    <w:p>
      <w:pPr>
        <w:pStyle w:val="ListNumber"/>
        <w:spacing w:after="100" w:line="252" w:lineRule="auto"/>
      </w:pPr>
      <w:r>
        <w:t>Finish with a concise findings, limitations and next-steps section.</w:t>
      </w:r>
    </w:p>
    <w:p>
      <w:pPr>
        <w:pStyle w:val="Heading1"/>
        <w:keepNext/>
        <w:spacing w:after="100" w:line="252" w:lineRule="auto"/>
      </w:pPr>
      <w:r>
        <w:t>15. 34-Hour Work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Calibri" w:hAnsi="Calibri"/>
                <w:b/>
                <w:color w:val="FFFFFF"/>
                <w:sz w:val="18"/>
              </w:rPr>
              <w:t>Work Package</w:t>
            </w:r>
          </w:p>
        </w:tc>
        <w:tc>
          <w:tcPr>
            <w:tcW w:type="dxa" w:w="3360"/>
            <w:vAlign w:val="center"/>
            <w:shd w:fill="17365D"/>
          </w:tcPr>
          <w:p>
            <w:r/>
            <w:r>
              <w:rPr>
                <w:rFonts w:ascii="Calibri" w:hAnsi="Calibri"/>
                <w:b/>
                <w:color w:val="FFFFFF"/>
                <w:sz w:val="18"/>
              </w:rPr>
              <w:t>Hours</w:t>
            </w:r>
          </w:p>
        </w:tc>
        <w:tc>
          <w:tcPr>
            <w:tcW w:type="dxa" w:w="3360"/>
            <w:vAlign w:val="center"/>
            <w:shd w:fill="17365D"/>
          </w:tcPr>
          <w:p>
            <w:r/>
            <w:r>
              <w:rPr>
                <w:rFonts w:ascii="Calibri" w:hAnsi="Calibri"/>
                <w:b/>
                <w:color w:val="FFFFFF"/>
                <w:sz w:val="18"/>
              </w:rPr>
              <w:t>Planned Output</w:t>
            </w:r>
          </w:p>
        </w:tc>
      </w:tr>
      <w:tr>
        <w:tc>
          <w:tcPr>
            <w:tcW w:type="dxa" w:w="3360"/>
            <w:vAlign w:val="center"/>
          </w:tcPr>
          <w:p>
            <w:r/>
            <w:r>
              <w:rPr>
                <w:rFonts w:ascii="Calibri" w:hAnsi="Calibri"/>
                <w:b w:val="0"/>
                <w:color w:val="222222"/>
                <w:sz w:val="17"/>
              </w:rPr>
              <w:t>EDA Foundations &amp; Analytical Questions</w:t>
            </w:r>
          </w:p>
        </w:tc>
        <w:tc>
          <w:tcPr>
            <w:tcW w:type="dxa" w:w="3360"/>
            <w:vAlign w:val="center"/>
          </w:tcPr>
          <w:p>
            <w:r/>
            <w:r>
              <w:rPr>
                <w:rFonts w:ascii="Calibri" w:hAnsi="Calibri"/>
                <w:b w:val="0"/>
                <w:color w:val="222222"/>
                <w:sz w:val="17"/>
              </w:rPr>
              <w:t>3 h</w:t>
            </w:r>
          </w:p>
        </w:tc>
        <w:tc>
          <w:tcPr>
            <w:tcW w:type="dxa" w:w="3360"/>
            <w:vAlign w:val="center"/>
          </w:tcPr>
          <w:p>
            <w:r/>
            <w:r>
              <w:rPr>
                <w:rFonts w:ascii="Calibri" w:hAnsi="Calibri"/>
                <w:b w:val="0"/>
                <w:color w:val="222222"/>
                <w:sz w:val="17"/>
              </w:rPr>
              <w:t>EDA objectives, question bank and workflow</w:t>
            </w:r>
          </w:p>
        </w:tc>
      </w:tr>
      <w:tr>
        <w:tc>
          <w:tcPr>
            <w:tcW w:type="dxa" w:w="3360"/>
            <w:vAlign w:val="center"/>
            <w:shd w:fill="F8FAFC"/>
          </w:tcPr>
          <w:p>
            <w:r/>
            <w:r>
              <w:rPr>
                <w:rFonts w:ascii="Calibri" w:hAnsi="Calibri"/>
                <w:b w:val="0"/>
                <w:color w:val="222222"/>
                <w:sz w:val="17"/>
              </w:rPr>
              <w:t>Data Types &amp; Dataset Profiling</w:t>
            </w:r>
          </w:p>
        </w:tc>
        <w:tc>
          <w:tcPr>
            <w:tcW w:type="dxa" w:w="3360"/>
            <w:vAlign w:val="center"/>
            <w:shd w:fill="F8FAFC"/>
          </w:tcPr>
          <w:p>
            <w:r/>
            <w:r>
              <w:rPr>
                <w:rFonts w:ascii="Calibri" w:hAnsi="Calibri"/>
                <w:b w:val="0"/>
                <w:color w:val="222222"/>
                <w:sz w:val="17"/>
              </w:rPr>
              <w:t>4 h</w:t>
            </w:r>
          </w:p>
        </w:tc>
        <w:tc>
          <w:tcPr>
            <w:tcW w:type="dxa" w:w="3360"/>
            <w:vAlign w:val="center"/>
            <w:shd w:fill="F8FAFC"/>
          </w:tcPr>
          <w:p>
            <w:r/>
            <w:r>
              <w:rPr>
                <w:rFonts w:ascii="Calibri" w:hAnsi="Calibri"/>
                <w:b w:val="0"/>
                <w:color w:val="222222"/>
                <w:sz w:val="17"/>
              </w:rPr>
              <w:t>Profiling checklist and data-type framework</w:t>
            </w:r>
          </w:p>
        </w:tc>
      </w:tr>
      <w:tr>
        <w:tc>
          <w:tcPr>
            <w:tcW w:type="dxa" w:w="3360"/>
            <w:vAlign w:val="center"/>
          </w:tcPr>
          <w:p>
            <w:r/>
            <w:r>
              <w:rPr>
                <w:rFonts w:ascii="Calibri" w:hAnsi="Calibri"/>
                <w:b w:val="0"/>
                <w:color w:val="222222"/>
                <w:sz w:val="17"/>
              </w:rPr>
              <w:t>Missing Data &amp; Outlier Strategy</w:t>
            </w:r>
          </w:p>
        </w:tc>
        <w:tc>
          <w:tcPr>
            <w:tcW w:type="dxa" w:w="3360"/>
            <w:vAlign w:val="center"/>
          </w:tcPr>
          <w:p>
            <w:r/>
            <w:r>
              <w:rPr>
                <w:rFonts w:ascii="Calibri" w:hAnsi="Calibri"/>
                <w:b w:val="0"/>
                <w:color w:val="222222"/>
                <w:sz w:val="17"/>
              </w:rPr>
              <w:t>5 h</w:t>
            </w:r>
          </w:p>
        </w:tc>
        <w:tc>
          <w:tcPr>
            <w:tcW w:type="dxa" w:w="3360"/>
            <w:vAlign w:val="center"/>
          </w:tcPr>
          <w:p>
            <w:r/>
            <w:r>
              <w:rPr>
                <w:rFonts w:ascii="Calibri" w:hAnsi="Calibri"/>
                <w:b w:val="0"/>
                <w:color w:val="222222"/>
                <w:sz w:val="17"/>
              </w:rPr>
              <w:t>Quality-control and treatment framework</w:t>
            </w:r>
          </w:p>
        </w:tc>
      </w:tr>
      <w:tr>
        <w:tc>
          <w:tcPr>
            <w:tcW w:type="dxa" w:w="3360"/>
            <w:vAlign w:val="center"/>
            <w:shd w:fill="F8FAFC"/>
          </w:tcPr>
          <w:p>
            <w:r/>
            <w:r>
              <w:rPr>
                <w:rFonts w:ascii="Calibri" w:hAnsi="Calibri"/>
                <w:b w:val="0"/>
                <w:color w:val="222222"/>
                <w:sz w:val="17"/>
              </w:rPr>
              <w:t>Univariate Analysis Framework</w:t>
            </w:r>
          </w:p>
        </w:tc>
        <w:tc>
          <w:tcPr>
            <w:tcW w:type="dxa" w:w="3360"/>
            <w:vAlign w:val="center"/>
            <w:shd w:fill="F8FAFC"/>
          </w:tcPr>
          <w:p>
            <w:r/>
            <w:r>
              <w:rPr>
                <w:rFonts w:ascii="Calibri" w:hAnsi="Calibri"/>
                <w:b w:val="0"/>
                <w:color w:val="222222"/>
                <w:sz w:val="17"/>
              </w:rPr>
              <w:t>5 h</w:t>
            </w:r>
          </w:p>
        </w:tc>
        <w:tc>
          <w:tcPr>
            <w:tcW w:type="dxa" w:w="3360"/>
            <w:vAlign w:val="center"/>
            <w:shd w:fill="F8FAFC"/>
          </w:tcPr>
          <w:p>
            <w:r/>
            <w:r>
              <w:rPr>
                <w:rFonts w:ascii="Calibri" w:hAnsi="Calibri"/>
                <w:b w:val="0"/>
                <w:color w:val="222222"/>
                <w:sz w:val="17"/>
              </w:rPr>
              <w:t>Methods, statistics and chart selection</w:t>
            </w:r>
          </w:p>
        </w:tc>
      </w:tr>
      <w:tr>
        <w:tc>
          <w:tcPr>
            <w:tcW w:type="dxa" w:w="3360"/>
            <w:vAlign w:val="center"/>
          </w:tcPr>
          <w:p>
            <w:r/>
            <w:r>
              <w:rPr>
                <w:rFonts w:ascii="Calibri" w:hAnsi="Calibri"/>
                <w:b w:val="0"/>
                <w:color w:val="222222"/>
                <w:sz w:val="17"/>
              </w:rPr>
              <w:t>Bivariate &amp; Multivariate Framework</w:t>
            </w:r>
          </w:p>
        </w:tc>
        <w:tc>
          <w:tcPr>
            <w:tcW w:type="dxa" w:w="3360"/>
            <w:vAlign w:val="center"/>
          </w:tcPr>
          <w:p>
            <w:r/>
            <w:r>
              <w:rPr>
                <w:rFonts w:ascii="Calibri" w:hAnsi="Calibri"/>
                <w:b w:val="0"/>
                <w:color w:val="222222"/>
                <w:sz w:val="17"/>
              </w:rPr>
              <w:t>5 h</w:t>
            </w:r>
          </w:p>
        </w:tc>
        <w:tc>
          <w:tcPr>
            <w:tcW w:type="dxa" w:w="3360"/>
            <w:vAlign w:val="center"/>
          </w:tcPr>
          <w:p>
            <w:r/>
            <w:r>
              <w:rPr>
                <w:rFonts w:ascii="Calibri" w:hAnsi="Calibri"/>
                <w:b w:val="0"/>
                <w:color w:val="222222"/>
                <w:sz w:val="17"/>
              </w:rPr>
              <w:t>Relationship-analysis strategy</w:t>
            </w:r>
          </w:p>
        </w:tc>
      </w:tr>
      <w:tr>
        <w:tc>
          <w:tcPr>
            <w:tcW w:type="dxa" w:w="3360"/>
            <w:vAlign w:val="center"/>
            <w:shd w:fill="F8FAFC"/>
          </w:tcPr>
          <w:p>
            <w:r/>
            <w:r>
              <w:rPr>
                <w:rFonts w:ascii="Calibri" w:hAnsi="Calibri"/>
                <w:b w:val="0"/>
                <w:color w:val="222222"/>
                <w:sz w:val="17"/>
              </w:rPr>
              <w:t>Visualization Design &amp; Library Plan</w:t>
            </w:r>
          </w:p>
        </w:tc>
        <w:tc>
          <w:tcPr>
            <w:tcW w:type="dxa" w:w="3360"/>
            <w:vAlign w:val="center"/>
            <w:shd w:fill="F8FAFC"/>
          </w:tcPr>
          <w:p>
            <w:r/>
            <w:r>
              <w:rPr>
                <w:rFonts w:ascii="Calibri" w:hAnsi="Calibri"/>
                <w:b w:val="0"/>
                <w:color w:val="222222"/>
                <w:sz w:val="17"/>
              </w:rPr>
              <w:t>5 h</w:t>
            </w:r>
          </w:p>
        </w:tc>
        <w:tc>
          <w:tcPr>
            <w:tcW w:type="dxa" w:w="3360"/>
            <w:vAlign w:val="center"/>
            <w:shd w:fill="F8FAFC"/>
          </w:tcPr>
          <w:p>
            <w:r/>
            <w:r>
              <w:rPr>
                <w:rFonts w:ascii="Calibri" w:hAnsi="Calibri"/>
                <w:b w:val="0"/>
                <w:color w:val="222222"/>
                <w:sz w:val="17"/>
              </w:rPr>
              <w:t>Chart framework and Python-tool mapping</w:t>
            </w:r>
          </w:p>
        </w:tc>
      </w:tr>
      <w:tr>
        <w:tc>
          <w:tcPr>
            <w:tcW w:type="dxa" w:w="3360"/>
            <w:vAlign w:val="center"/>
          </w:tcPr>
          <w:p>
            <w:r/>
            <w:r>
              <w:rPr>
                <w:rFonts w:ascii="Calibri" w:hAnsi="Calibri"/>
                <w:b w:val="0"/>
                <w:color w:val="222222"/>
                <w:sz w:val="17"/>
              </w:rPr>
              <w:t>Reporting, Documentation &amp; QA</w:t>
            </w:r>
          </w:p>
        </w:tc>
        <w:tc>
          <w:tcPr>
            <w:tcW w:type="dxa" w:w="3360"/>
            <w:vAlign w:val="center"/>
          </w:tcPr>
          <w:p>
            <w:r/>
            <w:r>
              <w:rPr>
                <w:rFonts w:ascii="Calibri" w:hAnsi="Calibri"/>
                <w:b w:val="0"/>
                <w:color w:val="222222"/>
                <w:sz w:val="17"/>
              </w:rPr>
              <w:t>4 h</w:t>
            </w:r>
          </w:p>
        </w:tc>
        <w:tc>
          <w:tcPr>
            <w:tcW w:type="dxa" w:w="3360"/>
            <w:vAlign w:val="center"/>
          </w:tcPr>
          <w:p>
            <w:r/>
            <w:r>
              <w:rPr>
                <w:rFonts w:ascii="Calibri" w:hAnsi="Calibri"/>
                <w:b w:val="0"/>
                <w:color w:val="222222"/>
                <w:sz w:val="17"/>
              </w:rPr>
              <w:t>Report structure, notebook standard and final review</w:t>
            </w:r>
          </w:p>
        </w:tc>
      </w:tr>
      <w:tr>
        <w:tc>
          <w:tcPr>
            <w:tcW w:type="dxa" w:w="3360"/>
            <w:vAlign w:val="center"/>
            <w:shd w:fill="F8FAFC"/>
          </w:tcPr>
          <w:p>
            <w:r/>
            <w:r>
              <w:rPr>
                <w:rFonts w:ascii="Calibri" w:hAnsi="Calibri"/>
                <w:b w:val="0"/>
                <w:color w:val="222222"/>
                <w:sz w:val="17"/>
              </w:rPr>
              <w:t>TOTAL</w:t>
            </w:r>
          </w:p>
        </w:tc>
        <w:tc>
          <w:tcPr>
            <w:tcW w:type="dxa" w:w="3360"/>
            <w:vAlign w:val="center"/>
            <w:shd w:fill="F8FAFC"/>
          </w:tcPr>
          <w:p>
            <w:r/>
            <w:r>
              <w:rPr>
                <w:rFonts w:ascii="Calibri" w:hAnsi="Calibri"/>
                <w:b w:val="0"/>
                <w:color w:val="222222"/>
                <w:sz w:val="17"/>
              </w:rPr>
              <w:t>34 h</w:t>
            </w:r>
          </w:p>
        </w:tc>
        <w:tc>
          <w:tcPr>
            <w:tcW w:type="dxa" w:w="3360"/>
            <w:vAlign w:val="center"/>
            <w:shd w:fill="F8FAFC"/>
          </w:tcPr>
          <w:p>
            <w:r/>
            <w:r>
              <w:rPr>
                <w:rFonts w:ascii="Calibri" w:hAnsi="Calibri"/>
                <w:b w:val="0"/>
                <w:color w:val="222222"/>
                <w:sz w:val="17"/>
              </w:rPr>
              <w:t>Within the required 30–35 hour range</w:t>
            </w:r>
          </w:p>
        </w:tc>
      </w:tr>
    </w:tbl>
    <w:p>
      <w:pPr>
        <w:spacing w:after="100" w:line="252" w:lineRule="auto"/>
      </w:pPr>
    </w:p>
    <w:p>
      <w:pPr>
        <w:spacing w:after="100" w:line="252" w:lineRule="auto"/>
        <w:jc w:val="center"/>
      </w:pPr>
      <w:r>
        <w:drawing>
          <wp:inline xmlns:a="http://schemas.openxmlformats.org/drawingml/2006/main" xmlns:pic="http://schemas.openxmlformats.org/drawingml/2006/picture">
            <wp:extent cx="6400800" cy="1965960"/>
            <wp:docPr id="3" name="Picture 3"/>
            <wp:cNvGraphicFramePr>
              <a:graphicFrameLocks noChangeAspect="1"/>
            </wp:cNvGraphicFramePr>
            <a:graphic>
              <a:graphicData uri="http://schemas.openxmlformats.org/drawingml/2006/picture">
                <pic:pic>
                  <pic:nvPicPr>
                    <pic:cNvPr id="0" name="week2_timeline.png"/>
                    <pic:cNvPicPr/>
                  </pic:nvPicPr>
                  <pic:blipFill>
                    <a:blip r:embed="rId13"/>
                    <a:stretch>
                      <a:fillRect/>
                    </a:stretch>
                  </pic:blipFill>
                  <pic:spPr>
                    <a:xfrm>
                      <a:off x="0" y="0"/>
                      <a:ext cx="6400800" cy="1965960"/>
                    </a:xfrm>
                    <a:prstGeom prst="rect"/>
                  </pic:spPr>
                </pic:pic>
              </a:graphicData>
            </a:graphic>
          </wp:inline>
        </w:drawing>
      </w:r>
    </w:p>
    <w:p>
      <w:pPr>
        <w:pStyle w:val="Caption"/>
        <w:spacing w:after="100" w:line="252" w:lineRule="auto"/>
      </w:pPr>
      <w:r>
        <w:t>Figure 3. Visual allocation of the planned 34 hours.</w:t>
      </w:r>
    </w:p>
    <w:p>
      <w:pPr>
        <w:pStyle w:val="Heading1"/>
        <w:keepNext/>
        <w:spacing w:after="100" w:line="252" w:lineRule="auto"/>
      </w:pPr>
      <w:r>
        <w:t>16. Quality &amp; Reproducibility Checklist</w:t>
      </w:r>
    </w:p>
    <w:p>
      <w:pPr>
        <w:pStyle w:val="ListBullet"/>
        <w:spacing w:after="100" w:line="252" w:lineRule="auto"/>
      </w:pPr>
      <w:r>
        <w:t>Dataset source and definitions are documented.</w:t>
      </w:r>
    </w:p>
    <w:p>
      <w:pPr>
        <w:pStyle w:val="ListBullet"/>
        <w:spacing w:after="100" w:line="252" w:lineRule="auto"/>
      </w:pPr>
      <w:r>
        <w:t>Column names and data types are verified.</w:t>
      </w:r>
    </w:p>
    <w:p>
      <w:pPr>
        <w:pStyle w:val="ListBullet"/>
        <w:spacing w:after="100" w:line="252" w:lineRule="auto"/>
      </w:pPr>
      <w:r>
        <w:t>Missingness is measured and treatment decisions are recorded.</w:t>
      </w:r>
    </w:p>
    <w:p>
      <w:pPr>
        <w:pStyle w:val="ListBullet"/>
        <w:spacing w:after="100" w:line="252" w:lineRule="auto"/>
      </w:pPr>
      <w:r>
        <w:t>Duplicates and invalid values are checked.</w:t>
      </w:r>
    </w:p>
    <w:p>
      <w:pPr>
        <w:pStyle w:val="ListBullet"/>
        <w:spacing w:after="100" w:line="252" w:lineRule="auto"/>
      </w:pPr>
      <w:r>
        <w:t>Outliers are investigated with context.</w:t>
      </w:r>
    </w:p>
    <w:p>
      <w:pPr>
        <w:pStyle w:val="ListBullet"/>
        <w:spacing w:after="100" w:line="252" w:lineRule="auto"/>
      </w:pPr>
      <w:r>
        <w:t>EDA questions are defined before generating large numbers of charts.</w:t>
      </w:r>
    </w:p>
    <w:p>
      <w:pPr>
        <w:pStyle w:val="ListBullet"/>
        <w:spacing w:after="100" w:line="252" w:lineRule="auto"/>
      </w:pPr>
      <w:r>
        <w:t>Charts have titles, labels and units where relevant.</w:t>
      </w:r>
    </w:p>
    <w:p>
      <w:pPr>
        <w:pStyle w:val="ListBullet"/>
        <w:spacing w:after="100" w:line="252" w:lineRule="auto"/>
      </w:pPr>
      <w:r>
        <w:t>Key findings are supported by appropriate visual or statistical evidence.</w:t>
      </w:r>
    </w:p>
    <w:p>
      <w:pPr>
        <w:pStyle w:val="ListBullet"/>
        <w:spacing w:after="100" w:line="252" w:lineRule="auto"/>
      </w:pPr>
      <w:r>
        <w:t>Limitations and assumptions are explicitly stated.</w:t>
      </w:r>
    </w:p>
    <w:p>
      <w:pPr>
        <w:pStyle w:val="ListBullet"/>
        <w:spacing w:after="100" w:line="252" w:lineRule="auto"/>
      </w:pPr>
      <w:r>
        <w:t>Notebook execution order is clear and reproducible.</w:t>
      </w:r>
    </w:p>
    <w:p>
      <w:pPr>
        <w:pStyle w:val="ListBullet"/>
        <w:spacing w:after="100" w:line="252" w:lineRule="auto"/>
      </w:pPr>
      <w:r>
        <w:t>Project changes are tracked using Git/GitHub.</w:t>
      </w:r>
    </w:p>
    <w:p>
      <w:pPr>
        <w:pStyle w:val="Heading1"/>
        <w:keepNext/>
        <w:spacing w:after="100" w:line="252" w:lineRule="auto"/>
      </w:pPr>
      <w:r>
        <w:t>17. Expected Outcomes</w:t>
      </w:r>
    </w:p>
    <w:p>
      <w:pPr>
        <w:pStyle w:val="ListBullet"/>
        <w:spacing w:after="100" w:line="252" w:lineRule="auto"/>
      </w:pPr>
      <w:r>
        <w:t>A reusable EDA framework applicable to structured datasets.</w:t>
      </w:r>
    </w:p>
    <w:p>
      <w:pPr>
        <w:pStyle w:val="ListBullet"/>
        <w:spacing w:after="100" w:line="252" w:lineRule="auto"/>
      </w:pPr>
      <w:r>
        <w:t>A clear strategy for selecting analysis techniques based on variable types.</w:t>
      </w:r>
    </w:p>
    <w:p>
      <w:pPr>
        <w:pStyle w:val="ListBullet"/>
        <w:spacing w:after="100" w:line="252" w:lineRule="auto"/>
      </w:pPr>
      <w:r>
        <w:t>A visualization plan covering distributions, relationships, comparisons and multivariate patterns.</w:t>
      </w:r>
    </w:p>
    <w:p>
      <w:pPr>
        <w:pStyle w:val="ListBullet"/>
        <w:spacing w:after="100" w:line="252" w:lineRule="auto"/>
      </w:pPr>
      <w:r>
        <w:t>A documented process for missing data, duplicates, invalid values and outliers.</w:t>
      </w:r>
    </w:p>
    <w:p>
      <w:pPr>
        <w:pStyle w:val="ListBullet"/>
        <w:spacing w:after="100" w:line="252" w:lineRule="auto"/>
      </w:pPr>
      <w:r>
        <w:t>A professional reporting structure for communicating analytical findings.</w:t>
      </w:r>
    </w:p>
    <w:p>
      <w:pPr>
        <w:pStyle w:val="ListBullet"/>
        <w:spacing w:after="100" w:line="252" w:lineRule="auto"/>
      </w:pPr>
      <w:r>
        <w:t>A reproducible Python/Jupyter workflow that can be applied when an actual dataset becomes available.</w:t>
      </w:r>
    </w:p>
    <w:p>
      <w:pPr>
        <w:pStyle w:val="Heading1"/>
        <w:keepNext/>
        <w:spacing w:after="100" w:line="252" w:lineRule="auto"/>
      </w:pPr>
      <w:r>
        <w:t>18. Conclusion</w:t>
      </w:r>
    </w:p>
    <w:p>
      <w:pPr>
        <w:spacing w:after="100" w:line="252" w:lineRule="auto"/>
      </w:pPr>
      <w:r>
        <w:t>This Week 2 framework establishes a systematic approach to Exploratory Data Analysis and visualization for the proposed Student Academic Performance project. It covers dataset profiling, data types, data-quality assessment, univariate, bivariate and multivariate analysis, missing-data and outlier strategies, visualization selection, Python libraries, reporting standards, and a 34-hour work plan. Because no dataset is provided for this task, the document intentionally focuses on methodology rather than claiming findings. The framework is designed to transition directly into practical Python analysis when data becomes available.</w:t>
      </w:r>
    </w:p>
    <w:p>
      <w:pPr>
        <w:pStyle w:val="Heading1"/>
        <w:keepNext/>
        <w:spacing w:after="100" w:line="252" w:lineRule="auto"/>
      </w:pPr>
      <w:r>
        <w:t>Appendix A — Suggested Project Structure</w:t>
      </w:r>
    </w:p>
    <w:p>
      <w:pPr>
        <w:spacing w:after="100" w:line="252" w:lineRule="auto"/>
      </w:pPr>
      <w:r>
        <w:rPr>
          <w:rFonts w:ascii="Consolas" w:hAnsi="Consolas"/>
          <w:sz w:val="18"/>
        </w:rPr>
        <w:t>student-academic-performance-data-science/</w:t>
        <w:br/>
        <w:t>│</w:t>
        <w:br/>
        <w:t>├── data/</w:t>
        <w:br/>
        <w:t>│   ├── raw/</w:t>
        <w:br/>
        <w:t>│   └── processed/</w:t>
        <w:br/>
        <w:t>├── notebooks/</w:t>
        <w:br/>
        <w:t>│   ├── 01_data_understanding.ipynb</w:t>
        <w:br/>
        <w:t>│   └── 02_eda_visualization.ipynb</w:t>
        <w:br/>
        <w:t>├── src/</w:t>
        <w:br/>
        <w:t>│   ├── data_cleaning.py</w:t>
        <w:br/>
        <w:t>│   └── visualization.py</w:t>
        <w:br/>
        <w:t>├── reports/</w:t>
        <w:br/>
        <w:t>│   ├── figures/</w:t>
        <w:br/>
        <w:t>│   └── Week-2_EDA_Framework.docx</w:t>
        <w:br/>
        <w:t>├── Week-1/</w:t>
        <w:br/>
        <w:t>└── README.md</w:t>
      </w:r>
    </w:p>
    <w:p>
      <w:pPr>
        <w:pStyle w:val="Heading1"/>
        <w:keepNext/>
        <w:spacing w:after="100" w:line="252" w:lineRule="auto"/>
      </w:pPr>
      <w:r>
        <w:t>Appendix B — Planned Example Code Pattern</w:t>
      </w:r>
    </w:p>
    <w:p>
      <w:pPr>
        <w:spacing w:after="100" w:line="252" w:lineRule="auto"/>
      </w:pPr>
      <w:r>
        <w:rPr>
          <w:rFonts w:ascii="Consolas" w:hAnsi="Consolas"/>
          <w:sz w:val="17"/>
        </w:rPr>
        <w:t># Load and inspect</w:t>
        <w:br/>
        <w:t>import pandas as pd</w:t>
        <w:br/>
        <w:t>import matplotlib.pyplot as plt</w:t>
        <w:br/>
        <w:t>import seaborn as sns</w:t>
        <w:br/>
        <w:br/>
        <w:t>df = pd.read_csv("data/raw/student_performance.csv")</w:t>
        <w:br/>
        <w:t>print(df.shape)</w:t>
        <w:br/>
        <w:t>print(df.info())</w:t>
        <w:br/>
        <w:t>print(df.isna().sum())</w:t>
        <w:br/>
        <w:br/>
        <w:t># Example univariate visualization</w:t>
        <w:br/>
        <w:t>sns.histplot(data=df, x="Final_Score", kde=True)</w:t>
        <w:br/>
        <w:t>plt.title("Distribution of Final Scores")</w:t>
        <w:br/>
        <w:t>plt.xlabel("Final Score")</w:t>
        <w:br/>
        <w:t>plt.ylabel("Count")</w:t>
        <w:br/>
        <w:t>plt.show()</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Sayed Ajmal Rizavi  •  Virtual Data Science Explorer Intern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YUVAINTERN  |  WEEK 2 EDA &amp; VISUALIZATION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