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Project Aurora</w:t>
        <w:br/>
        <w:t>Database Design Blueprint</w:t>
      </w:r>
    </w:p>
    <w:p>
      <w:pPr>
        <w:jc w:val="center"/>
      </w:pPr>
      <w:r>
        <w:rPr>
          <w:sz w:val="24"/>
        </w:rPr>
        <w:t>MVP Data Model, Relationships, Governance and Implementation Standards</w:t>
        <w:br/>
        <w:t>Version 0.1 | Founder / Engineering Draft</w:t>
      </w:r>
    </w:p>
    <w:p>
      <w:r>
        <w:br/>
        <w:t>Prepared for: Aurora Financial OS founding team</w:t>
      </w:r>
    </w:p>
    <w:p>
      <w:r>
        <w:t>Purpose: Define the data foundation for the MVP backend, API specification, security model and engineering implementation.</w:t>
      </w:r>
    </w:p>
    <w:tbl>
      <w:tblPr>
        <w:tblStyle w:val="TableGrid"/>
        <w:tblW w:type="auto" w:w="0"/>
        <w:jc w:val="center"/>
        <w:tblLook w:firstColumn="1" w:firstRow="1" w:lastColumn="0" w:lastRow="0" w:noHBand="0" w:noVBand="1" w:val="04A0"/>
      </w:tblPr>
      <w:tblGrid>
        <w:gridCol w:w="5184"/>
        <w:gridCol w:w="5184"/>
      </w:tblGrid>
      <w:tr>
        <w:tc>
          <w:tcPr>
            <w:tcW w:type="dxa" w:w="2880"/>
            <w:shd w:fill="D9EAF7"/>
            <w:vAlign w:val="center"/>
          </w:tcPr>
          <w:p>
            <w:r/>
            <w:r>
              <w:rPr>
                <w:b/>
                <w:sz w:val="18"/>
              </w:rPr>
              <w:t>Decision Area</w:t>
            </w:r>
          </w:p>
        </w:tc>
        <w:tc>
          <w:tcPr>
            <w:tcW w:type="dxa" w:w="6480"/>
            <w:shd w:fill="D9EAF7"/>
            <w:vAlign w:val="center"/>
          </w:tcPr>
          <w:p>
            <w:r/>
            <w:r>
              <w:rPr>
                <w:b/>
                <w:sz w:val="18"/>
              </w:rPr>
              <w:t>Recommendation</w:t>
            </w:r>
          </w:p>
        </w:tc>
      </w:tr>
      <w:tr>
        <w:tc>
          <w:tcPr>
            <w:tcW w:type="dxa" w:w="2880"/>
            <w:vAlign w:val="top"/>
          </w:tcPr>
          <w:p>
            <w:r/>
            <w:r>
              <w:rPr>
                <w:b w:val="0"/>
                <w:sz w:val="18"/>
              </w:rPr>
              <w:t>Database platform</w:t>
            </w:r>
          </w:p>
        </w:tc>
        <w:tc>
          <w:tcPr>
            <w:tcW w:type="dxa" w:w="6480"/>
            <w:vAlign w:val="top"/>
          </w:tcPr>
          <w:p>
            <w:r/>
            <w:r>
              <w:rPr>
                <w:b w:val="0"/>
                <w:sz w:val="18"/>
              </w:rPr>
              <w:t>PostgreSQL on managed cloud database for ACID consistency, constraints and operational maturity.</w:t>
            </w:r>
          </w:p>
        </w:tc>
      </w:tr>
      <w:tr>
        <w:tc>
          <w:tcPr>
            <w:tcW w:type="dxa" w:w="2880"/>
            <w:vAlign w:val="top"/>
          </w:tcPr>
          <w:p>
            <w:r/>
            <w:r>
              <w:rPr>
                <w:b w:val="0"/>
                <w:sz w:val="18"/>
              </w:rPr>
              <w:t>Identifier strategy</w:t>
            </w:r>
          </w:p>
        </w:tc>
        <w:tc>
          <w:tcPr>
            <w:tcW w:type="dxa" w:w="6480"/>
            <w:vAlign w:val="top"/>
          </w:tcPr>
          <w:p>
            <w:r/>
            <w:r>
              <w:rPr>
                <w:b w:val="0"/>
                <w:sz w:val="18"/>
              </w:rPr>
              <w:t>UUID primary keys for public entity references; no sequential IDs exposed through APIs.</w:t>
            </w:r>
          </w:p>
        </w:tc>
      </w:tr>
      <w:tr>
        <w:tc>
          <w:tcPr>
            <w:tcW w:type="dxa" w:w="2880"/>
            <w:vAlign w:val="top"/>
          </w:tcPr>
          <w:p>
            <w:r/>
            <w:r>
              <w:rPr>
                <w:b w:val="0"/>
                <w:sz w:val="18"/>
              </w:rPr>
              <w:t>Financial tables</w:t>
            </w:r>
          </w:p>
        </w:tc>
        <w:tc>
          <w:tcPr>
            <w:tcW w:type="dxa" w:w="6480"/>
            <w:vAlign w:val="top"/>
          </w:tcPr>
          <w:p>
            <w:r/>
            <w:r>
              <w:rPr>
                <w:b w:val="0"/>
                <w:sz w:val="18"/>
              </w:rPr>
              <w:t>Immutable transaction status history, provider event log and internal ledger mirror.</w:t>
            </w:r>
          </w:p>
        </w:tc>
      </w:tr>
      <w:tr>
        <w:tc>
          <w:tcPr>
            <w:tcW w:type="dxa" w:w="2880"/>
            <w:vAlign w:val="top"/>
          </w:tcPr>
          <w:p>
            <w:r/>
            <w:r>
              <w:rPr>
                <w:b w:val="0"/>
                <w:sz w:val="18"/>
              </w:rPr>
              <w:t>MVP funds model</w:t>
            </w:r>
          </w:p>
        </w:tc>
        <w:tc>
          <w:tcPr>
            <w:tcW w:type="dxa" w:w="6480"/>
            <w:vAlign w:val="top"/>
          </w:tcPr>
          <w:p>
            <w:r/>
            <w:r>
              <w:rPr>
                <w:b w:val="0"/>
                <w:sz w:val="18"/>
              </w:rPr>
              <w:t>Aurora should orchestrate payments through licensed providers and avoid holding customer funds in MVP.</w:t>
            </w:r>
          </w:p>
        </w:tc>
      </w:tr>
      <w:tr>
        <w:tc>
          <w:tcPr>
            <w:tcW w:type="dxa" w:w="2880"/>
            <w:vAlign w:val="top"/>
          </w:tcPr>
          <w:p>
            <w:r/>
            <w:r>
              <w:rPr>
                <w:b w:val="0"/>
                <w:sz w:val="18"/>
              </w:rPr>
              <w:t>Data governance</w:t>
            </w:r>
          </w:p>
        </w:tc>
        <w:tc>
          <w:tcPr>
            <w:tcW w:type="dxa" w:w="6480"/>
            <w:vAlign w:val="top"/>
          </w:tcPr>
          <w:p>
            <w:r/>
            <w:r>
              <w:rPr>
                <w:b w:val="0"/>
                <w:sz w:val="18"/>
              </w:rPr>
              <w:t>Privacy-by-design, purpose limitation, encryption for sensitive fields, and auditability from day one.</w:t>
            </w:r>
          </w:p>
        </w:tc>
      </w:tr>
    </w:tbl>
    <w:p>
      <w:r>
        <w:br w:type="page"/>
      </w:r>
    </w:p>
    <w:p>
      <w:pPr>
        <w:pStyle w:val="Heading1"/>
      </w:pPr>
      <w:r>
        <w:t>Table of Contents</w:t>
      </w:r>
    </w:p>
    <w:p>
      <w:pPr>
        <w:pStyle w:val="ListNumber"/>
      </w:pPr>
      <w:r>
        <w:t>1. Executive Summary</w:t>
      </w:r>
    </w:p>
    <w:p>
      <w:pPr>
        <w:pStyle w:val="ListNumber"/>
      </w:pPr>
      <w:r>
        <w:t>2. Design Principles</w:t>
      </w:r>
    </w:p>
    <w:p>
      <w:pPr>
        <w:pStyle w:val="ListNumber"/>
      </w:pPr>
      <w:r>
        <w:t>3. Domain Ownership Model</w:t>
      </w:r>
    </w:p>
    <w:p>
      <w:pPr>
        <w:pStyle w:val="ListNumber"/>
      </w:pPr>
      <w:r>
        <w:t>4. Conceptual ERD</w:t>
      </w:r>
    </w:p>
    <w:p>
      <w:pPr>
        <w:pStyle w:val="ListNumber"/>
      </w:pPr>
      <w:r>
        <w:t>5. MVP Data Dictionary</w:t>
      </w:r>
    </w:p>
    <w:p>
      <w:pPr>
        <w:pStyle w:val="ListNumber"/>
      </w:pPr>
      <w:r>
        <w:t>6. Payment and Ledger Model</w:t>
      </w:r>
    </w:p>
    <w:p>
      <w:pPr>
        <w:pStyle w:val="ListNumber"/>
      </w:pPr>
      <w:r>
        <w:t>7. Key Table Definitions</w:t>
      </w:r>
    </w:p>
    <w:p>
      <w:pPr>
        <w:pStyle w:val="ListNumber"/>
      </w:pPr>
      <w:r>
        <w:t>8. Indexing Strategy</w:t>
      </w:r>
    </w:p>
    <w:p>
      <w:pPr>
        <w:pStyle w:val="ListNumber"/>
      </w:pPr>
      <w:r>
        <w:t>9. Audit, Events and Versioning</w:t>
      </w:r>
    </w:p>
    <w:p>
      <w:pPr>
        <w:pStyle w:val="ListNumber"/>
      </w:pPr>
      <w:r>
        <w:t>10. Privacy, Retention and Compliance Notes</w:t>
      </w:r>
    </w:p>
    <w:p>
      <w:pPr>
        <w:pStyle w:val="ListNumber"/>
      </w:pPr>
      <w:r>
        <w:t>11. Migration and Environment Strategy</w:t>
      </w:r>
    </w:p>
    <w:p>
      <w:pPr>
        <w:pStyle w:val="ListNumber"/>
      </w:pPr>
      <w:r>
        <w:t>12. Open Decisions</w:t>
      </w:r>
    </w:p>
    <w:p>
      <w:pPr>
        <w:pStyle w:val="ListNumber"/>
      </w:pPr>
      <w:r>
        <w:t>13. References</w:t>
      </w:r>
    </w:p>
    <w:p>
      <w:r>
        <w:br w:type="page"/>
      </w:r>
    </w:p>
    <w:p>
      <w:pPr>
        <w:pStyle w:val="Heading1"/>
      </w:pPr>
      <w:r>
        <w:t>1. Executive Summary</w:t>
      </w:r>
    </w:p>
    <w:p>
      <w:r>
        <w:t>This blueprint defines the initial Aurora database design for an Australian AI-powered financial operating system. The model supports identity, profiles, linked accounts, payments, payment requests, groups, shared expenses, merchants, QR payments, receipts, AI insights, audit trails and operational controls.</w:t>
      </w:r>
    </w:p>
    <w:p>
      <w:r>
        <w:t>The MVP data model is designed for a partner-led payments approach. Aurora coordinates user experience, requests, groups, receipts and status updates while payment initiation, settlement and regulated money movement are handled by licensed providers. This reduces early regulatory and operational burden while preserving a path to deeper payment capabilities later.</w:t>
      </w:r>
    </w:p>
    <w:p>
      <w:r>
        <w:t>The model deliberately separates product concepts from regulated payment execution. For example, an expense is not a payment; it is a collaboration object that may later be settled through one or more transactions. A transaction is not the ledger; it is the canonical payment state machine whose lifecycle is mirrored into provider events, status history, audit logs and internal ledger entries.</w:t>
      </w:r>
    </w:p>
    <w:p>
      <w:pPr>
        <w:pStyle w:val="Heading1"/>
      </w:pPr>
      <w:r>
        <w:t>2. Design Principles</w:t>
      </w:r>
    </w:p>
    <w:tbl>
      <w:tblPr>
        <w:tblStyle w:val="TableGrid"/>
        <w:tblW w:type="auto" w:w="0"/>
        <w:jc w:val="center"/>
        <w:tblLook w:firstColumn="1" w:firstRow="1" w:lastColumn="0" w:lastRow="0" w:noHBand="0" w:noVBand="1" w:val="04A0"/>
      </w:tblPr>
      <w:tblGrid>
        <w:gridCol w:w="5184"/>
        <w:gridCol w:w="5184"/>
      </w:tblGrid>
      <w:tr>
        <w:tc>
          <w:tcPr>
            <w:tcW w:type="dxa" w:w="3168"/>
            <w:shd w:fill="D9EAF7"/>
            <w:vAlign w:val="center"/>
          </w:tcPr>
          <w:p>
            <w:r/>
            <w:r>
              <w:rPr>
                <w:b/>
                <w:sz w:val="18"/>
              </w:rPr>
              <w:t>Principle</w:t>
            </w:r>
          </w:p>
        </w:tc>
        <w:tc>
          <w:tcPr>
            <w:tcW w:type="dxa" w:w="6336"/>
            <w:shd w:fill="D9EAF7"/>
            <w:vAlign w:val="center"/>
          </w:tcPr>
          <w:p>
            <w:r/>
            <w:r>
              <w:rPr>
                <w:b/>
                <w:sz w:val="18"/>
              </w:rPr>
              <w:t>Design Implication</w:t>
            </w:r>
          </w:p>
        </w:tc>
      </w:tr>
      <w:tr>
        <w:tc>
          <w:tcPr>
            <w:tcW w:type="dxa" w:w="3168"/>
            <w:vAlign w:val="top"/>
          </w:tcPr>
          <w:p>
            <w:r/>
            <w:r>
              <w:rPr>
                <w:b w:val="0"/>
                <w:sz w:val="18"/>
              </w:rPr>
              <w:t>Money data must be correct before it is clever</w:t>
            </w:r>
          </w:p>
        </w:tc>
        <w:tc>
          <w:tcPr>
            <w:tcW w:type="dxa" w:w="6336"/>
            <w:vAlign w:val="top"/>
          </w:tcPr>
          <w:p>
            <w:r/>
            <w:r>
              <w:rPr>
                <w:b w:val="0"/>
                <w:sz w:val="18"/>
              </w:rPr>
              <w:t>Use ACID transactions, constraints and idempotency for payment-related workflows. AI should interpret data but not become the source of financial truth.</w:t>
            </w:r>
          </w:p>
        </w:tc>
      </w:tr>
      <w:tr>
        <w:tc>
          <w:tcPr>
            <w:tcW w:type="dxa" w:w="3168"/>
            <w:vAlign w:val="top"/>
          </w:tcPr>
          <w:p>
            <w:r/>
            <w:r>
              <w:rPr>
                <w:b w:val="0"/>
                <w:sz w:val="18"/>
              </w:rPr>
              <w:t>Minimise sensitive data</w:t>
            </w:r>
          </w:p>
        </w:tc>
        <w:tc>
          <w:tcPr>
            <w:tcW w:type="dxa" w:w="6336"/>
            <w:vAlign w:val="top"/>
          </w:tcPr>
          <w:p>
            <w:r/>
            <w:r>
              <w:rPr>
                <w:b w:val="0"/>
                <w:sz w:val="18"/>
              </w:rPr>
              <w:t>Store references, hashes, masks and encrypted fields. Avoid storing raw identity documents, account credentials or unnecessary banking data.</w:t>
            </w:r>
          </w:p>
        </w:tc>
      </w:tr>
      <w:tr>
        <w:tc>
          <w:tcPr>
            <w:tcW w:type="dxa" w:w="3168"/>
            <w:vAlign w:val="top"/>
          </w:tcPr>
          <w:p>
            <w:r/>
            <w:r>
              <w:rPr>
                <w:b w:val="0"/>
                <w:sz w:val="18"/>
              </w:rPr>
              <w:t>Separate collaboration from settlement</w:t>
            </w:r>
          </w:p>
        </w:tc>
        <w:tc>
          <w:tcPr>
            <w:tcW w:type="dxa" w:w="6336"/>
            <w:vAlign w:val="top"/>
          </w:tcPr>
          <w:p>
            <w:r/>
            <w:r>
              <w:rPr>
                <w:b w:val="0"/>
                <w:sz w:val="18"/>
              </w:rPr>
              <w:t>Groups, expenses and splits belong to the collaboration domain. Payment transactions settle obligations but should not own the group model.</w:t>
            </w:r>
          </w:p>
        </w:tc>
      </w:tr>
      <w:tr>
        <w:tc>
          <w:tcPr>
            <w:tcW w:type="dxa" w:w="3168"/>
            <w:vAlign w:val="top"/>
          </w:tcPr>
          <w:p>
            <w:r/>
            <w:r>
              <w:rPr>
                <w:b w:val="0"/>
                <w:sz w:val="18"/>
              </w:rPr>
              <w:t>Append-only where evidence matters</w:t>
            </w:r>
          </w:p>
        </w:tc>
        <w:tc>
          <w:tcPr>
            <w:tcW w:type="dxa" w:w="6336"/>
            <w:vAlign w:val="top"/>
          </w:tcPr>
          <w:p>
            <w:r/>
            <w:r>
              <w:rPr>
                <w:b w:val="0"/>
                <w:sz w:val="18"/>
              </w:rPr>
              <w:t>Audit logs, provider events, status histories and ledger entries should be append-only except for controlled operational corrections.</w:t>
            </w:r>
          </w:p>
        </w:tc>
      </w:tr>
      <w:tr>
        <w:tc>
          <w:tcPr>
            <w:tcW w:type="dxa" w:w="3168"/>
            <w:vAlign w:val="top"/>
          </w:tcPr>
          <w:p>
            <w:r/>
            <w:r>
              <w:rPr>
                <w:b w:val="0"/>
                <w:sz w:val="18"/>
              </w:rPr>
              <w:t>Provider portability</w:t>
            </w:r>
          </w:p>
        </w:tc>
        <w:tc>
          <w:tcPr>
            <w:tcW w:type="dxa" w:w="6336"/>
            <w:vAlign w:val="top"/>
          </w:tcPr>
          <w:p>
            <w:r/>
            <w:r>
              <w:rPr>
                <w:b w:val="0"/>
                <w:sz w:val="18"/>
              </w:rPr>
              <w:t>Use provider reference columns and normalized provider events so Aurora can change or add partners without rewriting product tables.</w:t>
            </w:r>
          </w:p>
        </w:tc>
      </w:tr>
      <w:tr>
        <w:tc>
          <w:tcPr>
            <w:tcW w:type="dxa" w:w="3168"/>
            <w:vAlign w:val="top"/>
          </w:tcPr>
          <w:p>
            <w:r/>
            <w:r>
              <w:rPr>
                <w:b w:val="0"/>
                <w:sz w:val="18"/>
              </w:rPr>
              <w:t>Privacy by design</w:t>
            </w:r>
          </w:p>
        </w:tc>
        <w:tc>
          <w:tcPr>
            <w:tcW w:type="dxa" w:w="6336"/>
            <w:vAlign w:val="top"/>
          </w:tcPr>
          <w:p>
            <w:r/>
            <w:r>
              <w:rPr>
                <w:b w:val="0"/>
                <w:sz w:val="18"/>
              </w:rPr>
              <w:t>Every table should have a clear purpose, retention posture and access pattern. CDR-derived data should be scoped to consent and minimised.</w:t>
            </w:r>
          </w:p>
        </w:tc>
      </w:tr>
    </w:tbl>
    <w:p>
      <w:pPr>
        <w:pStyle w:val="Heading1"/>
      </w:pPr>
      <w:r>
        <w:t>3. Domain Ownership Model</w:t>
      </w:r>
    </w:p>
    <w:p>
      <w:r>
        <w:t>The data model is grouped by bounded context. Each domain owns its tables and exposes data to other domains through APIs, events or read models rather than direct cross-domain mutation.</w:t>
      </w:r>
    </w:p>
    <w:p>
      <w:pPr>
        <w:jc w:val="center"/>
      </w:pPr>
      <w:r>
        <w:drawing>
          <wp:inline xmlns:a="http://schemas.openxmlformats.org/drawingml/2006/main" xmlns:pic="http://schemas.openxmlformats.org/drawingml/2006/picture">
            <wp:extent cx="5303520" cy="2363855"/>
            <wp:docPr id="1" name="Picture 1"/>
            <wp:cNvGraphicFramePr>
              <a:graphicFrameLocks noChangeAspect="1"/>
            </wp:cNvGraphicFramePr>
            <a:graphic>
              <a:graphicData uri="http://schemas.openxmlformats.org/drawingml/2006/picture">
                <pic:pic>
                  <pic:nvPicPr>
                    <pic:cNvPr id="0" name="domain_model.png"/>
                    <pic:cNvPicPr/>
                  </pic:nvPicPr>
                  <pic:blipFill>
                    <a:blip r:embed="rId9"/>
                    <a:stretch>
                      <a:fillRect/>
                    </a:stretch>
                  </pic:blipFill>
                  <pic:spPr>
                    <a:xfrm>
                      <a:off x="0" y="0"/>
                      <a:ext cx="5303520" cy="2363855"/>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D9EAF7"/>
            <w:vAlign w:val="center"/>
          </w:tcPr>
          <w:p>
            <w:r/>
            <w:r>
              <w:rPr>
                <w:b/>
                <w:sz w:val="18"/>
              </w:rPr>
              <w:t>Domain</w:t>
            </w:r>
          </w:p>
        </w:tc>
        <w:tc>
          <w:tcPr>
            <w:tcW w:type="dxa" w:w="3888"/>
            <w:shd w:fill="D9EAF7"/>
            <w:vAlign w:val="center"/>
          </w:tcPr>
          <w:p>
            <w:r/>
            <w:r>
              <w:rPr>
                <w:b/>
                <w:sz w:val="18"/>
              </w:rPr>
              <w:t>Owns</w:t>
            </w:r>
          </w:p>
        </w:tc>
        <w:tc>
          <w:tcPr>
            <w:tcW w:type="dxa" w:w="3600"/>
            <w:shd w:fill="D9EAF7"/>
            <w:vAlign w:val="center"/>
          </w:tcPr>
          <w:p>
            <w:r/>
            <w:r>
              <w:rPr>
                <w:b/>
                <w:sz w:val="18"/>
              </w:rPr>
              <w:t>Must Not Own</w:t>
            </w:r>
          </w:p>
        </w:tc>
      </w:tr>
      <w:tr>
        <w:tc>
          <w:tcPr>
            <w:tcW w:type="dxa" w:w="2160"/>
            <w:vAlign w:val="top"/>
          </w:tcPr>
          <w:p>
            <w:r/>
            <w:r>
              <w:rPr>
                <w:b w:val="0"/>
                <w:sz w:val="18"/>
              </w:rPr>
              <w:t>Identity</w:t>
            </w:r>
          </w:p>
        </w:tc>
        <w:tc>
          <w:tcPr>
            <w:tcW w:type="dxa" w:w="3888"/>
            <w:vAlign w:val="top"/>
          </w:tcPr>
          <w:p>
            <w:r/>
            <w:r>
              <w:rPr>
                <w:b w:val="0"/>
                <w:sz w:val="18"/>
              </w:rPr>
              <w:t>Users, sessions, MFA, devices, roles, KYC workflow state</w:t>
            </w:r>
          </w:p>
        </w:tc>
        <w:tc>
          <w:tcPr>
            <w:tcW w:type="dxa" w:w="3600"/>
            <w:vAlign w:val="top"/>
          </w:tcPr>
          <w:p>
            <w:r/>
            <w:r>
              <w:rPr>
                <w:b w:val="0"/>
                <w:sz w:val="18"/>
              </w:rPr>
              <w:t>Customer spending insights, group balances or merchant settlement logic</w:t>
            </w:r>
          </w:p>
        </w:tc>
      </w:tr>
      <w:tr>
        <w:tc>
          <w:tcPr>
            <w:tcW w:type="dxa" w:w="2160"/>
            <w:vAlign w:val="top"/>
          </w:tcPr>
          <w:p>
            <w:r/>
            <w:r>
              <w:rPr>
                <w:b w:val="0"/>
                <w:sz w:val="18"/>
              </w:rPr>
              <w:t>Customer</w:t>
            </w:r>
          </w:p>
        </w:tc>
        <w:tc>
          <w:tcPr>
            <w:tcW w:type="dxa" w:w="3888"/>
            <w:vAlign w:val="top"/>
          </w:tcPr>
          <w:p>
            <w:r/>
            <w:r>
              <w:rPr>
                <w:b w:val="0"/>
                <w:sz w:val="18"/>
              </w:rPr>
              <w:t>Profiles, contacts, preferences, consent records</w:t>
            </w:r>
          </w:p>
        </w:tc>
        <w:tc>
          <w:tcPr>
            <w:tcW w:type="dxa" w:w="3600"/>
            <w:vAlign w:val="top"/>
          </w:tcPr>
          <w:p>
            <w:r/>
            <w:r>
              <w:rPr>
                <w:b w:val="0"/>
                <w:sz w:val="18"/>
              </w:rPr>
              <w:t>Authentication credentials or payment execution state</w:t>
            </w:r>
          </w:p>
        </w:tc>
      </w:tr>
      <w:tr>
        <w:tc>
          <w:tcPr>
            <w:tcW w:type="dxa" w:w="2160"/>
            <w:vAlign w:val="top"/>
          </w:tcPr>
          <w:p>
            <w:r/>
            <w:r>
              <w:rPr>
                <w:b w:val="0"/>
                <w:sz w:val="18"/>
              </w:rPr>
              <w:t>Wallet &amp; Banking</w:t>
            </w:r>
          </w:p>
        </w:tc>
        <w:tc>
          <w:tcPr>
            <w:tcW w:type="dxa" w:w="3888"/>
            <w:vAlign w:val="top"/>
          </w:tcPr>
          <w:p>
            <w:r/>
            <w:r>
              <w:rPr>
                <w:b w:val="0"/>
                <w:sz w:val="18"/>
              </w:rPr>
              <w:t>Linked accounts, payment methods, wallet metadata, CDR connection metadata</w:t>
            </w:r>
          </w:p>
        </w:tc>
        <w:tc>
          <w:tcPr>
            <w:tcW w:type="dxa" w:w="3600"/>
            <w:vAlign w:val="top"/>
          </w:tcPr>
          <w:p>
            <w:r/>
            <w:r>
              <w:rPr>
                <w:b w:val="0"/>
                <w:sz w:val="18"/>
              </w:rPr>
              <w:t>Provider settlement truth or expense splitting rules</w:t>
            </w:r>
          </w:p>
        </w:tc>
      </w:tr>
      <w:tr>
        <w:tc>
          <w:tcPr>
            <w:tcW w:type="dxa" w:w="2160"/>
            <w:vAlign w:val="top"/>
          </w:tcPr>
          <w:p>
            <w:r/>
            <w:r>
              <w:rPr>
                <w:b w:val="0"/>
                <w:sz w:val="18"/>
              </w:rPr>
              <w:t>Payments</w:t>
            </w:r>
          </w:p>
        </w:tc>
        <w:tc>
          <w:tcPr>
            <w:tcW w:type="dxa" w:w="3888"/>
            <w:vAlign w:val="top"/>
          </w:tcPr>
          <w:p>
            <w:r/>
            <w:r>
              <w:rPr>
                <w:b w:val="0"/>
                <w:sz w:val="18"/>
              </w:rPr>
              <w:t>Transactions, requests, provider events, refunds, disputes, ledger mirror</w:t>
            </w:r>
          </w:p>
        </w:tc>
        <w:tc>
          <w:tcPr>
            <w:tcW w:type="dxa" w:w="3600"/>
            <w:vAlign w:val="top"/>
          </w:tcPr>
          <w:p>
            <w:r/>
            <w:r>
              <w:rPr>
                <w:b w:val="0"/>
                <w:sz w:val="18"/>
              </w:rPr>
              <w:t>Group membership and expense definitions</w:t>
            </w:r>
          </w:p>
        </w:tc>
      </w:tr>
      <w:tr>
        <w:tc>
          <w:tcPr>
            <w:tcW w:type="dxa" w:w="2160"/>
            <w:vAlign w:val="top"/>
          </w:tcPr>
          <w:p>
            <w:r/>
            <w:r>
              <w:rPr>
                <w:b w:val="0"/>
                <w:sz w:val="18"/>
              </w:rPr>
              <w:t>Groups &amp; Expenses</w:t>
            </w:r>
          </w:p>
        </w:tc>
        <w:tc>
          <w:tcPr>
            <w:tcW w:type="dxa" w:w="3888"/>
            <w:vAlign w:val="top"/>
          </w:tcPr>
          <w:p>
            <w:r/>
            <w:r>
              <w:rPr>
                <w:b w:val="0"/>
                <w:sz w:val="18"/>
              </w:rPr>
              <w:t>Groups, members, invitations, expenses, splits, settlements and receipts</w:t>
            </w:r>
          </w:p>
        </w:tc>
        <w:tc>
          <w:tcPr>
            <w:tcW w:type="dxa" w:w="3600"/>
            <w:vAlign w:val="top"/>
          </w:tcPr>
          <w:p>
            <w:r/>
            <w:r>
              <w:rPr>
                <w:b w:val="0"/>
                <w:sz w:val="18"/>
              </w:rPr>
              <w:t>Provider callbacks or merchant legal onboarding</w:t>
            </w:r>
          </w:p>
        </w:tc>
      </w:tr>
      <w:tr>
        <w:tc>
          <w:tcPr>
            <w:tcW w:type="dxa" w:w="2160"/>
            <w:vAlign w:val="top"/>
          </w:tcPr>
          <w:p>
            <w:r/>
            <w:r>
              <w:rPr>
                <w:b w:val="0"/>
                <w:sz w:val="18"/>
              </w:rPr>
              <w:t>Merchant</w:t>
            </w:r>
          </w:p>
        </w:tc>
        <w:tc>
          <w:tcPr>
            <w:tcW w:type="dxa" w:w="3888"/>
            <w:vAlign w:val="top"/>
          </w:tcPr>
          <w:p>
            <w:r/>
            <w:r>
              <w:rPr>
                <w:b w:val="0"/>
                <w:sz w:val="18"/>
              </w:rPr>
              <w:t>Merchant entities, stores, QR codes, invoices and settlement reports</w:t>
            </w:r>
          </w:p>
        </w:tc>
        <w:tc>
          <w:tcPr>
            <w:tcW w:type="dxa" w:w="3600"/>
            <w:vAlign w:val="top"/>
          </w:tcPr>
          <w:p>
            <w:r/>
            <w:r>
              <w:rPr>
                <w:b w:val="0"/>
                <w:sz w:val="18"/>
              </w:rPr>
              <w:t>Consumer identity proofing beyond required merchant relationships</w:t>
            </w:r>
          </w:p>
        </w:tc>
      </w:tr>
      <w:tr>
        <w:tc>
          <w:tcPr>
            <w:tcW w:type="dxa" w:w="2160"/>
            <w:vAlign w:val="top"/>
          </w:tcPr>
          <w:p>
            <w:r/>
            <w:r>
              <w:rPr>
                <w:b w:val="0"/>
                <w:sz w:val="18"/>
              </w:rPr>
              <w:t>AI &amp; Analytics</w:t>
            </w:r>
          </w:p>
        </w:tc>
        <w:tc>
          <w:tcPr>
            <w:tcW w:type="dxa" w:w="3888"/>
            <w:vAlign w:val="top"/>
          </w:tcPr>
          <w:p>
            <w:r/>
            <w:r>
              <w:rPr>
                <w:b w:val="0"/>
                <w:sz w:val="18"/>
              </w:rPr>
              <w:t>Classifications, insights, budgets, predictions</w:t>
            </w:r>
          </w:p>
        </w:tc>
        <w:tc>
          <w:tcPr>
            <w:tcW w:type="dxa" w:w="3600"/>
            <w:vAlign w:val="top"/>
          </w:tcPr>
          <w:p>
            <w:r/>
            <w:r>
              <w:rPr>
                <w:b w:val="0"/>
                <w:sz w:val="18"/>
              </w:rPr>
              <w:t>Authoritative payment balances or compliance outcomes</w:t>
            </w:r>
          </w:p>
        </w:tc>
      </w:tr>
      <w:tr>
        <w:tc>
          <w:tcPr>
            <w:tcW w:type="dxa" w:w="2160"/>
            <w:vAlign w:val="top"/>
          </w:tcPr>
          <w:p>
            <w:r/>
            <w:r>
              <w:rPr>
                <w:b w:val="0"/>
                <w:sz w:val="18"/>
              </w:rPr>
              <w:t>Admin &amp; Risk</w:t>
            </w:r>
          </w:p>
        </w:tc>
        <w:tc>
          <w:tcPr>
            <w:tcW w:type="dxa" w:w="3888"/>
            <w:vAlign w:val="top"/>
          </w:tcPr>
          <w:p>
            <w:r/>
            <w:r>
              <w:rPr>
                <w:b w:val="0"/>
                <w:sz w:val="18"/>
              </w:rPr>
              <w:t>Audit, support, fraud alerts, feature flags</w:t>
            </w:r>
          </w:p>
        </w:tc>
        <w:tc>
          <w:tcPr>
            <w:tcW w:type="dxa" w:w="3600"/>
            <w:vAlign w:val="top"/>
          </w:tcPr>
          <w:p>
            <w:r/>
            <w:r>
              <w:rPr>
                <w:b w:val="0"/>
                <w:sz w:val="18"/>
              </w:rPr>
              <w:t>Core business ownership of customer or payment data</w:t>
            </w:r>
          </w:p>
        </w:tc>
      </w:tr>
    </w:tbl>
    <w:p>
      <w:pPr>
        <w:pStyle w:val="Heading1"/>
      </w:pPr>
      <w:r>
        <w:t>4. Conceptual Entity Relationship Diagram</w:t>
      </w:r>
    </w:p>
    <w:p>
      <w:r>
        <w:t>The following conceptual ERD shows the core MVP relationships. The detailed physical design will be refined during backend implementation, but this view is sufficient to align engineering, product and API design.</w:t>
      </w:r>
    </w:p>
    <w:p>
      <w:pPr>
        <w:jc w:val="center"/>
      </w:pPr>
      <w:r>
        <w:drawing>
          <wp:inline xmlns:a="http://schemas.openxmlformats.org/drawingml/2006/main" xmlns:pic="http://schemas.openxmlformats.org/drawingml/2006/picture">
            <wp:extent cx="6217920" cy="4083603"/>
            <wp:docPr id="2" name="Picture 2"/>
            <wp:cNvGraphicFramePr>
              <a:graphicFrameLocks noChangeAspect="1"/>
            </wp:cNvGraphicFramePr>
            <a:graphic>
              <a:graphicData uri="http://schemas.openxmlformats.org/drawingml/2006/picture">
                <pic:pic>
                  <pic:nvPicPr>
                    <pic:cNvPr id="0" name="core_erd.png"/>
                    <pic:cNvPicPr/>
                  </pic:nvPicPr>
                  <pic:blipFill>
                    <a:blip r:embed="rId10"/>
                    <a:stretch>
                      <a:fillRect/>
                    </a:stretch>
                  </pic:blipFill>
                  <pic:spPr>
                    <a:xfrm>
                      <a:off x="0" y="0"/>
                      <a:ext cx="6217920" cy="4083603"/>
                    </a:xfrm>
                    <a:prstGeom prst="rect"/>
                  </pic:spPr>
                </pic:pic>
              </a:graphicData>
            </a:graphic>
          </wp:inline>
        </w:drawing>
      </w:r>
    </w:p>
    <w:p>
      <w:pPr>
        <w:pStyle w:val="Heading1"/>
      </w:pPr>
      <w:r>
        <w:t>5. MVP Data Dictionary</w:t>
      </w:r>
    </w:p>
    <w:p>
      <w:r>
        <w:t>The MVP schema contains approximately 55 tables. Not every table must be fully implemented in Sprint 1, but the naming and ownership conventions should be established before code generation or migrations begin.</w:t>
      </w:r>
    </w:p>
    <w:p>
      <w:pPr>
        <w:pStyle w:val="Heading2"/>
      </w:pPr>
      <w:r>
        <w:t>Identity &amp; Access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AF7"/>
            <w:vAlign w:val="center"/>
          </w:tcPr>
          <w:p>
            <w:r/>
            <w:r>
              <w:rPr>
                <w:b/>
                <w:sz w:val="18"/>
              </w:rPr>
              <w:t>Table</w:t>
            </w:r>
          </w:p>
        </w:tc>
        <w:tc>
          <w:tcPr>
            <w:tcW w:type="dxa" w:w="3600"/>
            <w:shd w:fill="D9EAF7"/>
            <w:vAlign w:val="center"/>
          </w:tcPr>
          <w:p>
            <w:r/>
            <w:r>
              <w:rPr>
                <w:b/>
                <w:sz w:val="18"/>
              </w:rPr>
              <w:t>Purpose</w:t>
            </w:r>
          </w:p>
        </w:tc>
        <w:tc>
          <w:tcPr>
            <w:tcW w:type="dxa" w:w="3888"/>
            <w:shd w:fill="D9EAF7"/>
            <w:vAlign w:val="center"/>
          </w:tcPr>
          <w:p>
            <w:r/>
            <w:r>
              <w:rPr>
                <w:b/>
                <w:sz w:val="18"/>
              </w:rPr>
              <w:t>Key Columns</w:t>
            </w:r>
          </w:p>
        </w:tc>
      </w:tr>
      <w:tr>
        <w:tc>
          <w:tcPr>
            <w:tcW w:type="dxa" w:w="2016"/>
            <w:vAlign w:val="top"/>
          </w:tcPr>
          <w:p>
            <w:r/>
            <w:r>
              <w:rPr>
                <w:b w:val="0"/>
                <w:sz w:val="18"/>
              </w:rPr>
              <w:t>users</w:t>
            </w:r>
          </w:p>
        </w:tc>
        <w:tc>
          <w:tcPr>
            <w:tcW w:type="dxa" w:w="3600"/>
            <w:vAlign w:val="top"/>
          </w:tcPr>
          <w:p>
            <w:r/>
            <w:r>
              <w:rPr>
                <w:b w:val="0"/>
                <w:sz w:val="18"/>
              </w:rPr>
              <w:t>Primary account record. Stores minimal identity fields and status.</w:t>
            </w:r>
          </w:p>
        </w:tc>
        <w:tc>
          <w:tcPr>
            <w:tcW w:type="dxa" w:w="3888"/>
            <w:vAlign w:val="top"/>
          </w:tcPr>
          <w:p>
            <w:r/>
            <w:r>
              <w:rPr>
                <w:b w:val="0"/>
                <w:sz w:val="18"/>
              </w:rPr>
              <w:t>id, email, phone_e164, password_hash_ref, status, risk_level, created_at, updated_at, deleted_at</w:t>
            </w:r>
          </w:p>
        </w:tc>
      </w:tr>
      <w:tr>
        <w:tc>
          <w:tcPr>
            <w:tcW w:type="dxa" w:w="2016"/>
            <w:vAlign w:val="top"/>
          </w:tcPr>
          <w:p>
            <w:r/>
            <w:r>
              <w:rPr>
                <w:b w:val="0"/>
                <w:sz w:val="18"/>
              </w:rPr>
              <w:t>user_identities</w:t>
            </w:r>
          </w:p>
        </w:tc>
        <w:tc>
          <w:tcPr>
            <w:tcW w:type="dxa" w:w="3600"/>
            <w:vAlign w:val="top"/>
          </w:tcPr>
          <w:p>
            <w:r/>
            <w:r>
              <w:rPr>
                <w:b w:val="0"/>
                <w:sz w:val="18"/>
              </w:rPr>
              <w:t>External identity bindings: Apple, Google, passkeys, SSO later.</w:t>
            </w:r>
          </w:p>
        </w:tc>
        <w:tc>
          <w:tcPr>
            <w:tcW w:type="dxa" w:w="3888"/>
            <w:vAlign w:val="top"/>
          </w:tcPr>
          <w:p>
            <w:r/>
            <w:r>
              <w:rPr>
                <w:b w:val="0"/>
                <w:sz w:val="18"/>
              </w:rPr>
              <w:t>id, user_id, provider, provider_subject, verified_at, created_at</w:t>
            </w:r>
          </w:p>
        </w:tc>
      </w:tr>
      <w:tr>
        <w:tc>
          <w:tcPr>
            <w:tcW w:type="dxa" w:w="2016"/>
            <w:vAlign w:val="top"/>
          </w:tcPr>
          <w:p>
            <w:r/>
            <w:r>
              <w:rPr>
                <w:b w:val="0"/>
                <w:sz w:val="18"/>
              </w:rPr>
              <w:t>roles</w:t>
            </w:r>
          </w:p>
        </w:tc>
        <w:tc>
          <w:tcPr>
            <w:tcW w:type="dxa" w:w="3600"/>
            <w:vAlign w:val="top"/>
          </w:tcPr>
          <w:p>
            <w:r/>
            <w:r>
              <w:rPr>
                <w:b w:val="0"/>
                <w:sz w:val="18"/>
              </w:rPr>
              <w:t>Application roles for customers, merchants, admins.</w:t>
            </w:r>
          </w:p>
        </w:tc>
        <w:tc>
          <w:tcPr>
            <w:tcW w:type="dxa" w:w="3888"/>
            <w:vAlign w:val="top"/>
          </w:tcPr>
          <w:p>
            <w:r/>
            <w:r>
              <w:rPr>
                <w:b w:val="0"/>
                <w:sz w:val="18"/>
              </w:rPr>
              <w:t>id, code, name, description</w:t>
            </w:r>
          </w:p>
        </w:tc>
      </w:tr>
      <w:tr>
        <w:tc>
          <w:tcPr>
            <w:tcW w:type="dxa" w:w="2016"/>
            <w:vAlign w:val="top"/>
          </w:tcPr>
          <w:p>
            <w:r/>
            <w:r>
              <w:rPr>
                <w:b w:val="0"/>
                <w:sz w:val="18"/>
              </w:rPr>
              <w:t>permissions</w:t>
            </w:r>
          </w:p>
        </w:tc>
        <w:tc>
          <w:tcPr>
            <w:tcW w:type="dxa" w:w="3600"/>
            <w:vAlign w:val="top"/>
          </w:tcPr>
          <w:p>
            <w:r/>
            <w:r>
              <w:rPr>
                <w:b w:val="0"/>
                <w:sz w:val="18"/>
              </w:rPr>
              <w:t>Fine-grained permissions used by admin portal and future business roles.</w:t>
            </w:r>
          </w:p>
        </w:tc>
        <w:tc>
          <w:tcPr>
            <w:tcW w:type="dxa" w:w="3888"/>
            <w:vAlign w:val="top"/>
          </w:tcPr>
          <w:p>
            <w:r/>
            <w:r>
              <w:rPr>
                <w:b w:val="0"/>
                <w:sz w:val="18"/>
              </w:rPr>
              <w:t>id, code, resource, action</w:t>
            </w:r>
          </w:p>
        </w:tc>
      </w:tr>
      <w:tr>
        <w:tc>
          <w:tcPr>
            <w:tcW w:type="dxa" w:w="2016"/>
            <w:vAlign w:val="top"/>
          </w:tcPr>
          <w:p>
            <w:r/>
            <w:r>
              <w:rPr>
                <w:b w:val="0"/>
                <w:sz w:val="18"/>
              </w:rPr>
              <w:t>role_permissions</w:t>
            </w:r>
          </w:p>
        </w:tc>
        <w:tc>
          <w:tcPr>
            <w:tcW w:type="dxa" w:w="3600"/>
            <w:vAlign w:val="top"/>
          </w:tcPr>
          <w:p>
            <w:r/>
            <w:r>
              <w:rPr>
                <w:b w:val="0"/>
                <w:sz w:val="18"/>
              </w:rPr>
              <w:t>Many-to-many mapping between roles and permissions.</w:t>
            </w:r>
          </w:p>
        </w:tc>
        <w:tc>
          <w:tcPr>
            <w:tcW w:type="dxa" w:w="3888"/>
            <w:vAlign w:val="top"/>
          </w:tcPr>
          <w:p>
            <w:r/>
            <w:r>
              <w:rPr>
                <w:b w:val="0"/>
                <w:sz w:val="18"/>
              </w:rPr>
              <w:t>role_id, permission_id</w:t>
            </w:r>
          </w:p>
        </w:tc>
      </w:tr>
      <w:tr>
        <w:tc>
          <w:tcPr>
            <w:tcW w:type="dxa" w:w="2016"/>
            <w:vAlign w:val="top"/>
          </w:tcPr>
          <w:p>
            <w:r/>
            <w:r>
              <w:rPr>
                <w:b w:val="0"/>
                <w:sz w:val="18"/>
              </w:rPr>
              <w:t>user_roles</w:t>
            </w:r>
          </w:p>
        </w:tc>
        <w:tc>
          <w:tcPr>
            <w:tcW w:type="dxa" w:w="3600"/>
            <w:vAlign w:val="top"/>
          </w:tcPr>
          <w:p>
            <w:r/>
            <w:r>
              <w:rPr>
                <w:b w:val="0"/>
                <w:sz w:val="18"/>
              </w:rPr>
              <w:t>Role grants scoped globally, to merchant, or group where needed.</w:t>
            </w:r>
          </w:p>
        </w:tc>
        <w:tc>
          <w:tcPr>
            <w:tcW w:type="dxa" w:w="3888"/>
            <w:vAlign w:val="top"/>
          </w:tcPr>
          <w:p>
            <w:r/>
            <w:r>
              <w:rPr>
                <w:b w:val="0"/>
                <w:sz w:val="18"/>
              </w:rPr>
              <w:t>id, user_id, role_id, scope_type, scope_id, created_at</w:t>
            </w:r>
          </w:p>
        </w:tc>
      </w:tr>
      <w:tr>
        <w:tc>
          <w:tcPr>
            <w:tcW w:type="dxa" w:w="2016"/>
            <w:vAlign w:val="top"/>
          </w:tcPr>
          <w:p>
            <w:r/>
            <w:r>
              <w:rPr>
                <w:b w:val="0"/>
                <w:sz w:val="18"/>
              </w:rPr>
              <w:t>sessions</w:t>
            </w:r>
          </w:p>
        </w:tc>
        <w:tc>
          <w:tcPr>
            <w:tcW w:type="dxa" w:w="3600"/>
            <w:vAlign w:val="top"/>
          </w:tcPr>
          <w:p>
            <w:r/>
            <w:r>
              <w:rPr>
                <w:b w:val="0"/>
                <w:sz w:val="18"/>
              </w:rPr>
              <w:t>Refresh session registry and revocation state.</w:t>
            </w:r>
          </w:p>
        </w:tc>
        <w:tc>
          <w:tcPr>
            <w:tcW w:type="dxa" w:w="3888"/>
            <w:vAlign w:val="top"/>
          </w:tcPr>
          <w:p>
            <w:r/>
            <w:r>
              <w:rPr>
                <w:b w:val="0"/>
                <w:sz w:val="18"/>
              </w:rPr>
              <w:t>id, user_id, device_id, refresh_token_hash, expires_at, revoked_at</w:t>
            </w:r>
          </w:p>
        </w:tc>
      </w:tr>
      <w:tr>
        <w:tc>
          <w:tcPr>
            <w:tcW w:type="dxa" w:w="2016"/>
            <w:vAlign w:val="top"/>
          </w:tcPr>
          <w:p>
            <w:r/>
            <w:r>
              <w:rPr>
                <w:b w:val="0"/>
                <w:sz w:val="18"/>
              </w:rPr>
              <w:t>devices</w:t>
            </w:r>
          </w:p>
        </w:tc>
        <w:tc>
          <w:tcPr>
            <w:tcW w:type="dxa" w:w="3600"/>
            <w:vAlign w:val="top"/>
          </w:tcPr>
          <w:p>
            <w:r/>
            <w:r>
              <w:rPr>
                <w:b w:val="0"/>
                <w:sz w:val="18"/>
              </w:rPr>
              <w:t>Trusted device registry for biometrics, push tokens and risk scoring.</w:t>
            </w:r>
          </w:p>
        </w:tc>
        <w:tc>
          <w:tcPr>
            <w:tcW w:type="dxa" w:w="3888"/>
            <w:vAlign w:val="top"/>
          </w:tcPr>
          <w:p>
            <w:r/>
            <w:r>
              <w:rPr>
                <w:b w:val="0"/>
                <w:sz w:val="18"/>
              </w:rPr>
              <w:t>id, user_id, platform, device_fingerprint_hash, push_token_ref, trusted_at, last_seen_at</w:t>
            </w:r>
          </w:p>
        </w:tc>
      </w:tr>
      <w:tr>
        <w:tc>
          <w:tcPr>
            <w:tcW w:type="dxa" w:w="2016"/>
            <w:vAlign w:val="top"/>
          </w:tcPr>
          <w:p>
            <w:r/>
            <w:r>
              <w:rPr>
                <w:b w:val="0"/>
                <w:sz w:val="18"/>
              </w:rPr>
              <w:t>mfa_factors</w:t>
            </w:r>
          </w:p>
        </w:tc>
        <w:tc>
          <w:tcPr>
            <w:tcW w:type="dxa" w:w="3600"/>
            <w:vAlign w:val="top"/>
          </w:tcPr>
          <w:p>
            <w:r/>
            <w:r>
              <w:rPr>
                <w:b w:val="0"/>
                <w:sz w:val="18"/>
              </w:rPr>
              <w:t>MFA factors such as SMS, email OTP, authenticator or passkey.</w:t>
            </w:r>
          </w:p>
        </w:tc>
        <w:tc>
          <w:tcPr>
            <w:tcW w:type="dxa" w:w="3888"/>
            <w:vAlign w:val="top"/>
          </w:tcPr>
          <w:p>
            <w:r/>
            <w:r>
              <w:rPr>
                <w:b w:val="0"/>
                <w:sz w:val="18"/>
              </w:rPr>
              <w:t>id, user_id, factor_type, status, verified_at</w:t>
            </w:r>
          </w:p>
        </w:tc>
      </w:tr>
      <w:tr>
        <w:tc>
          <w:tcPr>
            <w:tcW w:type="dxa" w:w="2016"/>
            <w:vAlign w:val="top"/>
          </w:tcPr>
          <w:p>
            <w:r/>
            <w:r>
              <w:rPr>
                <w:b w:val="0"/>
                <w:sz w:val="18"/>
              </w:rPr>
              <w:t>kyc_cases</w:t>
            </w:r>
          </w:p>
        </w:tc>
        <w:tc>
          <w:tcPr>
            <w:tcW w:type="dxa" w:w="3600"/>
            <w:vAlign w:val="top"/>
          </w:tcPr>
          <w:p>
            <w:r/>
            <w:r>
              <w:rPr>
                <w:b w:val="0"/>
                <w:sz w:val="18"/>
              </w:rPr>
              <w:t>KYC workflow state managed with a provider and manual review option.</w:t>
            </w:r>
          </w:p>
        </w:tc>
        <w:tc>
          <w:tcPr>
            <w:tcW w:type="dxa" w:w="3888"/>
            <w:vAlign w:val="top"/>
          </w:tcPr>
          <w:p>
            <w:r/>
            <w:r>
              <w:rPr>
                <w:b w:val="0"/>
                <w:sz w:val="18"/>
              </w:rPr>
              <w:t>id, user_id, provider, status, verification_level, reviewed_by, completed_at</w:t>
            </w:r>
          </w:p>
        </w:tc>
      </w:tr>
      <w:tr>
        <w:tc>
          <w:tcPr>
            <w:tcW w:type="dxa" w:w="2016"/>
            <w:vAlign w:val="top"/>
          </w:tcPr>
          <w:p>
            <w:r/>
            <w:r>
              <w:rPr>
                <w:b w:val="0"/>
                <w:sz w:val="18"/>
              </w:rPr>
              <w:t>kyc_documents</w:t>
            </w:r>
          </w:p>
        </w:tc>
        <w:tc>
          <w:tcPr>
            <w:tcW w:type="dxa" w:w="3600"/>
            <w:vAlign w:val="top"/>
          </w:tcPr>
          <w:p>
            <w:r/>
            <w:r>
              <w:rPr>
                <w:b w:val="0"/>
                <w:sz w:val="18"/>
              </w:rPr>
              <w:t>Metadata only for KYC files; encrypted files live in object storage/provider vault.</w:t>
            </w:r>
          </w:p>
        </w:tc>
        <w:tc>
          <w:tcPr>
            <w:tcW w:type="dxa" w:w="3888"/>
            <w:vAlign w:val="top"/>
          </w:tcPr>
          <w:p>
            <w:r/>
            <w:r>
              <w:rPr>
                <w:b w:val="0"/>
                <w:sz w:val="18"/>
              </w:rPr>
              <w:t>id, kyc_case_id, document_type, storage_uri, hash, created_at</w:t>
            </w:r>
          </w:p>
        </w:tc>
      </w:tr>
    </w:tbl>
    <w:p>
      <w:pPr>
        <w:pStyle w:val="Heading2"/>
      </w:pPr>
      <w:r>
        <w:t>Customer</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AF7"/>
            <w:vAlign w:val="center"/>
          </w:tcPr>
          <w:p>
            <w:r/>
            <w:r>
              <w:rPr>
                <w:b/>
                <w:sz w:val="18"/>
              </w:rPr>
              <w:t>Table</w:t>
            </w:r>
          </w:p>
        </w:tc>
        <w:tc>
          <w:tcPr>
            <w:tcW w:type="dxa" w:w="3600"/>
            <w:shd w:fill="D9EAF7"/>
            <w:vAlign w:val="center"/>
          </w:tcPr>
          <w:p>
            <w:r/>
            <w:r>
              <w:rPr>
                <w:b/>
                <w:sz w:val="18"/>
              </w:rPr>
              <w:t>Purpose</w:t>
            </w:r>
          </w:p>
        </w:tc>
        <w:tc>
          <w:tcPr>
            <w:tcW w:type="dxa" w:w="3888"/>
            <w:shd w:fill="D9EAF7"/>
            <w:vAlign w:val="center"/>
          </w:tcPr>
          <w:p>
            <w:r/>
            <w:r>
              <w:rPr>
                <w:b/>
                <w:sz w:val="18"/>
              </w:rPr>
              <w:t>Key Columns</w:t>
            </w:r>
          </w:p>
        </w:tc>
      </w:tr>
      <w:tr>
        <w:tc>
          <w:tcPr>
            <w:tcW w:type="dxa" w:w="2016"/>
            <w:vAlign w:val="top"/>
          </w:tcPr>
          <w:p>
            <w:r/>
            <w:r>
              <w:rPr>
                <w:b w:val="0"/>
                <w:sz w:val="18"/>
              </w:rPr>
              <w:t>customer_profiles</w:t>
            </w:r>
          </w:p>
        </w:tc>
        <w:tc>
          <w:tcPr>
            <w:tcW w:type="dxa" w:w="3600"/>
            <w:vAlign w:val="top"/>
          </w:tcPr>
          <w:p>
            <w:r/>
            <w:r>
              <w:rPr>
                <w:b w:val="0"/>
                <w:sz w:val="18"/>
              </w:rPr>
              <w:t>Customer display profile and personal metadata needed by product flows.</w:t>
            </w:r>
          </w:p>
        </w:tc>
        <w:tc>
          <w:tcPr>
            <w:tcW w:type="dxa" w:w="3888"/>
            <w:vAlign w:val="top"/>
          </w:tcPr>
          <w:p>
            <w:r/>
            <w:r>
              <w:rPr>
                <w:b w:val="0"/>
                <w:sz w:val="18"/>
              </w:rPr>
              <w:t>id, user_id, display_name, legal_name_encrypted, date_of_birth_encrypted, avatar_uri, profile_status</w:t>
            </w:r>
          </w:p>
        </w:tc>
      </w:tr>
      <w:tr>
        <w:tc>
          <w:tcPr>
            <w:tcW w:type="dxa" w:w="2016"/>
            <w:vAlign w:val="top"/>
          </w:tcPr>
          <w:p>
            <w:r/>
            <w:r>
              <w:rPr>
                <w:b w:val="0"/>
                <w:sz w:val="18"/>
              </w:rPr>
              <w:t>customer_addresses</w:t>
            </w:r>
          </w:p>
        </w:tc>
        <w:tc>
          <w:tcPr>
            <w:tcW w:type="dxa" w:w="3600"/>
            <w:vAlign w:val="top"/>
          </w:tcPr>
          <w:p>
            <w:r/>
            <w:r>
              <w:rPr>
                <w:b w:val="0"/>
                <w:sz w:val="18"/>
              </w:rPr>
              <w:t>Addresses used for KYC, billing, merchant onboarding or compliance.</w:t>
            </w:r>
          </w:p>
        </w:tc>
        <w:tc>
          <w:tcPr>
            <w:tcW w:type="dxa" w:w="3888"/>
            <w:vAlign w:val="top"/>
          </w:tcPr>
          <w:p>
            <w:r/>
            <w:r>
              <w:rPr>
                <w:b w:val="0"/>
                <w:sz w:val="18"/>
              </w:rPr>
              <w:t>id, user_id, address_type, line1_encrypted, suburb, state, postcode, country, verified_at</w:t>
            </w:r>
          </w:p>
        </w:tc>
      </w:tr>
      <w:tr>
        <w:tc>
          <w:tcPr>
            <w:tcW w:type="dxa" w:w="2016"/>
            <w:vAlign w:val="top"/>
          </w:tcPr>
          <w:p>
            <w:r/>
            <w:r>
              <w:rPr>
                <w:b w:val="0"/>
                <w:sz w:val="18"/>
              </w:rPr>
              <w:t>contacts</w:t>
            </w:r>
          </w:p>
        </w:tc>
        <w:tc>
          <w:tcPr>
            <w:tcW w:type="dxa" w:w="3600"/>
            <w:vAlign w:val="top"/>
          </w:tcPr>
          <w:p>
            <w:r/>
            <w:r>
              <w:rPr>
                <w:b w:val="0"/>
                <w:sz w:val="18"/>
              </w:rPr>
              <w:t>User-approved contact graph for payments and invitations.</w:t>
            </w:r>
          </w:p>
        </w:tc>
        <w:tc>
          <w:tcPr>
            <w:tcW w:type="dxa" w:w="3888"/>
            <w:vAlign w:val="top"/>
          </w:tcPr>
          <w:p>
            <w:r/>
            <w:r>
              <w:rPr>
                <w:b w:val="0"/>
                <w:sz w:val="18"/>
              </w:rPr>
              <w:t>id, owner_user_id, contact_user_id, display_name, phone_hash, email_hash, source, created_at</w:t>
            </w:r>
          </w:p>
        </w:tc>
      </w:tr>
      <w:tr>
        <w:tc>
          <w:tcPr>
            <w:tcW w:type="dxa" w:w="2016"/>
            <w:vAlign w:val="top"/>
          </w:tcPr>
          <w:p>
            <w:r/>
            <w:r>
              <w:rPr>
                <w:b w:val="0"/>
                <w:sz w:val="18"/>
              </w:rPr>
              <w:t>notification_preferences</w:t>
            </w:r>
          </w:p>
        </w:tc>
        <w:tc>
          <w:tcPr>
            <w:tcW w:type="dxa" w:w="3600"/>
            <w:vAlign w:val="top"/>
          </w:tcPr>
          <w:p>
            <w:r/>
            <w:r>
              <w:rPr>
                <w:b w:val="0"/>
                <w:sz w:val="18"/>
              </w:rPr>
              <w:t>Per-channel, per-event opt-in preferences.</w:t>
            </w:r>
          </w:p>
        </w:tc>
        <w:tc>
          <w:tcPr>
            <w:tcW w:type="dxa" w:w="3888"/>
            <w:vAlign w:val="top"/>
          </w:tcPr>
          <w:p>
            <w:r/>
            <w:r>
              <w:rPr>
                <w:b w:val="0"/>
                <w:sz w:val="18"/>
              </w:rPr>
              <w:t>id, user_id, event_type, push_enabled, email_enabled, sms_enabled</w:t>
            </w:r>
          </w:p>
        </w:tc>
      </w:tr>
      <w:tr>
        <w:tc>
          <w:tcPr>
            <w:tcW w:type="dxa" w:w="2016"/>
            <w:vAlign w:val="top"/>
          </w:tcPr>
          <w:p>
            <w:r/>
            <w:r>
              <w:rPr>
                <w:b w:val="0"/>
                <w:sz w:val="18"/>
              </w:rPr>
              <w:t>privacy_consents</w:t>
            </w:r>
          </w:p>
        </w:tc>
        <w:tc>
          <w:tcPr>
            <w:tcW w:type="dxa" w:w="3600"/>
            <w:vAlign w:val="top"/>
          </w:tcPr>
          <w:p>
            <w:r/>
            <w:r>
              <w:rPr>
                <w:b w:val="0"/>
                <w:sz w:val="18"/>
              </w:rPr>
              <w:t>Consent records for privacy, marketing, data sharing and CDR scopes.</w:t>
            </w:r>
          </w:p>
        </w:tc>
        <w:tc>
          <w:tcPr>
            <w:tcW w:type="dxa" w:w="3888"/>
            <w:vAlign w:val="top"/>
          </w:tcPr>
          <w:p>
            <w:r/>
            <w:r>
              <w:rPr>
                <w:b w:val="0"/>
                <w:sz w:val="18"/>
              </w:rPr>
              <w:t>id, user_id, consent_type, version, granted_at, revoked_at</w:t>
            </w:r>
          </w:p>
        </w:tc>
      </w:tr>
    </w:tbl>
    <w:p>
      <w:pPr>
        <w:pStyle w:val="Heading2"/>
      </w:pPr>
      <w:r>
        <w:t>Wallet &amp; Banking</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AF7"/>
            <w:vAlign w:val="center"/>
          </w:tcPr>
          <w:p>
            <w:r/>
            <w:r>
              <w:rPr>
                <w:b/>
                <w:sz w:val="18"/>
              </w:rPr>
              <w:t>Table</w:t>
            </w:r>
          </w:p>
        </w:tc>
        <w:tc>
          <w:tcPr>
            <w:tcW w:type="dxa" w:w="3600"/>
            <w:shd w:fill="D9EAF7"/>
            <w:vAlign w:val="center"/>
          </w:tcPr>
          <w:p>
            <w:r/>
            <w:r>
              <w:rPr>
                <w:b/>
                <w:sz w:val="18"/>
              </w:rPr>
              <w:t>Purpose</w:t>
            </w:r>
          </w:p>
        </w:tc>
        <w:tc>
          <w:tcPr>
            <w:tcW w:type="dxa" w:w="3888"/>
            <w:shd w:fill="D9EAF7"/>
            <w:vAlign w:val="center"/>
          </w:tcPr>
          <w:p>
            <w:r/>
            <w:r>
              <w:rPr>
                <w:b/>
                <w:sz w:val="18"/>
              </w:rPr>
              <w:t>Key Columns</w:t>
            </w:r>
          </w:p>
        </w:tc>
      </w:tr>
      <w:tr>
        <w:tc>
          <w:tcPr>
            <w:tcW w:type="dxa" w:w="2016"/>
            <w:vAlign w:val="top"/>
          </w:tcPr>
          <w:p>
            <w:r/>
            <w:r>
              <w:rPr>
                <w:b w:val="0"/>
                <w:sz w:val="18"/>
              </w:rPr>
              <w:t>wallets</w:t>
            </w:r>
          </w:p>
        </w:tc>
        <w:tc>
          <w:tcPr>
            <w:tcW w:type="dxa" w:w="3600"/>
            <w:vAlign w:val="top"/>
          </w:tcPr>
          <w:p>
            <w:r/>
            <w:r>
              <w:rPr>
                <w:b w:val="0"/>
                <w:sz w:val="18"/>
              </w:rPr>
              <w:t>Logical Aurora wallet/profile; MVP should not hold stored value unless licensing changes.</w:t>
            </w:r>
          </w:p>
        </w:tc>
        <w:tc>
          <w:tcPr>
            <w:tcW w:type="dxa" w:w="3888"/>
            <w:vAlign w:val="top"/>
          </w:tcPr>
          <w:p>
            <w:r/>
            <w:r>
              <w:rPr>
                <w:b w:val="0"/>
                <w:sz w:val="18"/>
              </w:rPr>
              <w:t>id, user_id, currency, status, provider_wallet_ref, created_at</w:t>
            </w:r>
          </w:p>
        </w:tc>
      </w:tr>
      <w:tr>
        <w:tc>
          <w:tcPr>
            <w:tcW w:type="dxa" w:w="2016"/>
            <w:vAlign w:val="top"/>
          </w:tcPr>
          <w:p>
            <w:r/>
            <w:r>
              <w:rPr>
                <w:b w:val="0"/>
                <w:sz w:val="18"/>
              </w:rPr>
              <w:t>bank_accounts</w:t>
            </w:r>
          </w:p>
        </w:tc>
        <w:tc>
          <w:tcPr>
            <w:tcW w:type="dxa" w:w="3600"/>
            <w:vAlign w:val="top"/>
          </w:tcPr>
          <w:p>
            <w:r/>
            <w:r>
              <w:rPr>
                <w:b w:val="0"/>
                <w:sz w:val="18"/>
              </w:rPr>
              <w:t>Linked bank account metadata; masks and tokens only, no raw account credentials.</w:t>
            </w:r>
          </w:p>
        </w:tc>
        <w:tc>
          <w:tcPr>
            <w:tcW w:type="dxa" w:w="3888"/>
            <w:vAlign w:val="top"/>
          </w:tcPr>
          <w:p>
            <w:r/>
            <w:r>
              <w:rPr>
                <w:b w:val="0"/>
                <w:sz w:val="18"/>
              </w:rPr>
              <w:t>id, user_id, provider, bsb_masked, account_number_masked, account_name_encrypted, token_ref, status</w:t>
            </w:r>
          </w:p>
        </w:tc>
      </w:tr>
      <w:tr>
        <w:tc>
          <w:tcPr>
            <w:tcW w:type="dxa" w:w="2016"/>
            <w:vAlign w:val="top"/>
          </w:tcPr>
          <w:p>
            <w:r/>
            <w:r>
              <w:rPr>
                <w:b w:val="0"/>
                <w:sz w:val="18"/>
              </w:rPr>
              <w:t>payment_methods</w:t>
            </w:r>
          </w:p>
        </w:tc>
        <w:tc>
          <w:tcPr>
            <w:tcW w:type="dxa" w:w="3600"/>
            <w:vAlign w:val="top"/>
          </w:tcPr>
          <w:p>
            <w:r/>
            <w:r>
              <w:rPr>
                <w:b w:val="0"/>
                <w:sz w:val="18"/>
              </w:rPr>
              <w:t>Reusable tokenised funding instruments.</w:t>
            </w:r>
          </w:p>
        </w:tc>
        <w:tc>
          <w:tcPr>
            <w:tcW w:type="dxa" w:w="3888"/>
            <w:vAlign w:val="top"/>
          </w:tcPr>
          <w:p>
            <w:r/>
            <w:r>
              <w:rPr>
                <w:b w:val="0"/>
                <w:sz w:val="18"/>
              </w:rPr>
              <w:t>id, user_id, method_type, provider, token_ref, last4, expiry_month, expiry_year, status</w:t>
            </w:r>
          </w:p>
        </w:tc>
      </w:tr>
      <w:tr>
        <w:tc>
          <w:tcPr>
            <w:tcW w:type="dxa" w:w="2016"/>
            <w:vAlign w:val="top"/>
          </w:tcPr>
          <w:p>
            <w:r/>
            <w:r>
              <w:rPr>
                <w:b w:val="0"/>
                <w:sz w:val="18"/>
              </w:rPr>
              <w:t>payid_profiles</w:t>
            </w:r>
          </w:p>
        </w:tc>
        <w:tc>
          <w:tcPr>
            <w:tcW w:type="dxa" w:w="3600"/>
            <w:vAlign w:val="top"/>
          </w:tcPr>
          <w:p>
            <w:r/>
            <w:r>
              <w:rPr>
                <w:b w:val="0"/>
                <w:sz w:val="18"/>
              </w:rPr>
              <w:t>PayID alias mapping metadata where supported by partner arrangements.</w:t>
            </w:r>
          </w:p>
        </w:tc>
        <w:tc>
          <w:tcPr>
            <w:tcW w:type="dxa" w:w="3888"/>
            <w:vAlign w:val="top"/>
          </w:tcPr>
          <w:p>
            <w:r/>
            <w:r>
              <w:rPr>
                <w:b w:val="0"/>
                <w:sz w:val="18"/>
              </w:rPr>
              <w:t>id, user_id, alias_type, alias_value_hash, provider_ref, status</w:t>
            </w:r>
          </w:p>
        </w:tc>
      </w:tr>
      <w:tr>
        <w:tc>
          <w:tcPr>
            <w:tcW w:type="dxa" w:w="2016"/>
            <w:vAlign w:val="top"/>
          </w:tcPr>
          <w:p>
            <w:r/>
            <w:r>
              <w:rPr>
                <w:b w:val="0"/>
                <w:sz w:val="18"/>
              </w:rPr>
              <w:t>cdr_connections</w:t>
            </w:r>
          </w:p>
        </w:tc>
        <w:tc>
          <w:tcPr>
            <w:tcW w:type="dxa" w:w="3600"/>
            <w:vAlign w:val="top"/>
          </w:tcPr>
          <w:p>
            <w:r/>
            <w:r>
              <w:rPr>
                <w:b w:val="0"/>
                <w:sz w:val="18"/>
              </w:rPr>
              <w:t>Open Banking / CDR consented data connection metadata.</w:t>
            </w:r>
          </w:p>
        </w:tc>
        <w:tc>
          <w:tcPr>
            <w:tcW w:type="dxa" w:w="3888"/>
            <w:vAlign w:val="top"/>
          </w:tcPr>
          <w:p>
            <w:r/>
            <w:r>
              <w:rPr>
                <w:b w:val="0"/>
                <w:sz w:val="18"/>
              </w:rPr>
              <w:t>id, user_id, data_recipient_ref, consent_ref, scopes, status, expires_at</w:t>
            </w:r>
          </w:p>
        </w:tc>
      </w:tr>
      <w:tr>
        <w:tc>
          <w:tcPr>
            <w:tcW w:type="dxa" w:w="2016"/>
            <w:vAlign w:val="top"/>
          </w:tcPr>
          <w:p>
            <w:r/>
            <w:r>
              <w:rPr>
                <w:b w:val="0"/>
                <w:sz w:val="18"/>
              </w:rPr>
              <w:t>account_balances_cache</w:t>
            </w:r>
          </w:p>
        </w:tc>
        <w:tc>
          <w:tcPr>
            <w:tcW w:type="dxa" w:w="3600"/>
            <w:vAlign w:val="top"/>
          </w:tcPr>
          <w:p>
            <w:r/>
            <w:r>
              <w:rPr>
                <w:b w:val="0"/>
                <w:sz w:val="18"/>
              </w:rPr>
              <w:t>Short-lived balance snapshots from CDR/provider APIs.</w:t>
            </w:r>
          </w:p>
        </w:tc>
        <w:tc>
          <w:tcPr>
            <w:tcW w:type="dxa" w:w="3888"/>
            <w:vAlign w:val="top"/>
          </w:tcPr>
          <w:p>
            <w:r/>
            <w:r>
              <w:rPr>
                <w:b w:val="0"/>
                <w:sz w:val="18"/>
              </w:rPr>
              <w:t>id, bank_account_id, balance_type, amount, currency, observed_at, expires_at</w:t>
            </w:r>
          </w:p>
        </w:tc>
      </w:tr>
    </w:tbl>
    <w:p>
      <w:pPr>
        <w:pStyle w:val="Heading2"/>
      </w:pPr>
      <w:r>
        <w:t>Payments &amp; Ledger</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AF7"/>
            <w:vAlign w:val="center"/>
          </w:tcPr>
          <w:p>
            <w:r/>
            <w:r>
              <w:rPr>
                <w:b/>
                <w:sz w:val="18"/>
              </w:rPr>
              <w:t>Table</w:t>
            </w:r>
          </w:p>
        </w:tc>
        <w:tc>
          <w:tcPr>
            <w:tcW w:type="dxa" w:w="3600"/>
            <w:shd w:fill="D9EAF7"/>
            <w:vAlign w:val="center"/>
          </w:tcPr>
          <w:p>
            <w:r/>
            <w:r>
              <w:rPr>
                <w:b/>
                <w:sz w:val="18"/>
              </w:rPr>
              <w:t>Purpose</w:t>
            </w:r>
          </w:p>
        </w:tc>
        <w:tc>
          <w:tcPr>
            <w:tcW w:type="dxa" w:w="3888"/>
            <w:shd w:fill="D9EAF7"/>
            <w:vAlign w:val="center"/>
          </w:tcPr>
          <w:p>
            <w:r/>
            <w:r>
              <w:rPr>
                <w:b/>
                <w:sz w:val="18"/>
              </w:rPr>
              <w:t>Key Columns</w:t>
            </w:r>
          </w:p>
        </w:tc>
      </w:tr>
      <w:tr>
        <w:tc>
          <w:tcPr>
            <w:tcW w:type="dxa" w:w="2016"/>
            <w:vAlign w:val="top"/>
          </w:tcPr>
          <w:p>
            <w:r/>
            <w:r>
              <w:rPr>
                <w:b w:val="0"/>
                <w:sz w:val="18"/>
              </w:rPr>
              <w:t>payment_requests</w:t>
            </w:r>
          </w:p>
        </w:tc>
        <w:tc>
          <w:tcPr>
            <w:tcW w:type="dxa" w:w="3600"/>
            <w:vAlign w:val="top"/>
          </w:tcPr>
          <w:p>
            <w:r/>
            <w:r>
              <w:rPr>
                <w:b w:val="0"/>
                <w:sz w:val="18"/>
              </w:rPr>
              <w:t>Request for another user to pay.</w:t>
            </w:r>
          </w:p>
        </w:tc>
        <w:tc>
          <w:tcPr>
            <w:tcW w:type="dxa" w:w="3888"/>
            <w:vAlign w:val="top"/>
          </w:tcPr>
          <w:p>
            <w:r/>
            <w:r>
              <w:rPr>
                <w:b w:val="0"/>
                <w:sz w:val="18"/>
              </w:rPr>
              <w:t>id, requester_user_id, payer_user_id, group_id, amount, currency, note, due_at, status</w:t>
            </w:r>
          </w:p>
        </w:tc>
      </w:tr>
      <w:tr>
        <w:tc>
          <w:tcPr>
            <w:tcW w:type="dxa" w:w="2016"/>
            <w:vAlign w:val="top"/>
          </w:tcPr>
          <w:p>
            <w:r/>
            <w:r>
              <w:rPr>
                <w:b w:val="0"/>
                <w:sz w:val="18"/>
              </w:rPr>
              <w:t>transactions</w:t>
            </w:r>
          </w:p>
        </w:tc>
        <w:tc>
          <w:tcPr>
            <w:tcW w:type="dxa" w:w="3600"/>
            <w:vAlign w:val="top"/>
          </w:tcPr>
          <w:p>
            <w:r/>
            <w:r>
              <w:rPr>
                <w:b w:val="0"/>
                <w:sz w:val="18"/>
              </w:rPr>
              <w:t>Canonical payment transaction state machine.</w:t>
            </w:r>
          </w:p>
        </w:tc>
        <w:tc>
          <w:tcPr>
            <w:tcW w:type="dxa" w:w="3888"/>
            <w:vAlign w:val="top"/>
          </w:tcPr>
          <w:p>
            <w:r/>
            <w:r>
              <w:rPr>
                <w:b w:val="0"/>
                <w:sz w:val="18"/>
              </w:rPr>
              <w:t>id, type, sender_user_id, receiver_user_id, merchant_id, amount, currency, status, provider_ref, idempotency_key, created_at</w:t>
            </w:r>
          </w:p>
        </w:tc>
      </w:tr>
      <w:tr>
        <w:tc>
          <w:tcPr>
            <w:tcW w:type="dxa" w:w="2016"/>
            <w:vAlign w:val="top"/>
          </w:tcPr>
          <w:p>
            <w:r/>
            <w:r>
              <w:rPr>
                <w:b w:val="0"/>
                <w:sz w:val="18"/>
              </w:rPr>
              <w:t>transaction_status_history</w:t>
            </w:r>
          </w:p>
        </w:tc>
        <w:tc>
          <w:tcPr>
            <w:tcW w:type="dxa" w:w="3600"/>
            <w:vAlign w:val="top"/>
          </w:tcPr>
          <w:p>
            <w:r/>
            <w:r>
              <w:rPr>
                <w:b w:val="0"/>
                <w:sz w:val="18"/>
              </w:rPr>
              <w:t>Append-only status transition history.</w:t>
            </w:r>
          </w:p>
        </w:tc>
        <w:tc>
          <w:tcPr>
            <w:tcW w:type="dxa" w:w="3888"/>
            <w:vAlign w:val="top"/>
          </w:tcPr>
          <w:p>
            <w:r/>
            <w:r>
              <w:rPr>
                <w:b w:val="0"/>
                <w:sz w:val="18"/>
              </w:rPr>
              <w:t>id, transaction_id, from_status, to_status, reason_code, actor_type, actor_id, occurred_at</w:t>
            </w:r>
          </w:p>
        </w:tc>
      </w:tr>
      <w:tr>
        <w:tc>
          <w:tcPr>
            <w:tcW w:type="dxa" w:w="2016"/>
            <w:vAlign w:val="top"/>
          </w:tcPr>
          <w:p>
            <w:r/>
            <w:r>
              <w:rPr>
                <w:b w:val="0"/>
                <w:sz w:val="18"/>
              </w:rPr>
              <w:t>payment_provider_events</w:t>
            </w:r>
          </w:p>
        </w:tc>
        <w:tc>
          <w:tcPr>
            <w:tcW w:type="dxa" w:w="3600"/>
            <w:vAlign w:val="top"/>
          </w:tcPr>
          <w:p>
            <w:r/>
            <w:r>
              <w:rPr>
                <w:b w:val="0"/>
                <w:sz w:val="18"/>
              </w:rPr>
              <w:t>Raw normalized provider webhooks/callbacks.</w:t>
            </w:r>
          </w:p>
        </w:tc>
        <w:tc>
          <w:tcPr>
            <w:tcW w:type="dxa" w:w="3888"/>
            <w:vAlign w:val="top"/>
          </w:tcPr>
          <w:p>
            <w:r/>
            <w:r>
              <w:rPr>
                <w:b w:val="0"/>
                <w:sz w:val="18"/>
              </w:rPr>
              <w:t>id, provider, provider_event_id, event_type, payload_hash, received_at, processed_at, status</w:t>
            </w:r>
          </w:p>
        </w:tc>
      </w:tr>
      <w:tr>
        <w:tc>
          <w:tcPr>
            <w:tcW w:type="dxa" w:w="2016"/>
            <w:vAlign w:val="top"/>
          </w:tcPr>
          <w:p>
            <w:r/>
            <w:r>
              <w:rPr>
                <w:b w:val="0"/>
                <w:sz w:val="18"/>
              </w:rPr>
              <w:t>ledger_entries</w:t>
            </w:r>
          </w:p>
        </w:tc>
        <w:tc>
          <w:tcPr>
            <w:tcW w:type="dxa" w:w="3600"/>
            <w:vAlign w:val="top"/>
          </w:tcPr>
          <w:p>
            <w:r/>
            <w:r>
              <w:rPr>
                <w:b w:val="0"/>
                <w:sz w:val="18"/>
              </w:rPr>
              <w:t>Internal accounting mirror using double-entry style records; no customer funds in MVP unless model changes.</w:t>
            </w:r>
          </w:p>
        </w:tc>
        <w:tc>
          <w:tcPr>
            <w:tcW w:type="dxa" w:w="3888"/>
            <w:vAlign w:val="top"/>
          </w:tcPr>
          <w:p>
            <w:r/>
            <w:r>
              <w:rPr>
                <w:b w:val="0"/>
                <w:sz w:val="18"/>
              </w:rPr>
              <w:t>id, transaction_id, account_code, direction, amount, currency, posted_at</w:t>
            </w:r>
          </w:p>
        </w:tc>
      </w:tr>
      <w:tr>
        <w:tc>
          <w:tcPr>
            <w:tcW w:type="dxa" w:w="2016"/>
            <w:vAlign w:val="top"/>
          </w:tcPr>
          <w:p>
            <w:r/>
            <w:r>
              <w:rPr>
                <w:b w:val="0"/>
                <w:sz w:val="18"/>
              </w:rPr>
              <w:t>refunds</w:t>
            </w:r>
          </w:p>
        </w:tc>
        <w:tc>
          <w:tcPr>
            <w:tcW w:type="dxa" w:w="3600"/>
            <w:vAlign w:val="top"/>
          </w:tcPr>
          <w:p>
            <w:r/>
            <w:r>
              <w:rPr>
                <w:b w:val="0"/>
                <w:sz w:val="18"/>
              </w:rPr>
              <w:t>Refund lifecycle linked to original transaction.</w:t>
            </w:r>
          </w:p>
        </w:tc>
        <w:tc>
          <w:tcPr>
            <w:tcW w:type="dxa" w:w="3888"/>
            <w:vAlign w:val="top"/>
          </w:tcPr>
          <w:p>
            <w:r/>
            <w:r>
              <w:rPr>
                <w:b w:val="0"/>
                <w:sz w:val="18"/>
              </w:rPr>
              <w:t>id, original_transaction_id, amount, currency, status, provider_ref, reason</w:t>
            </w:r>
          </w:p>
        </w:tc>
      </w:tr>
      <w:tr>
        <w:tc>
          <w:tcPr>
            <w:tcW w:type="dxa" w:w="2016"/>
            <w:vAlign w:val="top"/>
          </w:tcPr>
          <w:p>
            <w:r/>
            <w:r>
              <w:rPr>
                <w:b w:val="0"/>
                <w:sz w:val="18"/>
              </w:rPr>
              <w:t>payment_disputes</w:t>
            </w:r>
          </w:p>
        </w:tc>
        <w:tc>
          <w:tcPr>
            <w:tcW w:type="dxa" w:w="3600"/>
            <w:vAlign w:val="top"/>
          </w:tcPr>
          <w:p>
            <w:r/>
            <w:r>
              <w:rPr>
                <w:b w:val="0"/>
                <w:sz w:val="18"/>
              </w:rPr>
              <w:t>User or merchant payment disputes and investigation state.</w:t>
            </w:r>
          </w:p>
        </w:tc>
        <w:tc>
          <w:tcPr>
            <w:tcW w:type="dxa" w:w="3888"/>
            <w:vAlign w:val="top"/>
          </w:tcPr>
          <w:p>
            <w:r/>
            <w:r>
              <w:rPr>
                <w:b w:val="0"/>
                <w:sz w:val="18"/>
              </w:rPr>
              <w:t>id, transaction_id, opened_by_user_id, reason_code, status, resolution, opened_at</w:t>
            </w:r>
          </w:p>
        </w:tc>
      </w:tr>
    </w:tbl>
    <w:p>
      <w:pPr>
        <w:pStyle w:val="Heading2"/>
      </w:pPr>
      <w:r>
        <w:t>Groups &amp; Expenses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AF7"/>
            <w:vAlign w:val="center"/>
          </w:tcPr>
          <w:p>
            <w:r/>
            <w:r>
              <w:rPr>
                <w:b/>
                <w:sz w:val="18"/>
              </w:rPr>
              <w:t>Table</w:t>
            </w:r>
          </w:p>
        </w:tc>
        <w:tc>
          <w:tcPr>
            <w:tcW w:type="dxa" w:w="3600"/>
            <w:shd w:fill="D9EAF7"/>
            <w:vAlign w:val="center"/>
          </w:tcPr>
          <w:p>
            <w:r/>
            <w:r>
              <w:rPr>
                <w:b/>
                <w:sz w:val="18"/>
              </w:rPr>
              <w:t>Purpose</w:t>
            </w:r>
          </w:p>
        </w:tc>
        <w:tc>
          <w:tcPr>
            <w:tcW w:type="dxa" w:w="3888"/>
            <w:shd w:fill="D9EAF7"/>
            <w:vAlign w:val="center"/>
          </w:tcPr>
          <w:p>
            <w:r/>
            <w:r>
              <w:rPr>
                <w:b/>
                <w:sz w:val="18"/>
              </w:rPr>
              <w:t>Key Columns</w:t>
            </w:r>
          </w:p>
        </w:tc>
      </w:tr>
      <w:tr>
        <w:tc>
          <w:tcPr>
            <w:tcW w:type="dxa" w:w="2016"/>
            <w:vAlign w:val="top"/>
          </w:tcPr>
          <w:p>
            <w:r/>
            <w:r>
              <w:rPr>
                <w:b w:val="0"/>
                <w:sz w:val="18"/>
              </w:rPr>
              <w:t>groups</w:t>
            </w:r>
          </w:p>
        </w:tc>
        <w:tc>
          <w:tcPr>
            <w:tcW w:type="dxa" w:w="3600"/>
            <w:vAlign w:val="top"/>
          </w:tcPr>
          <w:p>
            <w:r/>
            <w:r>
              <w:rPr>
                <w:b w:val="0"/>
                <w:sz w:val="18"/>
              </w:rPr>
              <w:t>Collaborative money context: house, trip, family, club.</w:t>
            </w:r>
          </w:p>
        </w:tc>
        <w:tc>
          <w:tcPr>
            <w:tcW w:type="dxa" w:w="3888"/>
            <w:vAlign w:val="top"/>
          </w:tcPr>
          <w:p>
            <w:r/>
            <w:r>
              <w:rPr>
                <w:b w:val="0"/>
                <w:sz w:val="18"/>
              </w:rPr>
              <w:t>id, owner_user_id, name, group_type, currency, status, created_at</w:t>
            </w:r>
          </w:p>
        </w:tc>
      </w:tr>
      <w:tr>
        <w:tc>
          <w:tcPr>
            <w:tcW w:type="dxa" w:w="2016"/>
            <w:vAlign w:val="top"/>
          </w:tcPr>
          <w:p>
            <w:r/>
            <w:r>
              <w:rPr>
                <w:b w:val="0"/>
                <w:sz w:val="18"/>
              </w:rPr>
              <w:t>group_members</w:t>
            </w:r>
          </w:p>
        </w:tc>
        <w:tc>
          <w:tcPr>
            <w:tcW w:type="dxa" w:w="3600"/>
            <w:vAlign w:val="top"/>
          </w:tcPr>
          <w:p>
            <w:r/>
            <w:r>
              <w:rPr>
                <w:b w:val="0"/>
                <w:sz w:val="18"/>
              </w:rPr>
              <w:t>Membership and role within a group.</w:t>
            </w:r>
          </w:p>
        </w:tc>
        <w:tc>
          <w:tcPr>
            <w:tcW w:type="dxa" w:w="3888"/>
            <w:vAlign w:val="top"/>
          </w:tcPr>
          <w:p>
            <w:r/>
            <w:r>
              <w:rPr>
                <w:b w:val="0"/>
                <w:sz w:val="18"/>
              </w:rPr>
              <w:t>id, group_id, user_id, role, status, joined_at</w:t>
            </w:r>
          </w:p>
        </w:tc>
      </w:tr>
      <w:tr>
        <w:tc>
          <w:tcPr>
            <w:tcW w:type="dxa" w:w="2016"/>
            <w:vAlign w:val="top"/>
          </w:tcPr>
          <w:p>
            <w:r/>
            <w:r>
              <w:rPr>
                <w:b w:val="0"/>
                <w:sz w:val="18"/>
              </w:rPr>
              <w:t>group_invitations</w:t>
            </w:r>
          </w:p>
        </w:tc>
        <w:tc>
          <w:tcPr>
            <w:tcW w:type="dxa" w:w="3600"/>
            <w:vAlign w:val="top"/>
          </w:tcPr>
          <w:p>
            <w:r/>
            <w:r>
              <w:rPr>
                <w:b w:val="0"/>
                <w:sz w:val="18"/>
              </w:rPr>
              <w:t>Pending invitations by phone/email/link.</w:t>
            </w:r>
          </w:p>
        </w:tc>
        <w:tc>
          <w:tcPr>
            <w:tcW w:type="dxa" w:w="3888"/>
            <w:vAlign w:val="top"/>
          </w:tcPr>
          <w:p>
            <w:r/>
            <w:r>
              <w:rPr>
                <w:b w:val="0"/>
                <w:sz w:val="18"/>
              </w:rPr>
              <w:t>id, group_id, invited_by_user_id, invitee_contact_hash, token_hash, expires_at, status</w:t>
            </w:r>
          </w:p>
        </w:tc>
      </w:tr>
      <w:tr>
        <w:tc>
          <w:tcPr>
            <w:tcW w:type="dxa" w:w="2016"/>
            <w:vAlign w:val="top"/>
          </w:tcPr>
          <w:p>
            <w:r/>
            <w:r>
              <w:rPr>
                <w:b w:val="0"/>
                <w:sz w:val="18"/>
              </w:rPr>
              <w:t>expenses</w:t>
            </w:r>
          </w:p>
        </w:tc>
        <w:tc>
          <w:tcPr>
            <w:tcW w:type="dxa" w:w="3600"/>
            <w:vAlign w:val="top"/>
          </w:tcPr>
          <w:p>
            <w:r/>
            <w:r>
              <w:rPr>
                <w:b w:val="0"/>
                <w:sz w:val="18"/>
              </w:rPr>
              <w:t>Expense recorded in a group or between users.</w:t>
            </w:r>
          </w:p>
        </w:tc>
        <w:tc>
          <w:tcPr>
            <w:tcW w:type="dxa" w:w="3888"/>
            <w:vAlign w:val="top"/>
          </w:tcPr>
          <w:p>
            <w:r/>
            <w:r>
              <w:rPr>
                <w:b w:val="0"/>
                <w:sz w:val="18"/>
              </w:rPr>
              <w:t>id, group_id, paid_by_user_id, merchant_id, title, amount, currency, expense_date, status</w:t>
            </w:r>
          </w:p>
        </w:tc>
      </w:tr>
      <w:tr>
        <w:tc>
          <w:tcPr>
            <w:tcW w:type="dxa" w:w="2016"/>
            <w:vAlign w:val="top"/>
          </w:tcPr>
          <w:p>
            <w:r/>
            <w:r>
              <w:rPr>
                <w:b w:val="0"/>
                <w:sz w:val="18"/>
              </w:rPr>
              <w:t>expense_splits</w:t>
            </w:r>
          </w:p>
        </w:tc>
        <w:tc>
          <w:tcPr>
            <w:tcW w:type="dxa" w:w="3600"/>
            <w:vAlign w:val="top"/>
          </w:tcPr>
          <w:p>
            <w:r/>
            <w:r>
              <w:rPr>
                <w:b w:val="0"/>
                <w:sz w:val="18"/>
              </w:rPr>
              <w:t>Split rows showing who owes what.</w:t>
            </w:r>
          </w:p>
        </w:tc>
        <w:tc>
          <w:tcPr>
            <w:tcW w:type="dxa" w:w="3888"/>
            <w:vAlign w:val="top"/>
          </w:tcPr>
          <w:p>
            <w:r/>
            <w:r>
              <w:rPr>
                <w:b w:val="0"/>
                <w:sz w:val="18"/>
              </w:rPr>
              <w:t>id, expense_id, user_id, split_type, amount_owed, percentage, status</w:t>
            </w:r>
          </w:p>
        </w:tc>
      </w:tr>
      <w:tr>
        <w:tc>
          <w:tcPr>
            <w:tcW w:type="dxa" w:w="2016"/>
            <w:vAlign w:val="top"/>
          </w:tcPr>
          <w:p>
            <w:r/>
            <w:r>
              <w:rPr>
                <w:b w:val="0"/>
                <w:sz w:val="18"/>
              </w:rPr>
              <w:t>settlements</w:t>
            </w:r>
          </w:p>
        </w:tc>
        <w:tc>
          <w:tcPr>
            <w:tcW w:type="dxa" w:w="3600"/>
            <w:vAlign w:val="top"/>
          </w:tcPr>
          <w:p>
            <w:r/>
            <w:r>
              <w:rPr>
                <w:b w:val="0"/>
                <w:sz w:val="18"/>
              </w:rPr>
              <w:t>Settlement plan or payment that clears one or more splits.</w:t>
            </w:r>
          </w:p>
        </w:tc>
        <w:tc>
          <w:tcPr>
            <w:tcW w:type="dxa" w:w="3888"/>
            <w:vAlign w:val="top"/>
          </w:tcPr>
          <w:p>
            <w:r/>
            <w:r>
              <w:rPr>
                <w:b w:val="0"/>
                <w:sz w:val="18"/>
              </w:rPr>
              <w:t>id, group_id, from_user_id, to_user_id, amount, currency, linked_transaction_id, status</w:t>
            </w:r>
          </w:p>
        </w:tc>
      </w:tr>
      <w:tr>
        <w:tc>
          <w:tcPr>
            <w:tcW w:type="dxa" w:w="2016"/>
            <w:vAlign w:val="top"/>
          </w:tcPr>
          <w:p>
            <w:r/>
            <w:r>
              <w:rPr>
                <w:b w:val="0"/>
                <w:sz w:val="18"/>
              </w:rPr>
              <w:t>expense_reminders</w:t>
            </w:r>
          </w:p>
        </w:tc>
        <w:tc>
          <w:tcPr>
            <w:tcW w:type="dxa" w:w="3600"/>
            <w:vAlign w:val="top"/>
          </w:tcPr>
          <w:p>
            <w:r/>
            <w:r>
              <w:rPr>
                <w:b w:val="0"/>
                <w:sz w:val="18"/>
              </w:rPr>
              <w:t>Reminder schedule and delivery status.</w:t>
            </w:r>
          </w:p>
        </w:tc>
        <w:tc>
          <w:tcPr>
            <w:tcW w:type="dxa" w:w="3888"/>
            <w:vAlign w:val="top"/>
          </w:tcPr>
          <w:p>
            <w:r/>
            <w:r>
              <w:rPr>
                <w:b w:val="0"/>
                <w:sz w:val="18"/>
              </w:rPr>
              <w:t>id, expense_split_id, reminder_type, scheduled_at, sent_at, status</w:t>
            </w:r>
          </w:p>
        </w:tc>
      </w:tr>
      <w:tr>
        <w:tc>
          <w:tcPr>
            <w:tcW w:type="dxa" w:w="2016"/>
            <w:vAlign w:val="top"/>
          </w:tcPr>
          <w:p>
            <w:r/>
            <w:r>
              <w:rPr>
                <w:b w:val="0"/>
                <w:sz w:val="18"/>
              </w:rPr>
              <w:t>receipts</w:t>
            </w:r>
          </w:p>
        </w:tc>
        <w:tc>
          <w:tcPr>
            <w:tcW w:type="dxa" w:w="3600"/>
            <w:vAlign w:val="top"/>
          </w:tcPr>
          <w:p>
            <w:r/>
            <w:r>
              <w:rPr>
                <w:b w:val="0"/>
                <w:sz w:val="18"/>
              </w:rPr>
              <w:t>Receipt metadata and OCR/AI extraction status.</w:t>
            </w:r>
          </w:p>
        </w:tc>
        <w:tc>
          <w:tcPr>
            <w:tcW w:type="dxa" w:w="3888"/>
            <w:vAlign w:val="top"/>
          </w:tcPr>
          <w:p>
            <w:r/>
            <w:r>
              <w:rPr>
                <w:b w:val="0"/>
                <w:sz w:val="18"/>
              </w:rPr>
              <w:t>id, expense_id, transaction_id, uploaded_by_user_id, storage_uri, extracted_total, status</w:t>
            </w:r>
          </w:p>
        </w:tc>
      </w:tr>
    </w:tbl>
    <w:p>
      <w:pPr>
        <w:pStyle w:val="Heading2"/>
      </w:pPr>
      <w:r>
        <w:t>Merchant &amp; Commerce</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AF7"/>
            <w:vAlign w:val="center"/>
          </w:tcPr>
          <w:p>
            <w:r/>
            <w:r>
              <w:rPr>
                <w:b/>
                <w:sz w:val="18"/>
              </w:rPr>
              <w:t>Table</w:t>
            </w:r>
          </w:p>
        </w:tc>
        <w:tc>
          <w:tcPr>
            <w:tcW w:type="dxa" w:w="3600"/>
            <w:shd w:fill="D9EAF7"/>
            <w:vAlign w:val="center"/>
          </w:tcPr>
          <w:p>
            <w:r/>
            <w:r>
              <w:rPr>
                <w:b/>
                <w:sz w:val="18"/>
              </w:rPr>
              <w:t>Purpose</w:t>
            </w:r>
          </w:p>
        </w:tc>
        <w:tc>
          <w:tcPr>
            <w:tcW w:type="dxa" w:w="3888"/>
            <w:shd w:fill="D9EAF7"/>
            <w:vAlign w:val="center"/>
          </w:tcPr>
          <w:p>
            <w:r/>
            <w:r>
              <w:rPr>
                <w:b/>
                <w:sz w:val="18"/>
              </w:rPr>
              <w:t>Key Columns</w:t>
            </w:r>
          </w:p>
        </w:tc>
      </w:tr>
      <w:tr>
        <w:tc>
          <w:tcPr>
            <w:tcW w:type="dxa" w:w="2016"/>
            <w:vAlign w:val="top"/>
          </w:tcPr>
          <w:p>
            <w:r/>
            <w:r>
              <w:rPr>
                <w:b w:val="0"/>
                <w:sz w:val="18"/>
              </w:rPr>
              <w:t>merchants</w:t>
            </w:r>
          </w:p>
        </w:tc>
        <w:tc>
          <w:tcPr>
            <w:tcW w:type="dxa" w:w="3600"/>
            <w:vAlign w:val="top"/>
          </w:tcPr>
          <w:p>
            <w:r/>
            <w:r>
              <w:rPr>
                <w:b w:val="0"/>
                <w:sz w:val="18"/>
              </w:rPr>
              <w:t>Legal merchant entity.</w:t>
            </w:r>
          </w:p>
        </w:tc>
        <w:tc>
          <w:tcPr>
            <w:tcW w:type="dxa" w:w="3888"/>
            <w:vAlign w:val="top"/>
          </w:tcPr>
          <w:p>
            <w:r/>
            <w:r>
              <w:rPr>
                <w:b w:val="0"/>
                <w:sz w:val="18"/>
              </w:rPr>
              <w:t>id, legal_name, trading_name, abn_hash, status, risk_rating, created_at</w:t>
            </w:r>
          </w:p>
        </w:tc>
      </w:tr>
      <w:tr>
        <w:tc>
          <w:tcPr>
            <w:tcW w:type="dxa" w:w="2016"/>
            <w:vAlign w:val="top"/>
          </w:tcPr>
          <w:p>
            <w:r/>
            <w:r>
              <w:rPr>
                <w:b w:val="0"/>
                <w:sz w:val="18"/>
              </w:rPr>
              <w:t>merchant_users</w:t>
            </w:r>
          </w:p>
        </w:tc>
        <w:tc>
          <w:tcPr>
            <w:tcW w:type="dxa" w:w="3600"/>
            <w:vAlign w:val="top"/>
          </w:tcPr>
          <w:p>
            <w:r/>
            <w:r>
              <w:rPr>
                <w:b w:val="0"/>
                <w:sz w:val="18"/>
              </w:rPr>
              <w:t>Users associated with merchant entity.</w:t>
            </w:r>
          </w:p>
        </w:tc>
        <w:tc>
          <w:tcPr>
            <w:tcW w:type="dxa" w:w="3888"/>
            <w:vAlign w:val="top"/>
          </w:tcPr>
          <w:p>
            <w:r/>
            <w:r>
              <w:rPr>
                <w:b w:val="0"/>
                <w:sz w:val="18"/>
              </w:rPr>
              <w:t>id, merchant_id, user_id, role, status</w:t>
            </w:r>
          </w:p>
        </w:tc>
      </w:tr>
      <w:tr>
        <w:tc>
          <w:tcPr>
            <w:tcW w:type="dxa" w:w="2016"/>
            <w:vAlign w:val="top"/>
          </w:tcPr>
          <w:p>
            <w:r/>
            <w:r>
              <w:rPr>
                <w:b w:val="0"/>
                <w:sz w:val="18"/>
              </w:rPr>
              <w:t>merchant_stores</w:t>
            </w:r>
          </w:p>
        </w:tc>
        <w:tc>
          <w:tcPr>
            <w:tcW w:type="dxa" w:w="3600"/>
            <w:vAlign w:val="top"/>
          </w:tcPr>
          <w:p>
            <w:r/>
            <w:r>
              <w:rPr>
                <w:b w:val="0"/>
                <w:sz w:val="18"/>
              </w:rPr>
              <w:t>Physical or online store locations.</w:t>
            </w:r>
          </w:p>
        </w:tc>
        <w:tc>
          <w:tcPr>
            <w:tcW w:type="dxa" w:w="3888"/>
            <w:vAlign w:val="top"/>
          </w:tcPr>
          <w:p>
            <w:r/>
            <w:r>
              <w:rPr>
                <w:b w:val="0"/>
                <w:sz w:val="18"/>
              </w:rPr>
              <w:t>id, merchant_id, name, location_encrypted, status</w:t>
            </w:r>
          </w:p>
        </w:tc>
      </w:tr>
      <w:tr>
        <w:tc>
          <w:tcPr>
            <w:tcW w:type="dxa" w:w="2016"/>
            <w:vAlign w:val="top"/>
          </w:tcPr>
          <w:p>
            <w:r/>
            <w:r>
              <w:rPr>
                <w:b w:val="0"/>
                <w:sz w:val="18"/>
              </w:rPr>
              <w:t>merchant_qr_codes</w:t>
            </w:r>
          </w:p>
        </w:tc>
        <w:tc>
          <w:tcPr>
            <w:tcW w:type="dxa" w:w="3600"/>
            <w:vAlign w:val="top"/>
          </w:tcPr>
          <w:p>
            <w:r/>
            <w:r>
              <w:rPr>
                <w:b w:val="0"/>
                <w:sz w:val="18"/>
              </w:rPr>
              <w:t>Static or dynamic QR payment payload references.</w:t>
            </w:r>
          </w:p>
        </w:tc>
        <w:tc>
          <w:tcPr>
            <w:tcW w:type="dxa" w:w="3888"/>
            <w:vAlign w:val="top"/>
          </w:tcPr>
          <w:p>
            <w:r/>
            <w:r>
              <w:rPr>
                <w:b w:val="0"/>
                <w:sz w:val="18"/>
              </w:rPr>
              <w:t>id, merchant_id, store_id, qr_type, payload_ref, status</w:t>
            </w:r>
          </w:p>
        </w:tc>
      </w:tr>
      <w:tr>
        <w:tc>
          <w:tcPr>
            <w:tcW w:type="dxa" w:w="2016"/>
            <w:vAlign w:val="top"/>
          </w:tcPr>
          <w:p>
            <w:r/>
            <w:r>
              <w:rPr>
                <w:b w:val="0"/>
                <w:sz w:val="18"/>
              </w:rPr>
              <w:t>invoices</w:t>
            </w:r>
          </w:p>
        </w:tc>
        <w:tc>
          <w:tcPr>
            <w:tcW w:type="dxa" w:w="3600"/>
            <w:vAlign w:val="top"/>
          </w:tcPr>
          <w:p>
            <w:r/>
            <w:r>
              <w:rPr>
                <w:b w:val="0"/>
                <w:sz w:val="18"/>
              </w:rPr>
              <w:t>Merchant invoice header.</w:t>
            </w:r>
          </w:p>
        </w:tc>
        <w:tc>
          <w:tcPr>
            <w:tcW w:type="dxa" w:w="3888"/>
            <w:vAlign w:val="top"/>
          </w:tcPr>
          <w:p>
            <w:r/>
            <w:r>
              <w:rPr>
                <w:b w:val="0"/>
                <w:sz w:val="18"/>
              </w:rPr>
              <w:t>id, merchant_id, customer_user_id, invoice_number, amount_due, currency, due_at, status</w:t>
            </w:r>
          </w:p>
        </w:tc>
      </w:tr>
      <w:tr>
        <w:tc>
          <w:tcPr>
            <w:tcW w:type="dxa" w:w="2016"/>
            <w:vAlign w:val="top"/>
          </w:tcPr>
          <w:p>
            <w:r/>
            <w:r>
              <w:rPr>
                <w:b w:val="0"/>
                <w:sz w:val="18"/>
              </w:rPr>
              <w:t>invoice_items</w:t>
            </w:r>
          </w:p>
        </w:tc>
        <w:tc>
          <w:tcPr>
            <w:tcW w:type="dxa" w:w="3600"/>
            <w:vAlign w:val="top"/>
          </w:tcPr>
          <w:p>
            <w:r/>
            <w:r>
              <w:rPr>
                <w:b w:val="0"/>
                <w:sz w:val="18"/>
              </w:rPr>
              <w:t>Invoice line items.</w:t>
            </w:r>
          </w:p>
        </w:tc>
        <w:tc>
          <w:tcPr>
            <w:tcW w:type="dxa" w:w="3888"/>
            <w:vAlign w:val="top"/>
          </w:tcPr>
          <w:p>
            <w:r/>
            <w:r>
              <w:rPr>
                <w:b w:val="0"/>
                <w:sz w:val="18"/>
              </w:rPr>
              <w:t>id, invoice_id, description, quantity, unit_price, tax_amount, total_amount</w:t>
            </w:r>
          </w:p>
        </w:tc>
      </w:tr>
      <w:tr>
        <w:tc>
          <w:tcPr>
            <w:tcW w:type="dxa" w:w="2016"/>
            <w:vAlign w:val="top"/>
          </w:tcPr>
          <w:p>
            <w:r/>
            <w:r>
              <w:rPr>
                <w:b w:val="0"/>
                <w:sz w:val="18"/>
              </w:rPr>
              <w:t>merchant_settlements</w:t>
            </w:r>
          </w:p>
        </w:tc>
        <w:tc>
          <w:tcPr>
            <w:tcW w:type="dxa" w:w="3600"/>
            <w:vAlign w:val="top"/>
          </w:tcPr>
          <w:p>
            <w:r/>
            <w:r>
              <w:rPr>
                <w:b w:val="0"/>
                <w:sz w:val="18"/>
              </w:rPr>
              <w:t>Settlement reporting from payment partner.</w:t>
            </w:r>
          </w:p>
        </w:tc>
        <w:tc>
          <w:tcPr>
            <w:tcW w:type="dxa" w:w="3888"/>
            <w:vAlign w:val="top"/>
          </w:tcPr>
          <w:p>
            <w:r/>
            <w:r>
              <w:rPr>
                <w:b w:val="0"/>
                <w:sz w:val="18"/>
              </w:rPr>
              <w:t>id, merchant_id, provider_ref, gross_amount, fees_amount, net_amount, settlement_date, status</w:t>
            </w:r>
          </w:p>
        </w:tc>
      </w:tr>
    </w:tbl>
    <w:p>
      <w:pPr>
        <w:pStyle w:val="Heading2"/>
      </w:pPr>
      <w:r>
        <w:t>AI, Analytics &amp; Operations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AF7"/>
            <w:vAlign w:val="center"/>
          </w:tcPr>
          <w:p>
            <w:r/>
            <w:r>
              <w:rPr>
                <w:b/>
                <w:sz w:val="18"/>
              </w:rPr>
              <w:t>Table</w:t>
            </w:r>
          </w:p>
        </w:tc>
        <w:tc>
          <w:tcPr>
            <w:tcW w:type="dxa" w:w="3600"/>
            <w:shd w:fill="D9EAF7"/>
            <w:vAlign w:val="center"/>
          </w:tcPr>
          <w:p>
            <w:r/>
            <w:r>
              <w:rPr>
                <w:b/>
                <w:sz w:val="18"/>
              </w:rPr>
              <w:t>Purpose</w:t>
            </w:r>
          </w:p>
        </w:tc>
        <w:tc>
          <w:tcPr>
            <w:tcW w:type="dxa" w:w="3888"/>
            <w:shd w:fill="D9EAF7"/>
            <w:vAlign w:val="center"/>
          </w:tcPr>
          <w:p>
            <w:r/>
            <w:r>
              <w:rPr>
                <w:b/>
                <w:sz w:val="18"/>
              </w:rPr>
              <w:t>Key Columns</w:t>
            </w:r>
          </w:p>
        </w:tc>
      </w:tr>
      <w:tr>
        <w:tc>
          <w:tcPr>
            <w:tcW w:type="dxa" w:w="2016"/>
            <w:vAlign w:val="top"/>
          </w:tcPr>
          <w:p>
            <w:r/>
            <w:r>
              <w:rPr>
                <w:b w:val="0"/>
                <w:sz w:val="18"/>
              </w:rPr>
              <w:t>spending_categories</w:t>
            </w:r>
          </w:p>
        </w:tc>
        <w:tc>
          <w:tcPr>
            <w:tcW w:type="dxa" w:w="3600"/>
            <w:vAlign w:val="top"/>
          </w:tcPr>
          <w:p>
            <w:r/>
            <w:r>
              <w:rPr>
                <w:b w:val="0"/>
                <w:sz w:val="18"/>
              </w:rPr>
              <w:t>System and user-defined category taxonomy.</w:t>
            </w:r>
          </w:p>
        </w:tc>
        <w:tc>
          <w:tcPr>
            <w:tcW w:type="dxa" w:w="3888"/>
            <w:vAlign w:val="top"/>
          </w:tcPr>
          <w:p>
            <w:r/>
            <w:r>
              <w:rPr>
                <w:b w:val="0"/>
                <w:sz w:val="18"/>
              </w:rPr>
              <w:t>id, parent_id, code, name, is_system</w:t>
            </w:r>
          </w:p>
        </w:tc>
      </w:tr>
      <w:tr>
        <w:tc>
          <w:tcPr>
            <w:tcW w:type="dxa" w:w="2016"/>
            <w:vAlign w:val="top"/>
          </w:tcPr>
          <w:p>
            <w:r/>
            <w:r>
              <w:rPr>
                <w:b w:val="0"/>
                <w:sz w:val="18"/>
              </w:rPr>
              <w:t>transaction_classifications</w:t>
            </w:r>
          </w:p>
        </w:tc>
        <w:tc>
          <w:tcPr>
            <w:tcW w:type="dxa" w:w="3600"/>
            <w:vAlign w:val="top"/>
          </w:tcPr>
          <w:p>
            <w:r/>
            <w:r>
              <w:rPr>
                <w:b w:val="0"/>
                <w:sz w:val="18"/>
              </w:rPr>
              <w:t>AI/user classification results for transactions and receipts.</w:t>
            </w:r>
          </w:p>
        </w:tc>
        <w:tc>
          <w:tcPr>
            <w:tcW w:type="dxa" w:w="3888"/>
            <w:vAlign w:val="top"/>
          </w:tcPr>
          <w:p>
            <w:r/>
            <w:r>
              <w:rPr>
                <w:b w:val="0"/>
                <w:sz w:val="18"/>
              </w:rPr>
              <w:t>id, transaction_id, category_id, confidence, source, model_version, created_at</w:t>
            </w:r>
          </w:p>
        </w:tc>
      </w:tr>
      <w:tr>
        <w:tc>
          <w:tcPr>
            <w:tcW w:type="dxa" w:w="2016"/>
            <w:vAlign w:val="top"/>
          </w:tcPr>
          <w:p>
            <w:r/>
            <w:r>
              <w:rPr>
                <w:b w:val="0"/>
                <w:sz w:val="18"/>
              </w:rPr>
              <w:t>ai_insights</w:t>
            </w:r>
          </w:p>
        </w:tc>
        <w:tc>
          <w:tcPr>
            <w:tcW w:type="dxa" w:w="3600"/>
            <w:vAlign w:val="top"/>
          </w:tcPr>
          <w:p>
            <w:r/>
            <w:r>
              <w:rPr>
                <w:b w:val="0"/>
                <w:sz w:val="18"/>
              </w:rPr>
              <w:t>Generated insights shown to users.</w:t>
            </w:r>
          </w:p>
        </w:tc>
        <w:tc>
          <w:tcPr>
            <w:tcW w:type="dxa" w:w="3888"/>
            <w:vAlign w:val="top"/>
          </w:tcPr>
          <w:p>
            <w:r/>
            <w:r>
              <w:rPr>
                <w:b w:val="0"/>
                <w:sz w:val="18"/>
              </w:rPr>
              <w:t>id, user_id, insight_type, summary, payload_json, status, generated_at</w:t>
            </w:r>
          </w:p>
        </w:tc>
      </w:tr>
      <w:tr>
        <w:tc>
          <w:tcPr>
            <w:tcW w:type="dxa" w:w="2016"/>
            <w:vAlign w:val="top"/>
          </w:tcPr>
          <w:p>
            <w:r/>
            <w:r>
              <w:rPr>
                <w:b w:val="0"/>
                <w:sz w:val="18"/>
              </w:rPr>
              <w:t>budgets</w:t>
            </w:r>
          </w:p>
        </w:tc>
        <w:tc>
          <w:tcPr>
            <w:tcW w:type="dxa" w:w="3600"/>
            <w:vAlign w:val="top"/>
          </w:tcPr>
          <w:p>
            <w:r/>
            <w:r>
              <w:rPr>
                <w:b w:val="0"/>
                <w:sz w:val="18"/>
              </w:rPr>
              <w:t>User or group budgets.</w:t>
            </w:r>
          </w:p>
        </w:tc>
        <w:tc>
          <w:tcPr>
            <w:tcW w:type="dxa" w:w="3888"/>
            <w:vAlign w:val="top"/>
          </w:tcPr>
          <w:p>
            <w:r/>
            <w:r>
              <w:rPr>
                <w:b w:val="0"/>
                <w:sz w:val="18"/>
              </w:rPr>
              <w:t>id, owner_type, owner_id, category_id, amount, period, status</w:t>
            </w:r>
          </w:p>
        </w:tc>
      </w:tr>
      <w:tr>
        <w:tc>
          <w:tcPr>
            <w:tcW w:type="dxa" w:w="2016"/>
            <w:vAlign w:val="top"/>
          </w:tcPr>
          <w:p>
            <w:r/>
            <w:r>
              <w:rPr>
                <w:b w:val="0"/>
                <w:sz w:val="18"/>
              </w:rPr>
              <w:t>domain_events</w:t>
            </w:r>
          </w:p>
        </w:tc>
        <w:tc>
          <w:tcPr>
            <w:tcW w:type="dxa" w:w="3600"/>
            <w:vAlign w:val="top"/>
          </w:tcPr>
          <w:p>
            <w:r/>
            <w:r>
              <w:rPr>
                <w:b w:val="0"/>
                <w:sz w:val="18"/>
              </w:rPr>
              <w:t>Internal event log/outbox for event-driven workflows.</w:t>
            </w:r>
          </w:p>
        </w:tc>
        <w:tc>
          <w:tcPr>
            <w:tcW w:type="dxa" w:w="3888"/>
            <w:vAlign w:val="top"/>
          </w:tcPr>
          <w:p>
            <w:r/>
            <w:r>
              <w:rPr>
                <w:b w:val="0"/>
                <w:sz w:val="18"/>
              </w:rPr>
              <w:t>id, aggregate_type, aggregate_id, event_type, payload_json, occurred_at, published_at</w:t>
            </w:r>
          </w:p>
        </w:tc>
      </w:tr>
      <w:tr>
        <w:tc>
          <w:tcPr>
            <w:tcW w:type="dxa" w:w="2016"/>
            <w:vAlign w:val="top"/>
          </w:tcPr>
          <w:p>
            <w:r/>
            <w:r>
              <w:rPr>
                <w:b w:val="0"/>
                <w:sz w:val="18"/>
              </w:rPr>
              <w:t>audit_logs</w:t>
            </w:r>
          </w:p>
        </w:tc>
        <w:tc>
          <w:tcPr>
            <w:tcW w:type="dxa" w:w="3600"/>
            <w:vAlign w:val="top"/>
          </w:tcPr>
          <w:p>
            <w:r/>
            <w:r>
              <w:rPr>
                <w:b w:val="0"/>
                <w:sz w:val="18"/>
              </w:rPr>
              <w:t>Tamper-evident audit trail.</w:t>
            </w:r>
          </w:p>
        </w:tc>
        <w:tc>
          <w:tcPr>
            <w:tcW w:type="dxa" w:w="3888"/>
            <w:vAlign w:val="top"/>
          </w:tcPr>
          <w:p>
            <w:r/>
            <w:r>
              <w:rPr>
                <w:b w:val="0"/>
                <w:sz w:val="18"/>
              </w:rPr>
              <w:t>id, actor_type, actor_id, action, entity_type, entity_id, metadata_hash, occurred_at</w:t>
            </w:r>
          </w:p>
        </w:tc>
      </w:tr>
      <w:tr>
        <w:tc>
          <w:tcPr>
            <w:tcW w:type="dxa" w:w="2016"/>
            <w:vAlign w:val="top"/>
          </w:tcPr>
          <w:p>
            <w:r/>
            <w:r>
              <w:rPr>
                <w:b w:val="0"/>
                <w:sz w:val="18"/>
              </w:rPr>
              <w:t>fraud_alerts</w:t>
            </w:r>
          </w:p>
        </w:tc>
        <w:tc>
          <w:tcPr>
            <w:tcW w:type="dxa" w:w="3600"/>
            <w:vAlign w:val="top"/>
          </w:tcPr>
          <w:p>
            <w:r/>
            <w:r>
              <w:rPr>
                <w:b w:val="0"/>
                <w:sz w:val="18"/>
              </w:rPr>
              <w:t>Fraud/risk signals and operational case linkage.</w:t>
            </w:r>
          </w:p>
        </w:tc>
        <w:tc>
          <w:tcPr>
            <w:tcW w:type="dxa" w:w="3888"/>
            <w:vAlign w:val="top"/>
          </w:tcPr>
          <w:p>
            <w:r/>
            <w:r>
              <w:rPr>
                <w:b w:val="0"/>
                <w:sz w:val="18"/>
              </w:rPr>
              <w:t>id, user_id, transaction_id, alert_type, severity, status, assigned_to, created_at</w:t>
            </w:r>
          </w:p>
        </w:tc>
      </w:tr>
      <w:tr>
        <w:tc>
          <w:tcPr>
            <w:tcW w:type="dxa" w:w="2016"/>
            <w:vAlign w:val="top"/>
          </w:tcPr>
          <w:p>
            <w:r/>
            <w:r>
              <w:rPr>
                <w:b w:val="0"/>
                <w:sz w:val="18"/>
              </w:rPr>
              <w:t>support_cases</w:t>
            </w:r>
          </w:p>
        </w:tc>
        <w:tc>
          <w:tcPr>
            <w:tcW w:type="dxa" w:w="3600"/>
            <w:vAlign w:val="top"/>
          </w:tcPr>
          <w:p>
            <w:r/>
            <w:r>
              <w:rPr>
                <w:b w:val="0"/>
                <w:sz w:val="18"/>
              </w:rPr>
              <w:t>Customer support and operations workflow.</w:t>
            </w:r>
          </w:p>
        </w:tc>
        <w:tc>
          <w:tcPr>
            <w:tcW w:type="dxa" w:w="3888"/>
            <w:vAlign w:val="top"/>
          </w:tcPr>
          <w:p>
            <w:r/>
            <w:r>
              <w:rPr>
                <w:b w:val="0"/>
                <w:sz w:val="18"/>
              </w:rPr>
              <w:t>id, user_id, merchant_id, case_type, status, priority, created_at</w:t>
            </w:r>
          </w:p>
        </w:tc>
      </w:tr>
      <w:tr>
        <w:tc>
          <w:tcPr>
            <w:tcW w:type="dxa" w:w="2016"/>
            <w:vAlign w:val="top"/>
          </w:tcPr>
          <w:p>
            <w:r/>
            <w:r>
              <w:rPr>
                <w:b w:val="0"/>
                <w:sz w:val="18"/>
              </w:rPr>
              <w:t>feature_flags</w:t>
            </w:r>
          </w:p>
        </w:tc>
        <w:tc>
          <w:tcPr>
            <w:tcW w:type="dxa" w:w="3600"/>
            <w:vAlign w:val="top"/>
          </w:tcPr>
          <w:p>
            <w:r/>
            <w:r>
              <w:rPr>
                <w:b w:val="0"/>
                <w:sz w:val="18"/>
              </w:rPr>
              <w:t>Progressive rollout flags.</w:t>
            </w:r>
          </w:p>
        </w:tc>
        <w:tc>
          <w:tcPr>
            <w:tcW w:type="dxa" w:w="3888"/>
            <w:vAlign w:val="top"/>
          </w:tcPr>
          <w:p>
            <w:r/>
            <w:r>
              <w:rPr>
                <w:b w:val="0"/>
                <w:sz w:val="18"/>
              </w:rPr>
              <w:t>id, key, description, enabled, targeting_rules_json, updated_at</w:t>
            </w:r>
          </w:p>
        </w:tc>
      </w:tr>
    </w:tbl>
    <w:p>
      <w:pPr>
        <w:pStyle w:val="Heading1"/>
      </w:pPr>
      <w:r>
        <w:t>6. Payment and Ledger Model</w:t>
      </w:r>
    </w:p>
    <w:p>
      <w:r>
        <w:t>Aurora should treat the payment provider as the regulated system of execution and settlement during MVP. Aurora still needs a robust internal model to reconcile user-visible state, provider callbacks, support investigations and analytics.</w:t>
      </w:r>
    </w:p>
    <w:p>
      <w:pPr>
        <w:jc w:val="center"/>
      </w:pPr>
      <w:r>
        <w:drawing>
          <wp:inline xmlns:a="http://schemas.openxmlformats.org/drawingml/2006/main" xmlns:pic="http://schemas.openxmlformats.org/drawingml/2006/picture">
            <wp:extent cx="5486400" cy="2390899"/>
            <wp:docPr id="3" name="Picture 3"/>
            <wp:cNvGraphicFramePr>
              <a:graphicFrameLocks noChangeAspect="1"/>
            </wp:cNvGraphicFramePr>
            <a:graphic>
              <a:graphicData uri="http://schemas.openxmlformats.org/drawingml/2006/picture">
                <pic:pic>
                  <pic:nvPicPr>
                    <pic:cNvPr id="0" name="ledger_flow.png"/>
                    <pic:cNvPicPr/>
                  </pic:nvPicPr>
                  <pic:blipFill>
                    <a:blip r:embed="rId11"/>
                    <a:stretch>
                      <a:fillRect/>
                    </a:stretch>
                  </pic:blipFill>
                  <pic:spPr>
                    <a:xfrm>
                      <a:off x="0" y="0"/>
                      <a:ext cx="5486400" cy="2390899"/>
                    </a:xfrm>
                    <a:prstGeom prst="rect"/>
                  </pic:spPr>
                </pic:pic>
              </a:graphicData>
            </a:graphic>
          </wp:inline>
        </w:drawing>
      </w:r>
    </w:p>
    <w:p>
      <w:r>
        <w:t>Recommended transaction states: CREATED, PENDING_USER_ACTION, SUBMITTED_TO_PROVIDER, PROCESSING, COMPLETED, FAILED, CANCELLED, REFUNDED, DISPUTED. All transitions should be inserted into transaction_status_history and important transitions should produce domain_events.</w:t>
      </w:r>
    </w:p>
    <w:p>
      <w:pPr/>
      <w:r>
        <w:rPr>
          <w:rFonts w:ascii="Courier New" w:hAnsi="Courier New" w:eastAsia="Courier New"/>
          <w:sz w:val="16"/>
        </w:rPr>
        <w:t>transactions</w:t>
        <w:br/>
        <w:t>- id uuid primary key</w:t>
        <w:br/>
        <w:t>- type text check in ('P2P','REQUEST_PAYMENT','MERCHANT_QR','EXPENSE_SETTLEMENT','REFUND')</w:t>
        <w:br/>
        <w:t>- sender_user_id uuid null references users(id)</w:t>
        <w:br/>
        <w:t>- receiver_user_id uuid null references users(id)</w:t>
        <w:br/>
        <w:t>- merchant_id uuid null references merchants(id)</w:t>
        <w:br/>
        <w:t>- amount numeric(18,2) not null check (amount &gt; 0)</w:t>
        <w:br/>
        <w:t>- currency char(3) not null default 'AUD'</w:t>
        <w:br/>
        <w:t>- status text not null</w:t>
        <w:br/>
        <w:t>- provider text null</w:t>
        <w:br/>
        <w:t>- provider_ref text null</w:t>
        <w:br/>
        <w:t>- idempotency_key text not null unique</w:t>
        <w:br/>
        <w:t>- created_at timestamptz not null</w:t>
        <w:br/>
        <w:t>- updated_at timestamptz not null</w:t>
      </w:r>
    </w:p>
    <w:p>
      <w:r>
        <w:t>The ledger_entries table is not a replacement for a regulated settlement ledger. In MVP, it is an internal accounting mirror to support reconciliation, analytics and incident investigation. If Aurora later holds stored value, this table must be redesigned with financial accounting, safeguarding and regulatory input.</w:t>
      </w:r>
    </w:p>
    <w:p>
      <w:pPr>
        <w:pStyle w:val="Heading1"/>
      </w:pPr>
      <w:r>
        <w:t>7. Key Table Definitions</w:t>
      </w:r>
    </w:p>
    <w:p>
      <w:r>
        <w:t>The following table definitions are representative physical designs for the most important MVP tables. Engineering should convert these into migrations using the selected migration framework.</w:t>
      </w:r>
    </w:p>
    <w:p>
      <w:pPr>
        <w:pStyle w:val="Heading3"/>
      </w:pPr>
      <w:r>
        <w:t>users</w:t>
      </w:r>
    </w:p>
    <w:p>
      <w:pPr/>
      <w:r>
        <w:rPr>
          <w:rFonts w:ascii="Courier New" w:hAnsi="Courier New" w:eastAsia="Courier New"/>
          <w:sz w:val="16"/>
        </w:rPr>
        <w:t>id uuid primary key</w:t>
        <w:br/>
        <w:t>email citext unique null</w:t>
        <w:br/>
        <w:t>phone_e164 text unique null</w:t>
        <w:br/>
        <w:t>password_hash_ref text null</w:t>
        <w:br/>
        <w:t>status text not null default 'PENDING'</w:t>
        <w:br/>
        <w:t>risk_level text not null default 'NORMAL'</w:t>
        <w:br/>
        <w:t>created_at timestamptz not null default now()</w:t>
        <w:br/>
        <w:t>updated_at timestamptz not null default now()</w:t>
        <w:br/>
        <w:t>deleted_at timestamptz null</w:t>
      </w:r>
    </w:p>
    <w:p>
      <w:pPr>
        <w:pStyle w:val="Heading3"/>
      </w:pPr>
      <w:r>
        <w:t>kyc_cases</w:t>
      </w:r>
    </w:p>
    <w:p>
      <w:pPr/>
      <w:r>
        <w:rPr>
          <w:rFonts w:ascii="Courier New" w:hAnsi="Courier New" w:eastAsia="Courier New"/>
          <w:sz w:val="16"/>
        </w:rPr>
        <w:t>id uuid primary key</w:t>
        <w:br/>
        <w:t>user_id uuid not null references users(id)</w:t>
        <w:br/>
        <w:t>provider text not null</w:t>
        <w:br/>
        <w:t>provider_case_ref text null</w:t>
        <w:br/>
        <w:t>status text not null</w:t>
        <w:br/>
        <w:t>verification_level text not null default 'BASIC'</w:t>
        <w:br/>
        <w:t>reviewed_by uuid null references users(id)</w:t>
        <w:br/>
        <w:t>completed_at timestamptz null</w:t>
        <w:br/>
        <w:t>created_at timestamptz not null default now()</w:t>
        <w:br/>
        <w:t>updated_at timestamptz not null default now()</w:t>
      </w:r>
    </w:p>
    <w:p>
      <w:pPr>
        <w:pStyle w:val="Heading3"/>
      </w:pPr>
      <w:r>
        <w:t>payment_requests</w:t>
      </w:r>
    </w:p>
    <w:p>
      <w:pPr/>
      <w:r>
        <w:rPr>
          <w:rFonts w:ascii="Courier New" w:hAnsi="Courier New" w:eastAsia="Courier New"/>
          <w:sz w:val="16"/>
        </w:rPr>
        <w:t>id uuid primary key</w:t>
        <w:br/>
        <w:t>requester_user_id uuid not null references users(id)</w:t>
        <w:br/>
        <w:t>payer_user_id uuid null references users(id)</w:t>
        <w:br/>
        <w:t>group_id uuid null references groups(id)</w:t>
        <w:br/>
        <w:t>amount numeric(18,2) not null check (amount &gt; 0)</w:t>
        <w:br/>
        <w:t>currency char(3) not null default 'AUD'</w:t>
        <w:br/>
        <w:t>note text null</w:t>
        <w:br/>
        <w:t>due_at timestamptz null</w:t>
        <w:br/>
        <w:t>status text not null default 'PENDING'</w:t>
        <w:br/>
        <w:t>created_at timestamptz not null default now()</w:t>
        <w:br/>
        <w:t>updated_at timestamptz not null default now()</w:t>
      </w:r>
    </w:p>
    <w:p>
      <w:pPr>
        <w:pStyle w:val="Heading3"/>
      </w:pPr>
      <w:r>
        <w:t>expenses</w:t>
      </w:r>
    </w:p>
    <w:p>
      <w:pPr/>
      <w:r>
        <w:rPr>
          <w:rFonts w:ascii="Courier New" w:hAnsi="Courier New" w:eastAsia="Courier New"/>
          <w:sz w:val="16"/>
        </w:rPr>
        <w:t>id uuid primary key</w:t>
        <w:br/>
        <w:t>group_id uuid null references groups(id)</w:t>
        <w:br/>
        <w:t>paid_by_user_id uuid not null references users(id)</w:t>
        <w:br/>
        <w:t>merchant_id uuid null references merchants(id)</w:t>
        <w:br/>
        <w:t>title text not null</w:t>
        <w:br/>
        <w:t>amount numeric(18,2) not null check (amount &gt; 0)</w:t>
        <w:br/>
        <w:t>currency char(3) not null default 'AUD'</w:t>
        <w:br/>
        <w:t>expense_date date not null</w:t>
        <w:br/>
        <w:t>status text not null default 'OPEN'</w:t>
        <w:br/>
        <w:t>created_at timestamptz not null default now()</w:t>
        <w:br/>
        <w:t>updated_at timestamptz not null default now()</w:t>
      </w:r>
    </w:p>
    <w:p>
      <w:pPr>
        <w:pStyle w:val="Heading3"/>
      </w:pPr>
      <w:r>
        <w:t>expense_splits</w:t>
      </w:r>
    </w:p>
    <w:p>
      <w:pPr/>
      <w:r>
        <w:rPr>
          <w:rFonts w:ascii="Courier New" w:hAnsi="Courier New" w:eastAsia="Courier New"/>
          <w:sz w:val="16"/>
        </w:rPr>
        <w:t>id uuid primary key</w:t>
        <w:br/>
        <w:t>expense_id uuid not null references expenses(id)</w:t>
        <w:br/>
        <w:t>user_id uuid not null references users(id)</w:t>
        <w:br/>
        <w:t>split_type text not null default 'EQUAL'</w:t>
        <w:br/>
        <w:t>amount_owed numeric(18,2) not null check (amount_owed &gt;= 0)</w:t>
        <w:br/>
        <w:t>percentage numeric(5,2) null</w:t>
        <w:br/>
        <w:t>status text not null default 'OWING'</w:t>
        <w:br/>
        <w:t>created_at timestamptz not null default now()</w:t>
        <w:br/>
        <w:t>unique(expense_id, user_id)</w:t>
      </w:r>
    </w:p>
    <w:p>
      <w:pPr>
        <w:pStyle w:val="Heading3"/>
      </w:pPr>
      <w:r>
        <w:t>audit_logs</w:t>
      </w:r>
    </w:p>
    <w:p>
      <w:pPr/>
      <w:r>
        <w:rPr>
          <w:rFonts w:ascii="Courier New" w:hAnsi="Courier New" w:eastAsia="Courier New"/>
          <w:sz w:val="16"/>
        </w:rPr>
        <w:t>id uuid primary key</w:t>
        <w:br/>
        <w:t>actor_type text not null</w:t>
        <w:br/>
        <w:t>actor_id uuid null</w:t>
        <w:br/>
        <w:t>action text not null</w:t>
        <w:br/>
        <w:t>entity_type text not null</w:t>
        <w:br/>
        <w:t>entity_id uuid null</w:t>
        <w:br/>
        <w:t>metadata_hash text null</w:t>
        <w:br/>
        <w:t>ip_hash text null</w:t>
        <w:br/>
        <w:t>occurred_at timestamptz not null default now()</w:t>
      </w:r>
    </w:p>
    <w:p>
      <w:pPr>
        <w:pStyle w:val="Heading3"/>
      </w:pPr>
      <w:r>
        <w:t>domain_events</w:t>
      </w:r>
    </w:p>
    <w:p>
      <w:pPr/>
      <w:r>
        <w:rPr>
          <w:rFonts w:ascii="Courier New" w:hAnsi="Courier New" w:eastAsia="Courier New"/>
          <w:sz w:val="16"/>
        </w:rPr>
        <w:t>id uuid primary key</w:t>
        <w:br/>
        <w:t>aggregate_type text not null</w:t>
        <w:br/>
        <w:t>aggregate_id uuid not null</w:t>
        <w:br/>
        <w:t>event_type text not null</w:t>
        <w:br/>
        <w:t>payload_json jsonb not null</w:t>
        <w:br/>
        <w:t>occurred_at timestamptz not null default now()</w:t>
        <w:br/>
        <w:t>published_at timestamptz null</w:t>
        <w:br/>
        <w:t xml:space="preserve">processing_status text not null default 'PENDING' </w:t>
      </w:r>
    </w:p>
    <w:p>
      <w:pPr>
        <w:pStyle w:val="Heading1"/>
      </w:pPr>
      <w:r>
        <w:t>8. Indexing and Performance Strategy</w:t>
      </w:r>
    </w:p>
    <w:p>
      <w:r>
        <w:t>Indexes should be based on actual query paths, but the following indexes are recommended for MVP. Transaction, audit and event tables should be partition-ready from day one even if physical partitioning starts after initial launch.</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D9EAF7"/>
            <w:vAlign w:val="center"/>
          </w:tcPr>
          <w:p>
            <w:r/>
            <w:r>
              <w:rPr>
                <w:b/>
                <w:sz w:val="18"/>
              </w:rPr>
              <w:t>Table(s)</w:t>
            </w:r>
          </w:p>
        </w:tc>
        <w:tc>
          <w:tcPr>
            <w:tcW w:type="dxa" w:w="3456"/>
            <w:shd w:fill="D9EAF7"/>
            <w:vAlign w:val="center"/>
          </w:tcPr>
          <w:p>
            <w:r/>
            <w:r>
              <w:rPr>
                <w:b/>
                <w:sz w:val="18"/>
              </w:rPr>
              <w:t>Recommended Index</w:t>
            </w:r>
          </w:p>
        </w:tc>
        <w:tc>
          <w:tcPr>
            <w:tcW w:type="dxa" w:w="3744"/>
            <w:shd w:fill="D9EAF7"/>
            <w:vAlign w:val="center"/>
          </w:tcPr>
          <w:p>
            <w:r/>
            <w:r>
              <w:rPr>
                <w:b/>
                <w:sz w:val="18"/>
              </w:rPr>
              <w:t>Purpose</w:t>
            </w:r>
          </w:p>
        </w:tc>
      </w:tr>
      <w:tr>
        <w:tc>
          <w:tcPr>
            <w:tcW w:type="dxa" w:w="2304"/>
            <w:vAlign w:val="top"/>
          </w:tcPr>
          <w:p>
            <w:r/>
            <w:r>
              <w:rPr>
                <w:b w:val="0"/>
                <w:sz w:val="18"/>
              </w:rPr>
              <w:t>users</w:t>
            </w:r>
          </w:p>
        </w:tc>
        <w:tc>
          <w:tcPr>
            <w:tcW w:type="dxa" w:w="3456"/>
            <w:vAlign w:val="top"/>
          </w:tcPr>
          <w:p>
            <w:r/>
            <w:r>
              <w:rPr>
                <w:b w:val="0"/>
                <w:sz w:val="18"/>
              </w:rPr>
              <w:t>unique lower(email), unique phone_e164 where not null</w:t>
            </w:r>
          </w:p>
        </w:tc>
        <w:tc>
          <w:tcPr>
            <w:tcW w:type="dxa" w:w="3744"/>
            <w:vAlign w:val="top"/>
          </w:tcPr>
          <w:p>
            <w:r/>
            <w:r>
              <w:rPr>
                <w:b w:val="0"/>
                <w:sz w:val="18"/>
              </w:rPr>
              <w:t>Login, duplicate prevention</w:t>
            </w:r>
          </w:p>
        </w:tc>
      </w:tr>
      <w:tr>
        <w:tc>
          <w:tcPr>
            <w:tcW w:type="dxa" w:w="2304"/>
            <w:vAlign w:val="top"/>
          </w:tcPr>
          <w:p>
            <w:r/>
            <w:r>
              <w:rPr>
                <w:b w:val="0"/>
                <w:sz w:val="18"/>
              </w:rPr>
              <w:t>sessions</w:t>
            </w:r>
          </w:p>
        </w:tc>
        <w:tc>
          <w:tcPr>
            <w:tcW w:type="dxa" w:w="3456"/>
            <w:vAlign w:val="top"/>
          </w:tcPr>
          <w:p>
            <w:r/>
            <w:r>
              <w:rPr>
                <w:b w:val="0"/>
                <w:sz w:val="18"/>
              </w:rPr>
              <w:t>user_id, device_id, expires_at; refresh_token_hash unique</w:t>
            </w:r>
          </w:p>
        </w:tc>
        <w:tc>
          <w:tcPr>
            <w:tcW w:type="dxa" w:w="3744"/>
            <w:vAlign w:val="top"/>
          </w:tcPr>
          <w:p>
            <w:r/>
            <w:r>
              <w:rPr>
                <w:b w:val="0"/>
                <w:sz w:val="18"/>
              </w:rPr>
              <w:t>Session validation and revocation</w:t>
            </w:r>
          </w:p>
        </w:tc>
      </w:tr>
      <w:tr>
        <w:tc>
          <w:tcPr>
            <w:tcW w:type="dxa" w:w="2304"/>
            <w:vAlign w:val="top"/>
          </w:tcPr>
          <w:p>
            <w:r/>
            <w:r>
              <w:rPr>
                <w:b w:val="0"/>
                <w:sz w:val="18"/>
              </w:rPr>
              <w:t>transactions</w:t>
            </w:r>
          </w:p>
        </w:tc>
        <w:tc>
          <w:tcPr>
            <w:tcW w:type="dxa" w:w="3456"/>
            <w:vAlign w:val="top"/>
          </w:tcPr>
          <w:p>
            <w:r/>
            <w:r>
              <w:rPr>
                <w:b w:val="0"/>
                <w:sz w:val="18"/>
              </w:rPr>
              <w:t>idempotency_key unique; sender_user_id created_at; receiver_user_id created_at; provider_ref</w:t>
            </w:r>
          </w:p>
        </w:tc>
        <w:tc>
          <w:tcPr>
            <w:tcW w:type="dxa" w:w="3744"/>
            <w:vAlign w:val="top"/>
          </w:tcPr>
          <w:p>
            <w:r/>
            <w:r>
              <w:rPr>
                <w:b w:val="0"/>
                <w:sz w:val="18"/>
              </w:rPr>
              <w:t>Idempotency, history, provider reconciliation</w:t>
            </w:r>
          </w:p>
        </w:tc>
      </w:tr>
      <w:tr>
        <w:tc>
          <w:tcPr>
            <w:tcW w:type="dxa" w:w="2304"/>
            <w:vAlign w:val="top"/>
          </w:tcPr>
          <w:p>
            <w:r/>
            <w:r>
              <w:rPr>
                <w:b w:val="0"/>
                <w:sz w:val="18"/>
              </w:rPr>
              <w:t>payment_provider_events</w:t>
            </w:r>
          </w:p>
        </w:tc>
        <w:tc>
          <w:tcPr>
            <w:tcW w:type="dxa" w:w="3456"/>
            <w:vAlign w:val="top"/>
          </w:tcPr>
          <w:p>
            <w:r/>
            <w:r>
              <w:rPr>
                <w:b w:val="0"/>
                <w:sz w:val="18"/>
              </w:rPr>
              <w:t>unique provider + provider_event_id; status received_at</w:t>
            </w:r>
          </w:p>
        </w:tc>
        <w:tc>
          <w:tcPr>
            <w:tcW w:type="dxa" w:w="3744"/>
            <w:vAlign w:val="top"/>
          </w:tcPr>
          <w:p>
            <w:r/>
            <w:r>
              <w:rPr>
                <w:b w:val="0"/>
                <w:sz w:val="18"/>
              </w:rPr>
              <w:t>Webhook de-duplication and processing</w:t>
            </w:r>
          </w:p>
        </w:tc>
      </w:tr>
      <w:tr>
        <w:tc>
          <w:tcPr>
            <w:tcW w:type="dxa" w:w="2304"/>
            <w:vAlign w:val="top"/>
          </w:tcPr>
          <w:p>
            <w:r/>
            <w:r>
              <w:rPr>
                <w:b w:val="0"/>
                <w:sz w:val="18"/>
              </w:rPr>
              <w:t>ledger_entries</w:t>
            </w:r>
          </w:p>
        </w:tc>
        <w:tc>
          <w:tcPr>
            <w:tcW w:type="dxa" w:w="3456"/>
            <w:vAlign w:val="top"/>
          </w:tcPr>
          <w:p>
            <w:r/>
            <w:r>
              <w:rPr>
                <w:b w:val="0"/>
                <w:sz w:val="18"/>
              </w:rPr>
              <w:t>transaction_id; account_code posted_at</w:t>
            </w:r>
          </w:p>
        </w:tc>
        <w:tc>
          <w:tcPr>
            <w:tcW w:type="dxa" w:w="3744"/>
            <w:vAlign w:val="top"/>
          </w:tcPr>
          <w:p>
            <w:r/>
            <w:r>
              <w:rPr>
                <w:b w:val="0"/>
                <w:sz w:val="18"/>
              </w:rPr>
              <w:t>Reconciliation and accounting reports</w:t>
            </w:r>
          </w:p>
        </w:tc>
      </w:tr>
      <w:tr>
        <w:tc>
          <w:tcPr>
            <w:tcW w:type="dxa" w:w="2304"/>
            <w:vAlign w:val="top"/>
          </w:tcPr>
          <w:p>
            <w:r/>
            <w:r>
              <w:rPr>
                <w:b w:val="0"/>
                <w:sz w:val="18"/>
              </w:rPr>
              <w:t>groups/group_members</w:t>
            </w:r>
          </w:p>
        </w:tc>
        <w:tc>
          <w:tcPr>
            <w:tcW w:type="dxa" w:w="3456"/>
            <w:vAlign w:val="top"/>
          </w:tcPr>
          <w:p>
            <w:r/>
            <w:r>
              <w:rPr>
                <w:b w:val="0"/>
                <w:sz w:val="18"/>
              </w:rPr>
              <w:t>group_id status; unique group_id + user_id</w:t>
            </w:r>
          </w:p>
        </w:tc>
        <w:tc>
          <w:tcPr>
            <w:tcW w:type="dxa" w:w="3744"/>
            <w:vAlign w:val="top"/>
          </w:tcPr>
          <w:p>
            <w:r/>
            <w:r>
              <w:rPr>
                <w:b w:val="0"/>
                <w:sz w:val="18"/>
              </w:rPr>
              <w:t>Membership lookup</w:t>
            </w:r>
          </w:p>
        </w:tc>
      </w:tr>
      <w:tr>
        <w:tc>
          <w:tcPr>
            <w:tcW w:type="dxa" w:w="2304"/>
            <w:vAlign w:val="top"/>
          </w:tcPr>
          <w:p>
            <w:r/>
            <w:r>
              <w:rPr>
                <w:b w:val="0"/>
                <w:sz w:val="18"/>
              </w:rPr>
              <w:t>expenses/expense_splits</w:t>
            </w:r>
          </w:p>
        </w:tc>
        <w:tc>
          <w:tcPr>
            <w:tcW w:type="dxa" w:w="3456"/>
            <w:vAlign w:val="top"/>
          </w:tcPr>
          <w:p>
            <w:r/>
            <w:r>
              <w:rPr>
                <w:b w:val="0"/>
                <w:sz w:val="18"/>
              </w:rPr>
              <w:t>group_id expense_date; expense_id; user_id status</w:t>
            </w:r>
          </w:p>
        </w:tc>
        <w:tc>
          <w:tcPr>
            <w:tcW w:type="dxa" w:w="3744"/>
            <w:vAlign w:val="top"/>
          </w:tcPr>
          <w:p>
            <w:r/>
            <w:r>
              <w:rPr>
                <w:b w:val="0"/>
                <w:sz w:val="18"/>
              </w:rPr>
              <w:t>Group balances and reminders</w:t>
            </w:r>
          </w:p>
        </w:tc>
      </w:tr>
      <w:tr>
        <w:tc>
          <w:tcPr>
            <w:tcW w:type="dxa" w:w="2304"/>
            <w:vAlign w:val="top"/>
          </w:tcPr>
          <w:p>
            <w:r/>
            <w:r>
              <w:rPr>
                <w:b w:val="0"/>
                <w:sz w:val="18"/>
              </w:rPr>
              <w:t>merchants/stores</w:t>
            </w:r>
          </w:p>
        </w:tc>
        <w:tc>
          <w:tcPr>
            <w:tcW w:type="dxa" w:w="3456"/>
            <w:vAlign w:val="top"/>
          </w:tcPr>
          <w:p>
            <w:r/>
            <w:r>
              <w:rPr>
                <w:b w:val="0"/>
                <w:sz w:val="18"/>
              </w:rPr>
              <w:t>merchant status; merchant_id status</w:t>
            </w:r>
          </w:p>
        </w:tc>
        <w:tc>
          <w:tcPr>
            <w:tcW w:type="dxa" w:w="3744"/>
            <w:vAlign w:val="top"/>
          </w:tcPr>
          <w:p>
            <w:r/>
            <w:r>
              <w:rPr>
                <w:b w:val="0"/>
                <w:sz w:val="18"/>
              </w:rPr>
              <w:t>Merchant dashboard queries</w:t>
            </w:r>
          </w:p>
        </w:tc>
      </w:tr>
      <w:tr>
        <w:tc>
          <w:tcPr>
            <w:tcW w:type="dxa" w:w="2304"/>
            <w:vAlign w:val="top"/>
          </w:tcPr>
          <w:p>
            <w:r/>
            <w:r>
              <w:rPr>
                <w:b w:val="0"/>
                <w:sz w:val="18"/>
              </w:rPr>
              <w:t>audit_logs/domain_events</w:t>
            </w:r>
          </w:p>
        </w:tc>
        <w:tc>
          <w:tcPr>
            <w:tcW w:type="dxa" w:w="3456"/>
            <w:vAlign w:val="top"/>
          </w:tcPr>
          <w:p>
            <w:r/>
            <w:r>
              <w:rPr>
                <w:b w:val="0"/>
                <w:sz w:val="18"/>
              </w:rPr>
              <w:t>occurred_at BRIN/partition key; entity_type + entity_id</w:t>
            </w:r>
          </w:p>
        </w:tc>
        <w:tc>
          <w:tcPr>
            <w:tcW w:type="dxa" w:w="3744"/>
            <w:vAlign w:val="top"/>
          </w:tcPr>
          <w:p>
            <w:r/>
            <w:r>
              <w:rPr>
                <w:b w:val="0"/>
                <w:sz w:val="18"/>
              </w:rPr>
              <w:t>Investigation and event processing</w:t>
            </w:r>
          </w:p>
        </w:tc>
      </w:tr>
    </w:tbl>
    <w:p>
      <w:pPr>
        <w:jc w:val="center"/>
      </w:pPr>
      <w:r>
        <w:drawing>
          <wp:inline xmlns:a="http://schemas.openxmlformats.org/drawingml/2006/main" xmlns:pic="http://schemas.openxmlformats.org/drawingml/2006/picture">
            <wp:extent cx="5212080" cy="580171"/>
            <wp:docPr id="4" name="Picture 4"/>
            <wp:cNvGraphicFramePr>
              <a:graphicFrameLocks noChangeAspect="1"/>
            </wp:cNvGraphicFramePr>
            <a:graphic>
              <a:graphicData uri="http://schemas.openxmlformats.org/drawingml/2006/picture">
                <pic:pic>
                  <pic:nvPicPr>
                    <pic:cNvPr id="0" name="partitioning.png"/>
                    <pic:cNvPicPr/>
                  </pic:nvPicPr>
                  <pic:blipFill>
                    <a:blip r:embed="rId12"/>
                    <a:stretch>
                      <a:fillRect/>
                    </a:stretch>
                  </pic:blipFill>
                  <pic:spPr>
                    <a:xfrm>
                      <a:off x="0" y="0"/>
                      <a:ext cx="5212080" cy="580171"/>
                    </a:xfrm>
                    <a:prstGeom prst="rect"/>
                  </pic:spPr>
                </pic:pic>
              </a:graphicData>
            </a:graphic>
          </wp:inline>
        </w:drawing>
      </w:r>
    </w:p>
    <w:p>
      <w:pPr>
        <w:pStyle w:val="Heading1"/>
      </w:pPr>
      <w:r>
        <w:t>9. Audit, Events and Versioning</w:t>
      </w:r>
    </w:p>
    <w:p>
      <w:r>
        <w:t>Aurora should use a transactional outbox pattern. When a domain operation completes inside a database transaction, the service writes business state and a domain_events row in the same transaction. A background publisher then sends events to the event bus and marks published_at.</w:t>
      </w:r>
    </w:p>
    <w:p>
      <w:r>
        <w:t>Audit logs should answer: who did what, to which entity, when, from which risk context, and through which channel. Audit logs must not become a dumping ground for raw PII. Use hashes, references and structured metadata instead.</w:t>
      </w:r>
    </w:p>
    <w:tbl>
      <w:tblPr>
        <w:tblStyle w:val="TableGrid"/>
        <w:tblW w:type="auto" w:w="0"/>
        <w:jc w:val="center"/>
        <w:tblLook w:firstColumn="1" w:firstRow="1" w:lastColumn="0" w:lastRow="0" w:noHBand="0" w:noVBand="1" w:val="04A0"/>
      </w:tblPr>
      <w:tblGrid>
        <w:gridCol w:w="5184"/>
        <w:gridCol w:w="5184"/>
      </w:tblGrid>
      <w:tr>
        <w:tc>
          <w:tcPr>
            <w:tcW w:type="dxa" w:w="2880"/>
            <w:shd w:fill="D9EAF7"/>
            <w:vAlign w:val="center"/>
          </w:tcPr>
          <w:p>
            <w:r/>
            <w:r>
              <w:rPr>
                <w:b/>
                <w:sz w:val="18"/>
              </w:rPr>
              <w:t>Pattern</w:t>
            </w:r>
          </w:p>
        </w:tc>
        <w:tc>
          <w:tcPr>
            <w:tcW w:type="dxa" w:w="6480"/>
            <w:shd w:fill="D9EAF7"/>
            <w:vAlign w:val="center"/>
          </w:tcPr>
          <w:p>
            <w:r/>
            <w:r>
              <w:rPr>
                <w:b/>
                <w:sz w:val="18"/>
              </w:rPr>
              <w:t>Recommendation</w:t>
            </w:r>
          </w:p>
        </w:tc>
      </w:tr>
      <w:tr>
        <w:tc>
          <w:tcPr>
            <w:tcW w:type="dxa" w:w="2880"/>
            <w:vAlign w:val="top"/>
          </w:tcPr>
          <w:p>
            <w:r/>
            <w:r>
              <w:rPr>
                <w:b w:val="0"/>
                <w:sz w:val="18"/>
              </w:rPr>
              <w:t>Soft deletes</w:t>
            </w:r>
          </w:p>
        </w:tc>
        <w:tc>
          <w:tcPr>
            <w:tcW w:type="dxa" w:w="6480"/>
            <w:vAlign w:val="top"/>
          </w:tcPr>
          <w:p>
            <w:r/>
            <w:r>
              <w:rPr>
                <w:b w:val="0"/>
                <w:sz w:val="18"/>
              </w:rPr>
              <w:t>Use deleted_at for user-facing product data where recovery/audit matters. Do not soft-delete immutable financial records.</w:t>
            </w:r>
          </w:p>
        </w:tc>
      </w:tr>
      <w:tr>
        <w:tc>
          <w:tcPr>
            <w:tcW w:type="dxa" w:w="2880"/>
            <w:vAlign w:val="top"/>
          </w:tcPr>
          <w:p>
            <w:r/>
            <w:r>
              <w:rPr>
                <w:b w:val="0"/>
                <w:sz w:val="18"/>
              </w:rPr>
              <w:t>Optimistic locking</w:t>
            </w:r>
          </w:p>
        </w:tc>
        <w:tc>
          <w:tcPr>
            <w:tcW w:type="dxa" w:w="6480"/>
            <w:vAlign w:val="top"/>
          </w:tcPr>
          <w:p>
            <w:r/>
            <w:r>
              <w:rPr>
                <w:b w:val="0"/>
                <w:sz w:val="18"/>
              </w:rPr>
              <w:t>Add version integer to high-contention mutable records such as group membership and preferences.</w:t>
            </w:r>
          </w:p>
        </w:tc>
      </w:tr>
      <w:tr>
        <w:tc>
          <w:tcPr>
            <w:tcW w:type="dxa" w:w="2880"/>
            <w:vAlign w:val="top"/>
          </w:tcPr>
          <w:p>
            <w:r/>
            <w:r>
              <w:rPr>
                <w:b w:val="0"/>
                <w:sz w:val="18"/>
              </w:rPr>
              <w:t>Status history</w:t>
            </w:r>
          </w:p>
        </w:tc>
        <w:tc>
          <w:tcPr>
            <w:tcW w:type="dxa" w:w="6480"/>
            <w:vAlign w:val="top"/>
          </w:tcPr>
          <w:p>
            <w:r/>
            <w:r>
              <w:rPr>
                <w:b w:val="0"/>
                <w:sz w:val="18"/>
              </w:rPr>
              <w:t>Use separate status history tables for transactions, KYC cases, disputes and merchant onboarding.</w:t>
            </w:r>
          </w:p>
        </w:tc>
      </w:tr>
      <w:tr>
        <w:tc>
          <w:tcPr>
            <w:tcW w:type="dxa" w:w="2880"/>
            <w:vAlign w:val="top"/>
          </w:tcPr>
          <w:p>
            <w:r/>
            <w:r>
              <w:rPr>
                <w:b w:val="0"/>
                <w:sz w:val="18"/>
              </w:rPr>
              <w:t>Idempotency</w:t>
            </w:r>
          </w:p>
        </w:tc>
        <w:tc>
          <w:tcPr>
            <w:tcW w:type="dxa" w:w="6480"/>
            <w:vAlign w:val="top"/>
          </w:tcPr>
          <w:p>
            <w:r/>
            <w:r>
              <w:rPr>
                <w:b w:val="0"/>
                <w:sz w:val="18"/>
              </w:rPr>
              <w:t>Require idempotency keys for payment and request creation endpoints.</w:t>
            </w:r>
          </w:p>
        </w:tc>
      </w:tr>
      <w:tr>
        <w:tc>
          <w:tcPr>
            <w:tcW w:type="dxa" w:w="2880"/>
            <w:vAlign w:val="top"/>
          </w:tcPr>
          <w:p>
            <w:r/>
            <w:r>
              <w:rPr>
                <w:b w:val="0"/>
                <w:sz w:val="18"/>
              </w:rPr>
              <w:t>Event payloads</w:t>
            </w:r>
          </w:p>
        </w:tc>
        <w:tc>
          <w:tcPr>
            <w:tcW w:type="dxa" w:w="6480"/>
            <w:vAlign w:val="top"/>
          </w:tcPr>
          <w:p>
            <w:r/>
            <w:r>
              <w:rPr>
                <w:b w:val="0"/>
                <w:sz w:val="18"/>
              </w:rPr>
              <w:t>Keep domain event payloads small and versioned. Store references, not full sensitive objects.</w:t>
            </w:r>
          </w:p>
        </w:tc>
      </w:tr>
    </w:tbl>
    <w:p>
      <w:pPr>
        <w:pStyle w:val="Heading1"/>
      </w:pPr>
      <w:r>
        <w:t>10. Privacy, Retention and Compliance Notes</w:t>
      </w:r>
    </w:p>
    <w:p>
      <w:r>
        <w:t>This section is not legal advice. It records technical design assumptions that should be reviewed by counsel and compliance specialists before launch.</w:t>
      </w:r>
    </w:p>
    <w:p>
      <w:r>
        <w:t>Australian design context: the Privacy Act and Australian Privacy Principles regulate personal information handling for many organisations; CDR provides a regulated framework for consumer-directed sharing of data in banking and energy; AUSTRAC requires tailored AML/CTF programs for reporting entities where obligations apply; and NPP access is typically via participating institutions or providers rather than direct NPP APIs.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D9EAF7"/>
            <w:vAlign w:val="center"/>
          </w:tcPr>
          <w:p>
            <w:r/>
            <w:r>
              <w:rPr>
                <w:b/>
                <w:sz w:val="18"/>
              </w:rPr>
              <w:t>Data Category</w:t>
            </w:r>
          </w:p>
        </w:tc>
        <w:tc>
          <w:tcPr>
            <w:tcW w:type="dxa" w:w="3168"/>
            <w:shd w:fill="D9EAF7"/>
            <w:vAlign w:val="center"/>
          </w:tcPr>
          <w:p>
            <w:r/>
            <w:r>
              <w:rPr>
                <w:b/>
                <w:sz w:val="18"/>
              </w:rPr>
              <w:t>Retention Posture</w:t>
            </w:r>
          </w:p>
        </w:tc>
        <w:tc>
          <w:tcPr>
            <w:tcW w:type="dxa" w:w="3744"/>
            <w:shd w:fill="D9EAF7"/>
            <w:vAlign w:val="center"/>
          </w:tcPr>
          <w:p>
            <w:r/>
            <w:r>
              <w:rPr>
                <w:b/>
                <w:sz w:val="18"/>
              </w:rPr>
              <w:t>Implementation Note</w:t>
            </w:r>
          </w:p>
        </w:tc>
      </w:tr>
      <w:tr>
        <w:tc>
          <w:tcPr>
            <w:tcW w:type="dxa" w:w="2592"/>
            <w:vAlign w:val="top"/>
          </w:tcPr>
          <w:p>
            <w:r/>
            <w:r>
              <w:rPr>
                <w:b w:val="0"/>
                <w:sz w:val="18"/>
              </w:rPr>
              <w:t>Identity/session records</w:t>
            </w:r>
          </w:p>
        </w:tc>
        <w:tc>
          <w:tcPr>
            <w:tcW w:type="dxa" w:w="3168"/>
            <w:vAlign w:val="top"/>
          </w:tcPr>
          <w:p>
            <w:r/>
            <w:r>
              <w:rPr>
                <w:b w:val="0"/>
                <w:sz w:val="18"/>
              </w:rPr>
              <w:t>Active account lifetime plus defined compliance retention</w:t>
            </w:r>
          </w:p>
        </w:tc>
        <w:tc>
          <w:tcPr>
            <w:tcW w:type="dxa" w:w="3744"/>
            <w:vAlign w:val="top"/>
          </w:tcPr>
          <w:p>
            <w:r/>
            <w:r>
              <w:rPr>
                <w:b w:val="0"/>
                <w:sz w:val="18"/>
              </w:rPr>
              <w:t>Delete or anonymise after closure when no legal basis remains.</w:t>
            </w:r>
          </w:p>
        </w:tc>
      </w:tr>
      <w:tr>
        <w:tc>
          <w:tcPr>
            <w:tcW w:type="dxa" w:w="2592"/>
            <w:vAlign w:val="top"/>
          </w:tcPr>
          <w:p>
            <w:r/>
            <w:r>
              <w:rPr>
                <w:b w:val="0"/>
                <w:sz w:val="18"/>
              </w:rPr>
              <w:t>KYC metadata</w:t>
            </w:r>
          </w:p>
        </w:tc>
        <w:tc>
          <w:tcPr>
            <w:tcW w:type="dxa" w:w="3168"/>
            <w:vAlign w:val="top"/>
          </w:tcPr>
          <w:p>
            <w:r/>
            <w:r>
              <w:rPr>
                <w:b w:val="0"/>
                <w:sz w:val="18"/>
              </w:rPr>
              <w:t>Compliance-driven retention period to be confirmed with counsel/provider</w:t>
            </w:r>
          </w:p>
        </w:tc>
        <w:tc>
          <w:tcPr>
            <w:tcW w:type="dxa" w:w="3744"/>
            <w:vAlign w:val="top"/>
          </w:tcPr>
          <w:p>
            <w:r/>
            <w:r>
              <w:rPr>
                <w:b w:val="0"/>
                <w:sz w:val="18"/>
              </w:rPr>
              <w:t>Keep encrypted references and verification outcomes; minimise document copies.</w:t>
            </w:r>
          </w:p>
        </w:tc>
      </w:tr>
      <w:tr>
        <w:tc>
          <w:tcPr>
            <w:tcW w:type="dxa" w:w="2592"/>
            <w:vAlign w:val="top"/>
          </w:tcPr>
          <w:p>
            <w:r/>
            <w:r>
              <w:rPr>
                <w:b w:val="0"/>
                <w:sz w:val="18"/>
              </w:rPr>
              <w:t>Transactions/ledger/audit</w:t>
            </w:r>
          </w:p>
        </w:tc>
        <w:tc>
          <w:tcPr>
            <w:tcW w:type="dxa" w:w="3168"/>
            <w:vAlign w:val="top"/>
          </w:tcPr>
          <w:p>
            <w:r/>
            <w:r>
              <w:rPr>
                <w:b w:val="0"/>
                <w:sz w:val="18"/>
              </w:rPr>
              <w:t>Long-lived, immutable financial history</w:t>
            </w:r>
          </w:p>
        </w:tc>
        <w:tc>
          <w:tcPr>
            <w:tcW w:type="dxa" w:w="3744"/>
            <w:vAlign w:val="top"/>
          </w:tcPr>
          <w:p>
            <w:r/>
            <w:r>
              <w:rPr>
                <w:b w:val="0"/>
                <w:sz w:val="18"/>
              </w:rPr>
              <w:t>Restrict access, partition monthly, archive cold partitions.</w:t>
            </w:r>
          </w:p>
        </w:tc>
      </w:tr>
      <w:tr>
        <w:tc>
          <w:tcPr>
            <w:tcW w:type="dxa" w:w="2592"/>
            <w:vAlign w:val="top"/>
          </w:tcPr>
          <w:p>
            <w:r/>
            <w:r>
              <w:rPr>
                <w:b w:val="0"/>
                <w:sz w:val="18"/>
              </w:rPr>
              <w:t>AI insights/cache</w:t>
            </w:r>
          </w:p>
        </w:tc>
        <w:tc>
          <w:tcPr>
            <w:tcW w:type="dxa" w:w="3168"/>
            <w:vAlign w:val="top"/>
          </w:tcPr>
          <w:p>
            <w:r/>
            <w:r>
              <w:rPr>
                <w:b w:val="0"/>
                <w:sz w:val="18"/>
              </w:rPr>
              <w:t>Short retention by default</w:t>
            </w:r>
          </w:p>
        </w:tc>
        <w:tc>
          <w:tcPr>
            <w:tcW w:type="dxa" w:w="3744"/>
            <w:vAlign w:val="top"/>
          </w:tcPr>
          <w:p>
            <w:r/>
            <w:r>
              <w:rPr>
                <w:b w:val="0"/>
                <w:sz w:val="18"/>
              </w:rPr>
              <w:t>Regenerate where possible; delete when no longer needed.</w:t>
            </w:r>
          </w:p>
        </w:tc>
      </w:tr>
      <w:tr>
        <w:tc>
          <w:tcPr>
            <w:tcW w:type="dxa" w:w="2592"/>
            <w:vAlign w:val="top"/>
          </w:tcPr>
          <w:p>
            <w:r/>
            <w:r>
              <w:rPr>
                <w:b w:val="0"/>
                <w:sz w:val="18"/>
              </w:rPr>
              <w:t>CDR/banking data cache</w:t>
            </w:r>
          </w:p>
        </w:tc>
        <w:tc>
          <w:tcPr>
            <w:tcW w:type="dxa" w:w="3168"/>
            <w:vAlign w:val="top"/>
          </w:tcPr>
          <w:p>
            <w:r/>
            <w:r>
              <w:rPr>
                <w:b w:val="0"/>
                <w:sz w:val="18"/>
              </w:rPr>
              <w:t>Shortest practical retention based on consent and purpose</w:t>
            </w:r>
          </w:p>
        </w:tc>
        <w:tc>
          <w:tcPr>
            <w:tcW w:type="dxa" w:w="3744"/>
            <w:vAlign w:val="top"/>
          </w:tcPr>
          <w:p>
            <w:r/>
            <w:r>
              <w:rPr>
                <w:b w:val="0"/>
                <w:sz w:val="18"/>
              </w:rPr>
              <w:t>Respect consent expiry/revocation and data minimisation.</w:t>
            </w:r>
          </w:p>
        </w:tc>
      </w:tr>
    </w:tbl>
    <w:p>
      <w:r>
        <w:t>Sensitive field handling: legal names, birth dates, addresses, account names and identity document metadata should use field-level encryption or provider vault references. Queryable matching should use hashes with salt/pepper where appropriate. Never store raw bank credentials.</w:t>
      </w:r>
    </w:p>
    <w:p>
      <w:pPr>
        <w:pStyle w:val="Heading1"/>
      </w:pPr>
      <w:r>
        <w:t>11. Migration and Environment Strategy</w:t>
      </w:r>
    </w:p>
    <w:tbl>
      <w:tblPr>
        <w:tblStyle w:val="TableGrid"/>
        <w:tblW w:type="auto" w:w="0"/>
        <w:jc w:val="center"/>
        <w:tblLook w:firstColumn="1" w:firstRow="1" w:lastColumn="0" w:lastRow="0" w:noHBand="0" w:noVBand="1" w:val="04A0"/>
      </w:tblPr>
      <w:tblGrid>
        <w:gridCol w:w="5184"/>
        <w:gridCol w:w="5184"/>
      </w:tblGrid>
      <w:tr>
        <w:tc>
          <w:tcPr>
            <w:tcW w:type="dxa" w:w="2592"/>
            <w:shd w:fill="D9EAF7"/>
            <w:vAlign w:val="center"/>
          </w:tcPr>
          <w:p>
            <w:r/>
            <w:r>
              <w:rPr>
                <w:b/>
                <w:sz w:val="18"/>
              </w:rPr>
              <w:t>Area</w:t>
            </w:r>
          </w:p>
        </w:tc>
        <w:tc>
          <w:tcPr>
            <w:tcW w:type="dxa" w:w="6912"/>
            <w:shd w:fill="D9EAF7"/>
            <w:vAlign w:val="center"/>
          </w:tcPr>
          <w:p>
            <w:r/>
            <w:r>
              <w:rPr>
                <w:b/>
                <w:sz w:val="18"/>
              </w:rPr>
              <w:t>Recommendation</w:t>
            </w:r>
          </w:p>
        </w:tc>
      </w:tr>
      <w:tr>
        <w:tc>
          <w:tcPr>
            <w:tcW w:type="dxa" w:w="2592"/>
            <w:vAlign w:val="top"/>
          </w:tcPr>
          <w:p>
            <w:r/>
            <w:r>
              <w:rPr>
                <w:b w:val="0"/>
                <w:sz w:val="18"/>
              </w:rPr>
              <w:t>Migration tool</w:t>
            </w:r>
          </w:p>
        </w:tc>
        <w:tc>
          <w:tcPr>
            <w:tcW w:type="dxa" w:w="6912"/>
            <w:vAlign w:val="top"/>
          </w:tcPr>
          <w:p>
            <w:r/>
            <w:r>
              <w:rPr>
                <w:b w:val="0"/>
                <w:sz w:val="18"/>
              </w:rPr>
              <w:t>Use a repeatable migration framework such as Prisma Migrate, TypeORM migrations, Knex, Flyway or Liquibase; choose once and enforce through CI.</w:t>
            </w:r>
          </w:p>
        </w:tc>
      </w:tr>
      <w:tr>
        <w:tc>
          <w:tcPr>
            <w:tcW w:type="dxa" w:w="2592"/>
            <w:vAlign w:val="top"/>
          </w:tcPr>
          <w:p>
            <w:r/>
            <w:r>
              <w:rPr>
                <w:b w:val="0"/>
                <w:sz w:val="18"/>
              </w:rPr>
              <w:t>Migration discipline</w:t>
            </w:r>
          </w:p>
        </w:tc>
        <w:tc>
          <w:tcPr>
            <w:tcW w:type="dxa" w:w="6912"/>
            <w:vAlign w:val="top"/>
          </w:tcPr>
          <w:p>
            <w:r/>
            <w:r>
              <w:rPr>
                <w:b w:val="0"/>
                <w:sz w:val="18"/>
              </w:rPr>
              <w:t>Every schema change must be backward-compatible during rolling deploys. Destructive changes require a two-step migration.</w:t>
            </w:r>
          </w:p>
        </w:tc>
      </w:tr>
      <w:tr>
        <w:tc>
          <w:tcPr>
            <w:tcW w:type="dxa" w:w="2592"/>
            <w:vAlign w:val="top"/>
          </w:tcPr>
          <w:p>
            <w:r/>
            <w:r>
              <w:rPr>
                <w:b w:val="0"/>
                <w:sz w:val="18"/>
              </w:rPr>
              <w:t>Environments</w:t>
            </w:r>
          </w:p>
        </w:tc>
        <w:tc>
          <w:tcPr>
            <w:tcW w:type="dxa" w:w="6912"/>
            <w:vAlign w:val="top"/>
          </w:tcPr>
          <w:p>
            <w:r/>
            <w:r>
              <w:rPr>
                <w:b w:val="0"/>
                <w:sz w:val="18"/>
              </w:rPr>
              <w:t>local, dev, test, staging, production with separate databases and secrets.</w:t>
            </w:r>
          </w:p>
        </w:tc>
      </w:tr>
      <w:tr>
        <w:tc>
          <w:tcPr>
            <w:tcW w:type="dxa" w:w="2592"/>
            <w:vAlign w:val="top"/>
          </w:tcPr>
          <w:p>
            <w:r/>
            <w:r>
              <w:rPr>
                <w:b w:val="0"/>
                <w:sz w:val="18"/>
              </w:rPr>
              <w:t>Seed data</w:t>
            </w:r>
          </w:p>
        </w:tc>
        <w:tc>
          <w:tcPr>
            <w:tcW w:type="dxa" w:w="6912"/>
            <w:vAlign w:val="top"/>
          </w:tcPr>
          <w:p>
            <w:r/>
            <w:r>
              <w:rPr>
                <w:b w:val="0"/>
                <w:sz w:val="18"/>
              </w:rPr>
              <w:t>Use synthetic seed data only. Never copy production PII into lower environments.</w:t>
            </w:r>
          </w:p>
        </w:tc>
      </w:tr>
      <w:tr>
        <w:tc>
          <w:tcPr>
            <w:tcW w:type="dxa" w:w="2592"/>
            <w:vAlign w:val="top"/>
          </w:tcPr>
          <w:p>
            <w:r/>
            <w:r>
              <w:rPr>
                <w:b w:val="0"/>
                <w:sz w:val="18"/>
              </w:rPr>
              <w:t>Backups</w:t>
            </w:r>
          </w:p>
        </w:tc>
        <w:tc>
          <w:tcPr>
            <w:tcW w:type="dxa" w:w="6912"/>
            <w:vAlign w:val="top"/>
          </w:tcPr>
          <w:p>
            <w:r/>
            <w:r>
              <w:rPr>
                <w:b w:val="0"/>
                <w:sz w:val="18"/>
              </w:rPr>
              <w:t>Automated point-in-time recovery for production and tested restore runbooks.</w:t>
            </w:r>
          </w:p>
        </w:tc>
      </w:tr>
      <w:tr>
        <w:tc>
          <w:tcPr>
            <w:tcW w:type="dxa" w:w="2592"/>
            <w:vAlign w:val="top"/>
          </w:tcPr>
          <w:p>
            <w:r/>
            <w:r>
              <w:rPr>
                <w:b w:val="0"/>
                <w:sz w:val="18"/>
              </w:rPr>
              <w:t>Observability</w:t>
            </w:r>
          </w:p>
        </w:tc>
        <w:tc>
          <w:tcPr>
            <w:tcW w:type="dxa" w:w="6912"/>
            <w:vAlign w:val="top"/>
          </w:tcPr>
          <w:p>
            <w:r/>
            <w:r>
              <w:rPr>
                <w:b w:val="0"/>
                <w:sz w:val="18"/>
              </w:rPr>
              <w:t>Track slow queries, lock waits, replication lag, partition health and migration duration.</w:t>
            </w:r>
          </w:p>
        </w:tc>
      </w:tr>
    </w:tbl>
    <w:p>
      <w:pPr>
        <w:pStyle w:val="Heading1"/>
      </w:pPr>
      <w:r>
        <w:t>12. Open Decisions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D9EAF7"/>
            <w:vAlign w:val="center"/>
          </w:tcPr>
          <w:p>
            <w:r/>
            <w:r>
              <w:rPr>
                <w:b/>
                <w:sz w:val="18"/>
              </w:rPr>
              <w:t>Decision</w:t>
            </w:r>
          </w:p>
        </w:tc>
        <w:tc>
          <w:tcPr>
            <w:tcW w:type="dxa" w:w="3312"/>
            <w:shd w:fill="D9EAF7"/>
            <w:vAlign w:val="center"/>
          </w:tcPr>
          <w:p>
            <w:r/>
            <w:r>
              <w:rPr>
                <w:b/>
                <w:sz w:val="18"/>
              </w:rPr>
              <w:t>Options</w:t>
            </w:r>
          </w:p>
        </w:tc>
        <w:tc>
          <w:tcPr>
            <w:tcW w:type="dxa" w:w="3744"/>
            <w:shd w:fill="D9EAF7"/>
            <w:vAlign w:val="center"/>
          </w:tcPr>
          <w:p>
            <w:r/>
            <w:r>
              <w:rPr>
                <w:b/>
                <w:sz w:val="18"/>
              </w:rPr>
              <w:t>Recommendation for MVP</w:t>
            </w:r>
          </w:p>
        </w:tc>
      </w:tr>
      <w:tr>
        <w:tc>
          <w:tcPr>
            <w:tcW w:type="dxa" w:w="2448"/>
            <w:vAlign w:val="top"/>
          </w:tcPr>
          <w:p>
            <w:r/>
            <w:r>
              <w:rPr>
                <w:b w:val="0"/>
                <w:sz w:val="18"/>
              </w:rPr>
              <w:t>ORM/query layer</w:t>
            </w:r>
          </w:p>
        </w:tc>
        <w:tc>
          <w:tcPr>
            <w:tcW w:type="dxa" w:w="3312"/>
            <w:vAlign w:val="top"/>
          </w:tcPr>
          <w:p>
            <w:r/>
            <w:r>
              <w:rPr>
                <w:b w:val="0"/>
                <w:sz w:val="18"/>
              </w:rPr>
              <w:t>Prisma / TypeORM / SQL-first</w:t>
            </w:r>
          </w:p>
        </w:tc>
        <w:tc>
          <w:tcPr>
            <w:tcW w:type="dxa" w:w="3744"/>
            <w:vAlign w:val="top"/>
          </w:tcPr>
          <w:p>
            <w:r/>
            <w:r>
              <w:rPr>
                <w:b w:val="0"/>
                <w:sz w:val="18"/>
              </w:rPr>
              <w:t>Use SQL-first or Prisma only if team is comfortable with migration discipline.</w:t>
            </w:r>
          </w:p>
        </w:tc>
      </w:tr>
      <w:tr>
        <w:tc>
          <w:tcPr>
            <w:tcW w:type="dxa" w:w="2448"/>
            <w:vAlign w:val="top"/>
          </w:tcPr>
          <w:p>
            <w:r/>
            <w:r>
              <w:rPr>
                <w:b w:val="0"/>
                <w:sz w:val="18"/>
              </w:rPr>
              <w:t>CDR model</w:t>
            </w:r>
          </w:p>
        </w:tc>
        <w:tc>
          <w:tcPr>
            <w:tcW w:type="dxa" w:w="3312"/>
            <w:vAlign w:val="top"/>
          </w:tcPr>
          <w:p>
            <w:r/>
            <w:r>
              <w:rPr>
                <w:b w:val="0"/>
                <w:sz w:val="18"/>
              </w:rPr>
              <w:t>Accredited data recipient / outsourced provider</w:t>
            </w:r>
          </w:p>
        </w:tc>
        <w:tc>
          <w:tcPr>
            <w:tcW w:type="dxa" w:w="3744"/>
            <w:vAlign w:val="top"/>
          </w:tcPr>
          <w:p>
            <w:r/>
            <w:r>
              <w:rPr>
                <w:b w:val="0"/>
                <w:sz w:val="18"/>
              </w:rPr>
              <w:t>Use accredited provider initially; store only consent metadata and short-lived cache.</w:t>
            </w:r>
          </w:p>
        </w:tc>
      </w:tr>
      <w:tr>
        <w:tc>
          <w:tcPr>
            <w:tcW w:type="dxa" w:w="2448"/>
            <w:vAlign w:val="top"/>
          </w:tcPr>
          <w:p>
            <w:r/>
            <w:r>
              <w:rPr>
                <w:b w:val="0"/>
                <w:sz w:val="18"/>
              </w:rPr>
              <w:t>Merchant onboarding</w:t>
            </w:r>
          </w:p>
        </w:tc>
        <w:tc>
          <w:tcPr>
            <w:tcW w:type="dxa" w:w="3312"/>
            <w:vAlign w:val="top"/>
          </w:tcPr>
          <w:p>
            <w:r/>
            <w:r>
              <w:rPr>
                <w:b w:val="0"/>
                <w:sz w:val="18"/>
              </w:rPr>
              <w:t>Manual approval / automated risk scoring</w:t>
            </w:r>
          </w:p>
        </w:tc>
        <w:tc>
          <w:tcPr>
            <w:tcW w:type="dxa" w:w="3744"/>
            <w:vAlign w:val="top"/>
          </w:tcPr>
          <w:p>
            <w:r/>
            <w:r>
              <w:rPr>
                <w:b w:val="0"/>
                <w:sz w:val="18"/>
              </w:rPr>
              <w:t>Manual + provider KYC/KYB initially; automate later.</w:t>
            </w:r>
          </w:p>
        </w:tc>
      </w:tr>
      <w:tr>
        <w:tc>
          <w:tcPr>
            <w:tcW w:type="dxa" w:w="2448"/>
            <w:vAlign w:val="top"/>
          </w:tcPr>
          <w:p>
            <w:r/>
            <w:r>
              <w:rPr>
                <w:b w:val="0"/>
                <w:sz w:val="18"/>
              </w:rPr>
              <w:t>Stored value</w:t>
            </w:r>
          </w:p>
        </w:tc>
        <w:tc>
          <w:tcPr>
            <w:tcW w:type="dxa" w:w="3312"/>
            <w:vAlign w:val="top"/>
          </w:tcPr>
          <w:p>
            <w:r/>
            <w:r>
              <w:rPr>
                <w:b w:val="0"/>
                <w:sz w:val="18"/>
              </w:rPr>
              <w:t>No wallet balance / customer funds held</w:t>
            </w:r>
          </w:p>
        </w:tc>
        <w:tc>
          <w:tcPr>
            <w:tcW w:type="dxa" w:w="3744"/>
            <w:vAlign w:val="top"/>
          </w:tcPr>
          <w:p>
            <w:r/>
            <w:r>
              <w:rPr>
                <w:b w:val="0"/>
                <w:sz w:val="18"/>
              </w:rPr>
              <w:t>Do not hold customer funds in MVP.</w:t>
            </w:r>
          </w:p>
        </w:tc>
      </w:tr>
      <w:tr>
        <w:tc>
          <w:tcPr>
            <w:tcW w:type="dxa" w:w="2448"/>
            <w:vAlign w:val="top"/>
          </w:tcPr>
          <w:p>
            <w:r/>
            <w:r>
              <w:rPr>
                <w:b w:val="0"/>
                <w:sz w:val="18"/>
              </w:rPr>
              <w:t>Event bus</w:t>
            </w:r>
          </w:p>
        </w:tc>
        <w:tc>
          <w:tcPr>
            <w:tcW w:type="dxa" w:w="3312"/>
            <w:vAlign w:val="top"/>
          </w:tcPr>
          <w:p>
            <w:r/>
            <w:r>
              <w:rPr>
                <w:b w:val="0"/>
                <w:sz w:val="18"/>
              </w:rPr>
              <w:t>Postgres outbox only / SNS-SQS / Kafka</w:t>
            </w:r>
          </w:p>
        </w:tc>
        <w:tc>
          <w:tcPr>
            <w:tcW w:type="dxa" w:w="3744"/>
            <w:vAlign w:val="top"/>
          </w:tcPr>
          <w:p>
            <w:r/>
            <w:r>
              <w:rPr>
                <w:b w:val="0"/>
                <w:sz w:val="18"/>
              </w:rPr>
              <w:t>Start with Postgres outbox + queue; graduate to Kafka only at scale.</w:t>
            </w:r>
          </w:p>
        </w:tc>
      </w:tr>
      <w:tr>
        <w:tc>
          <w:tcPr>
            <w:tcW w:type="dxa" w:w="2448"/>
            <w:vAlign w:val="top"/>
          </w:tcPr>
          <w:p>
            <w:r/>
            <w:r>
              <w:rPr>
                <w:b w:val="0"/>
                <w:sz w:val="18"/>
              </w:rPr>
              <w:t>Analytics warehouse</w:t>
            </w:r>
          </w:p>
        </w:tc>
        <w:tc>
          <w:tcPr>
            <w:tcW w:type="dxa" w:w="3312"/>
            <w:vAlign w:val="top"/>
          </w:tcPr>
          <w:p>
            <w:r/>
            <w:r>
              <w:rPr>
                <w:b w:val="0"/>
                <w:sz w:val="18"/>
              </w:rPr>
              <w:t>Postgres read replica / dedicated warehouse</w:t>
            </w:r>
          </w:p>
        </w:tc>
        <w:tc>
          <w:tcPr>
            <w:tcW w:type="dxa" w:w="3744"/>
            <w:vAlign w:val="top"/>
          </w:tcPr>
          <w:p>
            <w:r/>
            <w:r>
              <w:rPr>
                <w:b w:val="0"/>
                <w:sz w:val="18"/>
              </w:rPr>
              <w:t>Start with read replica or export pipeline; avoid querying production for heavy analytics.</w:t>
            </w:r>
          </w:p>
        </w:tc>
      </w:tr>
    </w:tbl>
    <w:p>
      <w:pPr>
        <w:pStyle w:val="Heading1"/>
      </w:pPr>
      <w:r>
        <w:t>13. References</w:t>
      </w:r>
    </w:p>
    <w:p>
      <w:pPr>
        <w:pStyle w:val="ListBullet"/>
      </w:pPr>
      <w:r>
        <w:t>Australian Payments Plus - NPP for developers / NPP information: NPP access and developer context; many NPP Participant institutions expose APIs rather than NPP Australia itself.</w:t>
      </w:r>
    </w:p>
    <w:p>
      <w:pPr>
        <w:pStyle w:val="ListBullet"/>
      </w:pPr>
      <w:r>
        <w:t>Consumer Data Right official website: CDR gives consumers control to share data between providers and is active in banking and energy.</w:t>
      </w:r>
    </w:p>
    <w:p>
      <w:pPr>
        <w:pStyle w:val="ListBullet"/>
      </w:pPr>
      <w:r>
        <w:t>OAIC - Australian Privacy Principles and Privacy Act guidance: APPs govern standards, rights and obligations around personal information.</w:t>
      </w:r>
    </w:p>
    <w:p>
      <w:pPr>
        <w:pStyle w:val="ListBullet"/>
      </w:pPr>
      <w:r>
        <w:t>AUSTRAC - AML/CTF program overview: AML/CTF programs must be tailored to business risk and circumstances where obligations apply.</w:t>
      </w:r>
    </w:p>
    <w:p>
      <w:r>
        <w:br w:type="page"/>
      </w:r>
    </w:p>
    <w:p>
      <w:pPr>
        <w:pStyle w:val="Heading1"/>
      </w:pPr>
      <w:r>
        <w:t>Appendix A - MVP Table List by Build Phase</w:t>
      </w:r>
    </w:p>
    <w:tbl>
      <w:tblPr>
        <w:tblStyle w:val="TableGrid"/>
        <w:tblW w:type="auto" w:w="0"/>
        <w:jc w:val="center"/>
        <w:tblLook w:firstColumn="1" w:firstRow="1" w:lastColumn="0" w:lastRow="0" w:noHBand="0" w:noVBand="1" w:val="04A0"/>
      </w:tblPr>
      <w:tblGrid>
        <w:gridCol w:w="5184"/>
        <w:gridCol w:w="5184"/>
      </w:tblGrid>
      <w:tr>
        <w:tc>
          <w:tcPr>
            <w:tcW w:type="dxa" w:w="3024"/>
            <w:shd w:fill="D9EAF7"/>
            <w:vAlign w:val="center"/>
          </w:tcPr>
          <w:p>
            <w:r/>
            <w:r>
              <w:rPr>
                <w:b/>
                <w:sz w:val="18"/>
              </w:rPr>
              <w:t>Phase</w:t>
            </w:r>
          </w:p>
        </w:tc>
        <w:tc>
          <w:tcPr>
            <w:tcW w:type="dxa" w:w="6480"/>
            <w:shd w:fill="D9EAF7"/>
            <w:vAlign w:val="center"/>
          </w:tcPr>
          <w:p>
            <w:r/>
            <w:r>
              <w:rPr>
                <w:b/>
                <w:sz w:val="18"/>
              </w:rPr>
              <w:t>Tables</w:t>
            </w:r>
          </w:p>
        </w:tc>
      </w:tr>
      <w:tr>
        <w:tc>
          <w:tcPr>
            <w:tcW w:type="dxa" w:w="3024"/>
            <w:vAlign w:val="top"/>
          </w:tcPr>
          <w:p>
            <w:r/>
            <w:r>
              <w:rPr>
                <w:b w:val="0"/>
                <w:sz w:val="18"/>
              </w:rPr>
              <w:t>Sprint 1-2 Identity Foundation</w:t>
            </w:r>
          </w:p>
        </w:tc>
        <w:tc>
          <w:tcPr>
            <w:tcW w:type="dxa" w:w="6480"/>
            <w:vAlign w:val="top"/>
          </w:tcPr>
          <w:p>
            <w:r/>
            <w:r>
              <w:rPr>
                <w:b w:val="0"/>
                <w:sz w:val="18"/>
              </w:rPr>
              <w:t>users, user_identities, sessions, devices, mfa_factors, roles, permissions, user_roles</w:t>
            </w:r>
          </w:p>
        </w:tc>
      </w:tr>
      <w:tr>
        <w:tc>
          <w:tcPr>
            <w:tcW w:type="dxa" w:w="3024"/>
            <w:vAlign w:val="top"/>
          </w:tcPr>
          <w:p>
            <w:r/>
            <w:r>
              <w:rPr>
                <w:b w:val="0"/>
                <w:sz w:val="18"/>
              </w:rPr>
              <w:t>Sprint 3-4 Customer &amp; KYC</w:t>
            </w:r>
          </w:p>
        </w:tc>
        <w:tc>
          <w:tcPr>
            <w:tcW w:type="dxa" w:w="6480"/>
            <w:vAlign w:val="top"/>
          </w:tcPr>
          <w:p>
            <w:r/>
            <w:r>
              <w:rPr>
                <w:b w:val="0"/>
                <w:sz w:val="18"/>
              </w:rPr>
              <w:t>customer_profiles, customer_addresses, privacy_consents, kyc_cases, kyc_documents</w:t>
            </w:r>
          </w:p>
        </w:tc>
      </w:tr>
      <w:tr>
        <w:tc>
          <w:tcPr>
            <w:tcW w:type="dxa" w:w="3024"/>
            <w:vAlign w:val="top"/>
          </w:tcPr>
          <w:p>
            <w:r/>
            <w:r>
              <w:rPr>
                <w:b w:val="0"/>
                <w:sz w:val="18"/>
              </w:rPr>
              <w:t>Sprint 5-6 Wallet &amp; Payments</w:t>
            </w:r>
          </w:p>
        </w:tc>
        <w:tc>
          <w:tcPr>
            <w:tcW w:type="dxa" w:w="6480"/>
            <w:vAlign w:val="top"/>
          </w:tcPr>
          <w:p>
            <w:r/>
            <w:r>
              <w:rPr>
                <w:b w:val="0"/>
                <w:sz w:val="18"/>
              </w:rPr>
              <w:t>wallets, bank_accounts, payment_methods, payment_requests, transactions, transaction_status_history, payment_provider_events</w:t>
            </w:r>
          </w:p>
        </w:tc>
      </w:tr>
      <w:tr>
        <w:tc>
          <w:tcPr>
            <w:tcW w:type="dxa" w:w="3024"/>
            <w:vAlign w:val="top"/>
          </w:tcPr>
          <w:p>
            <w:r/>
            <w:r>
              <w:rPr>
                <w:b w:val="0"/>
                <w:sz w:val="18"/>
              </w:rPr>
              <w:t>Sprint 7-8 Groups &amp; Expenses</w:t>
            </w:r>
          </w:p>
        </w:tc>
        <w:tc>
          <w:tcPr>
            <w:tcW w:type="dxa" w:w="6480"/>
            <w:vAlign w:val="top"/>
          </w:tcPr>
          <w:p>
            <w:r/>
            <w:r>
              <w:rPr>
                <w:b w:val="0"/>
                <w:sz w:val="18"/>
              </w:rPr>
              <w:t>groups, group_members, group_invitations, expenses, expense_splits, settlements, receipts</w:t>
            </w:r>
          </w:p>
        </w:tc>
      </w:tr>
      <w:tr>
        <w:tc>
          <w:tcPr>
            <w:tcW w:type="dxa" w:w="3024"/>
            <w:vAlign w:val="top"/>
          </w:tcPr>
          <w:p>
            <w:r/>
            <w:r>
              <w:rPr>
                <w:b w:val="0"/>
                <w:sz w:val="18"/>
              </w:rPr>
              <w:t>Sprint 9-10 Merchant MVP</w:t>
            </w:r>
          </w:p>
        </w:tc>
        <w:tc>
          <w:tcPr>
            <w:tcW w:type="dxa" w:w="6480"/>
            <w:vAlign w:val="top"/>
          </w:tcPr>
          <w:p>
            <w:r/>
            <w:r>
              <w:rPr>
                <w:b w:val="0"/>
                <w:sz w:val="18"/>
              </w:rPr>
              <w:t>merchants, merchant_users, merchant_stores, merchant_qr_codes, invoices, invoice_items</w:t>
            </w:r>
          </w:p>
        </w:tc>
      </w:tr>
      <w:tr>
        <w:tc>
          <w:tcPr>
            <w:tcW w:type="dxa" w:w="3024"/>
            <w:vAlign w:val="top"/>
          </w:tcPr>
          <w:p>
            <w:r/>
            <w:r>
              <w:rPr>
                <w:b w:val="0"/>
                <w:sz w:val="18"/>
              </w:rPr>
              <w:t>Sprint 11-12 Operations &amp; AI</w:t>
            </w:r>
          </w:p>
        </w:tc>
        <w:tc>
          <w:tcPr>
            <w:tcW w:type="dxa" w:w="6480"/>
            <w:vAlign w:val="top"/>
          </w:tcPr>
          <w:p>
            <w:r/>
            <w:r>
              <w:rPr>
                <w:b w:val="0"/>
                <w:sz w:val="18"/>
              </w:rPr>
              <w:t>audit_logs, domain_events, notification_preferences, fraud_alerts, support_cases, spending_categories, transaction_classifications, ai_insights</w:t>
            </w: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