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250"/>
          <w:sz w:val="56"/>
        </w:rPr>
        <w:t>Project Aurora</w:t>
      </w:r>
    </w:p>
    <w:p>
      <w:pPr>
        <w:jc w:val="center"/>
      </w:pPr>
      <w:r>
        <w:rPr>
          <w:b/>
          <w:sz w:val="40"/>
        </w:rPr>
        <w:t>System Architecture Blueprint</w:t>
      </w:r>
    </w:p>
    <w:p>
      <w:pPr>
        <w:jc w:val="center"/>
      </w:pPr>
      <w:r>
        <w:rPr>
          <w:i/>
        </w:rPr>
        <w:t>Version 0.1 | Engineering Foundation Draft | Australia MVP</w:t>
      </w:r>
    </w:p>
    <w:p>
      <w:pPr>
        <w:jc w:val="center"/>
      </w:pPr>
      <w:r>
        <w:t>Prepared for founder review. This is not legal, financial, or compliance advice. Validate with licensed advisers and regulated partners before implementation.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Architecture Principles</w:t>
      </w:r>
    </w:p>
    <w:p>
      <w:pPr>
        <w:pStyle w:val="ListNumber"/>
      </w:pPr>
      <w:r>
        <w:t>3. Assumptions and Regulatory Context</w:t>
      </w:r>
    </w:p>
    <w:p>
      <w:pPr>
        <w:pStyle w:val="ListNumber"/>
      </w:pPr>
      <w:r>
        <w:t>4. Component Architecture</w:t>
      </w:r>
    </w:p>
    <w:p>
      <w:pPr>
        <w:pStyle w:val="ListNumber"/>
      </w:pPr>
      <w:r>
        <w:t>5. Service Interactions</w:t>
      </w:r>
    </w:p>
    <w:p>
      <w:pPr>
        <w:pStyle w:val="ListNumber"/>
      </w:pPr>
      <w:r>
        <w:t>6. Data Flow Diagrams</w:t>
      </w:r>
    </w:p>
    <w:p>
      <w:pPr>
        <w:pStyle w:val="ListNumber"/>
      </w:pPr>
      <w:r>
        <w:t>7. AWS Deployment Architecture</w:t>
      </w:r>
    </w:p>
    <w:p>
      <w:pPr>
        <w:pStyle w:val="ListNumber"/>
      </w:pPr>
      <w:r>
        <w:t>8. Security Boundaries</w:t>
      </w:r>
    </w:p>
    <w:p>
      <w:pPr>
        <w:pStyle w:val="ListNumber"/>
      </w:pPr>
      <w:r>
        <w:t>9. Identity Flows</w:t>
      </w:r>
    </w:p>
    <w:p>
      <w:pPr>
        <w:pStyle w:val="ListNumber"/>
      </w:pPr>
      <w:r>
        <w:t>10. Payment Orchestration</w:t>
      </w:r>
    </w:p>
    <w:p>
      <w:pPr>
        <w:pStyle w:val="ListNumber"/>
      </w:pPr>
      <w:r>
        <w:t>11. Database Relationships</w:t>
      </w:r>
    </w:p>
    <w:p>
      <w:pPr>
        <w:pStyle w:val="ListNumber"/>
      </w:pPr>
      <w:r>
        <w:t>12. API Gateway Design</w:t>
      </w:r>
    </w:p>
    <w:p>
      <w:pPr>
        <w:pStyle w:val="ListNumber"/>
      </w:pPr>
      <w:r>
        <w:t>13. AI Service Interactions</w:t>
      </w:r>
    </w:p>
    <w:p>
      <w:pPr>
        <w:pStyle w:val="ListNumber"/>
      </w:pPr>
      <w:r>
        <w:t>14. Observability and Operations</w:t>
      </w:r>
    </w:p>
    <w:p>
      <w:pPr>
        <w:pStyle w:val="ListNumber"/>
      </w:pPr>
      <w:r>
        <w:t>15. Engineering Decisions and Open Questions</w:t>
      </w:r>
    </w:p>
    <w:p>
      <w:pPr>
        <w:pStyle w:val="ListNumber"/>
      </w:pPr>
      <w:r>
        <w:t>16.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Aurora is an AI-powered financial operating system for the Australian market. The MVP should not hold customer funds. Instead, it should orchestrate payments through licensed providers and focus on superior collaborative money management: send/request money, split expenses, manage groups, merchant QR payments, receipts, notifications, and AI-powered insights.</w:t>
      </w:r>
    </w:p>
    <w:p>
      <w:r>
        <w:t>This blueprint defines the technical foundation for a modular monolith on AWS, designed to evolve into service-oriented architecture after product-market fit and higher transaction scale.</w:t>
      </w:r>
    </w:p>
    <w:p>
      <w:pPr>
        <w:pStyle w:val="Heading1"/>
      </w:pPr>
      <w:r>
        <w:t>2. Architecture Principles</w:t>
      </w:r>
    </w:p>
    <w:p>
      <w:r>
        <w:t>Use existing Australian payment rails and regulated partners where possible; do not build payment infrastructure before validation.</w:t>
      </w:r>
    </w:p>
    <w:p>
      <w:r>
        <w:t>Prefer a modular monolith for MVP speed and operational simplicity; isolate modules internally so they can be extracted later.</w:t>
      </w:r>
    </w:p>
    <w:p>
      <w:r>
        <w:t>Never compromise ledger integrity: all financial state transitions must be auditable and immutable where possible.</w:t>
      </w:r>
    </w:p>
    <w:p>
      <w:r>
        <w:t>Design security boundaries early: public edge, application services, data layer, partner integrations, operations console, and AI boundary.</w:t>
      </w:r>
    </w:p>
    <w:p>
      <w:r>
        <w:t>AI should explain, classify, summarize, and recommend; it must not execute payments or financial commitments without explicit user approval.</w:t>
      </w:r>
    </w:p>
    <w:p>
      <w:pPr>
        <w:pStyle w:val="Heading1"/>
      </w:pPr>
      <w:r>
        <w:t>3. Assumptions and Regulatory Context</w:t>
      </w:r>
    </w:p>
    <w:p>
      <w:r>
        <w:t>Aurora MVP is an orchestration and user-experience layer, not a stored-value facility. Customer funds remain with banks or licensed partners.</w:t>
      </w:r>
    </w:p>
    <w:p>
      <w:r>
        <w:t>Payment execution should be integrated through a licensed Australian payment partner with NPP, PayID, or PayTo capability where commercially available.</w:t>
      </w:r>
    </w:p>
    <w:p>
      <w:r>
        <w:t>Bank data access, if used, should follow Consumer Data Right/Open Banking rules through accredited providers or compliant partner access.</w:t>
      </w:r>
    </w:p>
    <w:p>
      <w:r>
        <w:t>AML/CTF obligations must be assessed with legal/compliance advisers; the architecture assumes a risk-based financial crime framework, audit trails, sanctions/PEP screening support, and suspicious activity escalation workflows.</w:t>
      </w:r>
    </w:p>
    <w:p>
      <w:r>
        <w:t>Privacy-by-design is mandatory: minimize data, separate sensitive data, encrypt at rest and in transit, define retention periods, and give users clear control over consent.</w:t>
      </w:r>
    </w:p>
    <w:p>
      <w:pPr>
        <w:pStyle w:val="Heading1"/>
      </w:pPr>
      <w:r>
        <w:t>4. Component Architecture</w:t>
      </w:r>
    </w:p>
    <w:p>
      <w:r>
        <w:t>The component architecture separates customer channels, API gateway, domain modules, data stores, external partners, and operational tooling. The MVP should be implemented as a modular monolith with domain modules and clear internal interfaces.</w:t>
      </w:r>
    </w:p>
    <w:p>
      <w:r>
        <w:drawing>
          <wp:inline xmlns:a="http://schemas.openxmlformats.org/drawingml/2006/main" xmlns:pic="http://schemas.openxmlformats.org/drawingml/2006/picture">
            <wp:extent cx="6492240" cy="4260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Component view of Aurora MVP.</w:t>
      </w:r>
    </w:p>
    <w:p>
      <w:pPr>
        <w:pStyle w:val="Heading1"/>
      </w:pPr>
      <w:r>
        <w:t>6. Data Flow Diagrams</w:t>
      </w:r>
    </w:p>
    <w:p>
      <w:r>
        <w:t>Critical flows should be event-aware and auditable. Payment state should progress through explicit statuses such as created, pending_risk_review, submitted_to_partner, completed, failed, reversed, or cancelled.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Payment request and settlement data flow.</w:t>
      </w:r>
    </w:p>
    <w:p>
      <w:pPr>
        <w:pStyle w:val="Heading1"/>
      </w:pPr>
      <w:r>
        <w:t>7. AWS Deployment Architecture</w:t>
      </w:r>
    </w:p>
    <w:p>
      <w:r>
        <w:t>The MVP deployment should use managed AWS services to reduce operational overhead and support security-by-default. All application and database resources should run in private subnets where possible.</w:t>
      </w:r>
    </w:p>
    <w:p>
      <w:r>
        <w:drawing>
          <wp:inline xmlns:a="http://schemas.openxmlformats.org/drawingml/2006/main" xmlns:pic="http://schemas.openxmlformats.org/drawingml/2006/picture">
            <wp:extent cx="6492240" cy="4260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AWS deployment architecture for MVP.</w:t>
      </w:r>
    </w:p>
    <w:p>
      <w:pPr>
        <w:pStyle w:val="Heading1"/>
      </w:pPr>
      <w:r>
        <w:t>9. Identity Flows</w:t>
      </w:r>
    </w:p>
    <w:p>
      <w:r>
        <w:t>Identity is a high-trust module. Registration, login, KYC, device trust, token management, and step-up authentication must be designed as one system rather than separate features.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Registration, KYC, login, and session flow.</w:t>
      </w:r>
    </w:p>
    <w:p>
      <w:pPr>
        <w:pStyle w:val="Heading1"/>
      </w:pPr>
      <w:r>
        <w:t>11. Database Relationships</w:t>
      </w:r>
    </w:p>
    <w:p>
      <w:r>
        <w:t>The schema should distinguish operational data, ledger-style transaction records, identity data, consent data, audit data, and AI-derived insights. Financial records should be append-oriented and traceable.</w:t>
      </w:r>
    </w:p>
    <w:p>
      <w:r>
        <w:drawing>
          <wp:inline xmlns:a="http://schemas.openxmlformats.org/drawingml/2006/main" xmlns:pic="http://schemas.openxmlformats.org/drawingml/2006/picture">
            <wp:extent cx="6492240" cy="4463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Conceptual core database relationships.</w:t>
      </w:r>
    </w:p>
    <w:p>
      <w:pPr>
        <w:pStyle w:val="Heading1"/>
      </w:pPr>
      <w:r>
        <w:t>5. Service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8"/>
              </w:rPr>
              <w:t>Interaction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Services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8"/>
              </w:rPr>
              <w:t>Synchronous Path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8"/>
              </w:rPr>
              <w:t>Asynchronous Events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User registration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Identity, KYC, Notifications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Mobile -&gt; Gateway -&gt; Identity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user.created, kyc.requested, kyc.completed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KYC partner response may be async.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Send payment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Payments, Risk, Ledger, Partner Adapter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Mobile -&gt; Gateway -&gt; Payments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payment.created, risk.checked, payment.submitted, payment.completed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Never mark completed until partner confirmation.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Split bill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Groups, Expenses, Payment Requests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Mobile -&gt; Gateway -&gt; Expenses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expense.created, request.created, reminder.scheduled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Payment collection is separate from expense creation.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Merchant QR payment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Merchant, Payments, Risk, Ledger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Mobile -&gt; Gateway -&gt; Merchant/Payments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merchant.payment.created, settlement.updated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QR payload must be signed or validated server-side.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AI insight generation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Transactions, AI, Consent, Notifications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App -&gt; Gateway -&gt; AI for on-demand query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insight.generated, insight.viewed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AI sees only data allowed by consent and policy.</w:t>
            </w:r>
          </w:p>
        </w:tc>
      </w:tr>
    </w:tbl>
    <w:p>
      <w:pPr>
        <w:pStyle w:val="Heading1"/>
      </w:pPr>
      <w:r>
        <w:t>8. Security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Boundary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Protected Assets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Main Controls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Public edge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APIs, web assets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CloudFront, WAF, TLS, rate limits, bot controls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Application boundary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Business services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Private subnets, IAM roles, service authorization, secrets management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 boundary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PII, transaction history, audit logs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KMS encryption, row-level access patterns, least privilege, backups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Partner boundary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Payment/KYC/CDR/SMS connectors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mTLS or signed webhooks, allowlists, replay protection, idempotency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Operations boundary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Admin portal and support tools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SSO, MFA, RBAC, approval workflows, audit logs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 boundary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Prompts, insights, user financial data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 minimization, consent checks, prompt injection defenses, human approval for actions</w:t>
            </w:r>
          </w:p>
        </w:tc>
      </w:tr>
    </w:tbl>
    <w:p>
      <w:pPr>
        <w:pStyle w:val="Heading1"/>
      </w:pPr>
      <w:r>
        <w:t>10. Payment Orchestration</w:t>
      </w:r>
    </w:p>
    <w:p>
      <w:r>
        <w:t>Payment orchestration is the most important backend workflow. It must handle idempotency, state transitions, risk checks, partner submission, webhook reconciliation, user notifications, and auditability.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System Responsibility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 intent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Validate payer, payee, amount, currency, limits, and idempotency key.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Risk pre-check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pending_risk_review or approved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Apply velocity rules, device risk, sanctions/AML flags, and merchant risk controls.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Partner submission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submitted_to_partner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Submit to licensed payment provider using signed requests and retry-safe semantics.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Partner callback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completed or failed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Verify webhook signature, reconcile amount/reference, and update immutable payment event trail.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 notification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notified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Send push/email/SMS according to user preference and transaction severity.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Reconciliation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reconciled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Daily automated reconciliation between Aurora records and partner settlement/reporting files.</w:t>
            </w:r>
          </w:p>
        </w:tc>
      </w:tr>
    </w:tbl>
    <w:p>
      <w:pPr>
        <w:pStyle w:val="Heading1"/>
      </w:pPr>
      <w:r>
        <w:t>12. API Gateway Design</w:t>
      </w:r>
    </w:p>
    <w:p>
      <w:pPr>
        <w:pStyle w:val="ListBullet"/>
      </w:pPr>
      <w:r>
        <w:t>All external traffic enters through the API Gateway and never directly reaches internal services.</w:t>
      </w:r>
    </w:p>
    <w:p>
      <w:pPr>
        <w:pStyle w:val="ListBullet"/>
      </w:pPr>
      <w:r>
        <w:t>Gateway responsibilities: TLS enforcement, routing, API versioning, JWT validation, rate limiting, request size limits, correlation IDs, and coarse-grained authorization.</w:t>
      </w:r>
    </w:p>
    <w:p>
      <w:pPr>
        <w:pStyle w:val="ListBullet"/>
      </w:pPr>
      <w:r>
        <w:t>Business authorization remains inside domain modules; for example, only the Expenses module decides whether a user can view a group expense.</w:t>
      </w:r>
    </w:p>
    <w:p>
      <w:pPr>
        <w:pStyle w:val="ListBullet"/>
      </w:pPr>
      <w:r>
        <w:t>All mutating endpoints require idempotency keys where retries could create duplicate financial actions.</w:t>
      </w:r>
    </w:p>
    <w:p>
      <w:pPr>
        <w:pStyle w:val="ListBullet"/>
      </w:pPr>
      <w:r>
        <w:t>Recommended API style for MVP: REST with OpenAPI 3.1 specification; event contracts documented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API Area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Example Endpoints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 /v1/auth/otp/start, POST /v1/auth/otp/verify, POST /v1/kyc/start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Short-lived access token and rotating refresh token.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 /v1/payments, GET /v1/payments/{id}, POST /v1/payment-requests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Idempotency required for create operations.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Groups/Expenses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 /v1/groups, POST /v1/groups/{id}/expenses, GET /v1/groups/{id}/balances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Group authorization checks required.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Merchants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 /v1/merchants, POST /v1/merchants/{id}/qr, GET /v1/merchants/{id}/transactions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Merchant onboarding and review state required.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 /v1/ai/query, GET /v1/ai/insights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Consent-aware data access; no autonomous payment execution.</w:t>
            </w:r>
          </w:p>
        </w:tc>
      </w:tr>
    </w:tbl>
    <w:p>
      <w:pPr>
        <w:pStyle w:val="Heading1"/>
      </w:pPr>
      <w:r>
        <w:t>13. AI Service Interactions</w:t>
      </w:r>
    </w:p>
    <w:p>
      <w:r>
        <w:t>The AI service should be built as a controlled application service, not as a direct connection from the mobile app to an AI model. It should retrieve only policy-approved data, transform it into minimal context, call the model, then store explainable insights.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AI Capability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Inputs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Outputs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Guardrails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Spending categorization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Transaction descriptions, merchant metadata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Category labels and confidence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Human override, confidence thresholds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Budget insight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Transactions, recurring bills, goals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Narrative insight and suggested actions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 financial advice beyond general guidance unless licensed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Subscription detection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Recurring payments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Candidate subscriptions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User confirmation before cancellation or action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Group assistant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Expenses, balances, due dates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Who owes what, reminders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 payment execution without explicit approval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Merchant analytics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Merchant transactions, product categories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Sales trends and campaign suggestions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Aggregate where possible; protect consumer privacy</w:t>
            </w:r>
          </w:p>
        </w:tc>
      </w:tr>
    </w:tbl>
    <w:p>
      <w:pPr>
        <w:pStyle w:val="Heading1"/>
      </w:pPr>
      <w:r>
        <w:t>14. Observability and Operations</w:t>
      </w:r>
    </w:p>
    <w:p>
      <w:pPr>
        <w:pStyle w:val="ListBullet"/>
      </w:pPr>
      <w:r>
        <w:t>Every request should carry a correlation ID from gateway to service, logs, events, and partner adapter calls.</w:t>
      </w:r>
    </w:p>
    <w:p>
      <w:pPr>
        <w:pStyle w:val="ListBullet"/>
      </w:pPr>
      <w:r>
        <w:t>Financial workflows require structured audit events with actor, timestamp, action, object, previous state, new state, source IP/device, and correlation ID.</w:t>
      </w:r>
    </w:p>
    <w:p>
      <w:pPr>
        <w:pStyle w:val="ListBullet"/>
      </w:pPr>
      <w:r>
        <w:t>Dashboards should track API latency, payment success rate, partner webhook lag, KYC completion time, fraud queue volume, notification delivery, and error budgets.</w:t>
      </w:r>
    </w:p>
    <w:p>
      <w:pPr>
        <w:pStyle w:val="ListBullet"/>
      </w:pPr>
      <w:r>
        <w:t>Runbooks are required for payment partner outage, webhook delay, duplicate transaction alert, compromised account report, data breach triage, and high-risk merchant investigation.</w:t>
      </w:r>
    </w:p>
    <w:p>
      <w:pPr>
        <w:pStyle w:val="Heading1"/>
      </w:pPr>
      <w:r>
        <w:t>15. Engineering Decisions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 Area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Funds model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Do not hold customer funds in MVP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Which licensed partner offers the best API, pricing, and settlement model?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Architecture style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Modular monolith initially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At what scale do we extract Payments/Risk into independent services?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Mobile stack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Flutter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Confirm native requirements for biometrics, secure storage, and QR scanning.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PostgreSQL with append-oriented financial events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Define final ledger model with payment partner and accountant/legal review.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Central AI service with consent-aware retrieval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Define exact AI policy boundaries and disclaimers for financial guidance.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Admin portal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Build from MVP stage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Which workflows require four-eyes approval from launch?</w:t>
            </w:r>
          </w:p>
        </w:tc>
      </w:tr>
    </w:tbl>
    <w:p>
      <w:pPr>
        <w:pStyle w:val="Heading1"/>
      </w:pPr>
      <w:r>
        <w:t>16. References</w:t>
      </w:r>
    </w:p>
    <w:p>
      <w:r>
        <w:t>Australian Payments Plus - NPP / real-time payments: https://www.auspayplus.com.au/solutions/npp</w:t>
      </w:r>
    </w:p>
    <w:p>
      <w:r>
        <w:t>Reserve Bank of Australia - New Payments Platform: https://www.rba.gov.au/payments-and-infrastructure/new-payments-platform/</w:t>
      </w:r>
    </w:p>
    <w:p>
      <w:r>
        <w:t>Consumer Data Right - official site: https://www.cdr.gov.au/</w:t>
      </w:r>
    </w:p>
    <w:p>
      <w:r>
        <w:t>ACCC - Consumer Data Right: https://www.accc.gov.au/by-industry/banking-and-finance/the-consumer-data-right</w:t>
      </w:r>
    </w:p>
    <w:p>
      <w:r>
        <w:t>AUSTRAC - obligations and guidance: https://www.austrac.gov.au/industry-and-business/obligations-and-guidance/your-obligations</w:t>
      </w:r>
    </w:p>
    <w:p>
      <w:r>
        <w:t>OAIC - Australian Privacy Principles: https://www.oaic.gov.au/privacy/australian-privacy-principles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Project Aurora | System Architecture Blueprint v0.1 | Founder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2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32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32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