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A5F"/>
          <w:sz w:val="44"/>
        </w:rPr>
        <w:t>AI-Powered E-Commerce Business Intelligence</w:t>
        <w:br/>
        <w:t>&amp; Decision Support Dashboard</w:t>
      </w:r>
    </w:p>
    <w:p/>
    <w:p>
      <w:pPr>
        <w:jc w:val="center"/>
      </w:pPr>
      <w:r>
        <w:rPr>
          <w:i/>
          <w:color w:val="2E86AB"/>
          <w:sz w:val="28"/>
        </w:rPr>
        <w:t>Project Report</w:t>
      </w:r>
    </w:p>
    <w:p/>
    <w:p/>
    <w:p>
      <w:pPr>
        <w:jc w:val="center"/>
      </w:pPr>
      <w:r>
        <w:rPr>
          <w:color w:val="6C757D"/>
          <w:sz w:val="22"/>
        </w:rPr>
        <w:t>Dataset: global_ecommerce_sales.csv</w:t>
        <w:br/>
        <w:t>Records: 2,000  |  Columns: 15  |  Years: 2023–2025</w:t>
        <w:br/>
        <w:t>Technologies: Python · Pandas · Plotly · Streamlit</w:t>
        <w:br/>
        <w:br/>
        <w:t>Report generated: September 23, 2026</w:t>
      </w:r>
    </w:p>
    <w:p>
      <w:r>
        <w:br w:type="page"/>
      </w:r>
    </w:p>
    <w:p>
      <w:pPr>
        <w:pStyle w:val="Heading1"/>
      </w:pPr>
      <w:r>
        <w:rPr>
          <w:color w:val="1F3A5F"/>
          <w:sz w:val="32"/>
        </w:rPr>
        <w:t>1. Problem Statement</w:t>
      </w:r>
    </w:p>
    <w:p>
      <w:pPr>
        <w:pBdr>
          <w:bottom w:val="single" w:sz="4" w:space="1" w:color="2E86AB"/>
        </w:pBdr>
        <w:spacing w:after="160"/>
      </w:pPr>
    </w:p>
    <w:p>
      <w:pPr>
        <w:spacing w:after="80"/>
      </w:pPr>
      <w:r>
        <w:rPr>
          <w:b w:val="0"/>
          <w:i w:val="0"/>
          <w:color w:val="374151"/>
          <w:sz w:val="21"/>
        </w:rPr>
        <w:t>E-commerce businesses generate large volumes of transactional data covering sales, customers, products, regions, pricing, discounts, and profitability. Raw transactional data alone does not provide clear guidance for business decisions. This project addresses the challenge of transforming a real-world global e-commerce dataset into an interactive Business Intelligence and Decision Support Dashboard that delivers meaningful KPIs, trends, risk signals, opportunities, and actionable business recommendations — without fabricating or assuming data not present in the source file.</w:t>
      </w:r>
    </w:p>
    <w:p/>
    <w:p>
      <w:pPr>
        <w:pStyle w:val="Heading1"/>
      </w:pPr>
      <w:r>
        <w:rPr>
          <w:color w:val="1F3A5F"/>
          <w:sz w:val="32"/>
        </w:rPr>
        <w:t>2. Objectives</w:t>
      </w:r>
    </w:p>
    <w:p>
      <w:pPr>
        <w:pBdr>
          <w:bottom w:val="single" w:sz="4" w:space="1" w:color="2E86AB"/>
        </w:pBdr>
        <w:spacing w:after="160"/>
      </w:pPr>
    </w:p>
    <w:p>
      <w:pPr>
        <w:pStyle w:val="ListBullet"/>
        <w:spacing w:after="60"/>
      </w:pPr>
      <w:r>
        <w:rPr>
          <w:color w:val="374151"/>
          <w:sz w:val="21"/>
        </w:rPr>
        <w:t>Load, clean, and validate the global e-commerce sales dataset without modifying the original CSV.</w:t>
      </w:r>
    </w:p>
    <w:p>
      <w:pPr>
        <w:pStyle w:val="ListBullet"/>
        <w:spacing w:after="60"/>
      </w:pPr>
      <w:r>
        <w:rPr>
          <w:color w:val="374151"/>
          <w:sz w:val="21"/>
        </w:rPr>
        <w:t>Compute accurate KPIs: Total Sales, Total Profit, Profit Margin, Average Order Value, and Average Discount.</w:t>
      </w:r>
    </w:p>
    <w:p>
      <w:pPr>
        <w:pStyle w:val="ListBullet"/>
        <w:spacing w:after="60"/>
      </w:pPr>
      <w:r>
        <w:rPr>
          <w:color w:val="374151"/>
          <w:sz w:val="21"/>
        </w:rPr>
        <w:t>Identify top-performing and underperforming products, categories, regions, and customer segments.</w:t>
      </w:r>
    </w:p>
    <w:p>
      <w:pPr>
        <w:pStyle w:val="ListBullet"/>
        <w:spacing w:after="60"/>
      </w:pPr>
      <w:r>
        <w:rPr>
          <w:color w:val="374151"/>
          <w:sz w:val="21"/>
        </w:rPr>
        <w:t>Detect loss-making orders, high-discount impacts, and revenue concentration risks.</w:t>
      </w:r>
    </w:p>
    <w:p>
      <w:pPr>
        <w:pStyle w:val="ListBullet"/>
        <w:spacing w:after="60"/>
      </w:pPr>
      <w:r>
        <w:rPr>
          <w:color w:val="374151"/>
          <w:sz w:val="21"/>
        </w:rPr>
        <w:t>Provide a rule-based AI Business Analyst section that summarises findings, risks, and recommended actions derived solely from calculated data.</w:t>
      </w:r>
    </w:p>
    <w:p>
      <w:pPr>
        <w:pStyle w:val="ListBullet"/>
        <w:spacing w:after="60"/>
      </w:pPr>
      <w:r>
        <w:rPr>
          <w:color w:val="374151"/>
          <w:sz w:val="21"/>
        </w:rPr>
        <w:t>Deliver an interactive, filter-driven dashboard accessible to non-technical business managers.</w:t>
      </w:r>
    </w:p>
    <w:p>
      <w:pPr>
        <w:pStyle w:val="ListBullet"/>
        <w:spacing w:after="60"/>
      </w:pPr>
      <w:r>
        <w:rPr>
          <w:color w:val="374151"/>
          <w:sz w:val="21"/>
        </w:rPr>
        <w:t>Produce professional supporting documentation: requirements.txt, README.md, and this report.</w:t>
      </w:r>
    </w:p>
    <w:p/>
    <w:p>
      <w:pPr>
        <w:pStyle w:val="Heading1"/>
      </w:pPr>
      <w:r>
        <w:rPr>
          <w:color w:val="1F3A5F"/>
          <w:sz w:val="32"/>
        </w:rPr>
        <w:t>3. Dataset Description</w:t>
      </w:r>
    </w:p>
    <w:p>
      <w:pPr>
        <w:pBdr>
          <w:bottom w:val="single" w:sz="4" w:space="1" w:color="2E86AB"/>
        </w:pBdr>
        <w:spacing w:after="160"/>
      </w:pPr>
    </w:p>
    <w:p>
      <w:pPr>
        <w:spacing w:after="80"/>
      </w:pPr>
      <w:r>
        <w:rPr>
          <w:b w:val="0"/>
          <w:i w:val="0"/>
          <w:color w:val="374151"/>
          <w:sz w:val="21"/>
        </w:rPr>
        <w:t>Source file: global_ecommerce_sales.csv (supplied as part of the project brief; the original file is never modified by the application).</w:t>
      </w:r>
    </w:p>
    <w:p/>
    <w:tbl>
      <w:tblPr>
        <w:tblStyle w:val="TableGrid"/>
        <w:tblW w:type="auto" w:w="0"/>
        <w:jc w:val="left"/>
        <w:tblLook w:firstColumn="1" w:firstRow="1" w:lastColumn="0" w:lastRow="0" w:noHBand="0" w:noVBand="1" w:val="04A0"/>
      </w:tblPr>
      <w:tblGrid>
        <w:gridCol w:w="4392"/>
        <w:gridCol w:w="4392"/>
      </w:tblGrid>
      <w:tr>
        <w:tc>
          <w:tcPr>
            <w:tcW w:type="dxa" w:w="3168"/>
            <w:shd w:val="clear" w:color="auto" w:fill="1F3A5F"/>
            <w:vAlign w:val="center"/>
          </w:tcPr>
          <w:p>
            <w:r>
              <w:rPr>
                <w:b/>
                <w:color w:val="FFFFFF"/>
                <w:sz w:val="19"/>
              </w:rPr>
              <w:t>Attribute</w:t>
            </w:r>
          </w:p>
        </w:tc>
        <w:tc>
          <w:tcPr>
            <w:tcW w:type="dxa" w:w="5040"/>
            <w:shd w:val="clear" w:color="auto" w:fill="1F3A5F"/>
            <w:vAlign w:val="center"/>
          </w:tcPr>
          <w:p>
            <w:r>
              <w:rPr>
                <w:b/>
                <w:color w:val="FFFFFF"/>
                <w:sz w:val="19"/>
              </w:rPr>
              <w:t>Value</w:t>
            </w:r>
          </w:p>
        </w:tc>
      </w:tr>
      <w:tr>
        <w:tc>
          <w:tcPr>
            <w:tcW w:type="dxa" w:w="3168"/>
          </w:tcPr>
          <w:p>
            <w:r>
              <w:rPr>
                <w:sz w:val="19"/>
              </w:rPr>
              <w:t>File name</w:t>
            </w:r>
          </w:p>
        </w:tc>
        <w:tc>
          <w:tcPr>
            <w:tcW w:type="dxa" w:w="5040"/>
          </w:tcPr>
          <w:p>
            <w:r>
              <w:rPr>
                <w:sz w:val="19"/>
              </w:rPr>
              <w:t>global_ecommerce_sales.csv</w:t>
            </w:r>
          </w:p>
        </w:tc>
      </w:tr>
      <w:tr>
        <w:tc>
          <w:tcPr>
            <w:tcW w:type="dxa" w:w="3168"/>
          </w:tcPr>
          <w:p>
            <w:r>
              <w:rPr>
                <w:sz w:val="19"/>
              </w:rPr>
              <w:t>Total rows</w:t>
            </w:r>
          </w:p>
        </w:tc>
        <w:tc>
          <w:tcPr>
            <w:tcW w:type="dxa" w:w="5040"/>
          </w:tcPr>
          <w:p>
            <w:r>
              <w:rPr>
                <w:sz w:val="19"/>
              </w:rPr>
              <w:t>2,000</w:t>
            </w:r>
          </w:p>
        </w:tc>
      </w:tr>
      <w:tr>
        <w:tc>
          <w:tcPr>
            <w:tcW w:type="dxa" w:w="3168"/>
          </w:tcPr>
          <w:p>
            <w:r>
              <w:rPr>
                <w:sz w:val="19"/>
              </w:rPr>
              <w:t>Total columns</w:t>
            </w:r>
          </w:p>
        </w:tc>
        <w:tc>
          <w:tcPr>
            <w:tcW w:type="dxa" w:w="5040"/>
          </w:tcPr>
          <w:p>
            <w:r>
              <w:rPr>
                <w:sz w:val="19"/>
              </w:rPr>
              <w:t>15</w:t>
            </w:r>
          </w:p>
        </w:tc>
      </w:tr>
      <w:tr>
        <w:tc>
          <w:tcPr>
            <w:tcW w:type="dxa" w:w="3168"/>
          </w:tcPr>
          <w:p>
            <w:r>
              <w:rPr>
                <w:sz w:val="19"/>
              </w:rPr>
              <w:t>Date range</w:t>
            </w:r>
          </w:p>
        </w:tc>
        <w:tc>
          <w:tcPr>
            <w:tcW w:type="dxa" w:w="5040"/>
          </w:tcPr>
          <w:p>
            <w:r>
              <w:rPr>
                <w:sz w:val="19"/>
              </w:rPr>
              <w:t>2023-01-02 to 2025-12-31</w:t>
            </w:r>
          </w:p>
        </w:tc>
      </w:tr>
      <w:tr>
        <w:tc>
          <w:tcPr>
            <w:tcW w:type="dxa" w:w="3168"/>
          </w:tcPr>
          <w:p>
            <w:r>
              <w:rPr>
                <w:sz w:val="19"/>
              </w:rPr>
              <w:t>Unique Order IDs</w:t>
            </w:r>
          </w:p>
        </w:tc>
        <w:tc>
          <w:tcPr>
            <w:tcW w:type="dxa" w:w="5040"/>
          </w:tcPr>
          <w:p>
            <w:r>
              <w:rPr>
                <w:sz w:val="19"/>
              </w:rPr>
              <w:t>2,000 (no duplicates)</w:t>
            </w:r>
          </w:p>
        </w:tc>
      </w:tr>
      <w:tr>
        <w:tc>
          <w:tcPr>
            <w:tcW w:type="dxa" w:w="3168"/>
          </w:tcPr>
          <w:p>
            <w:r>
              <w:rPr>
                <w:sz w:val="19"/>
              </w:rPr>
              <w:t>Missing values</w:t>
            </w:r>
          </w:p>
        </w:tc>
        <w:tc>
          <w:tcPr>
            <w:tcW w:type="dxa" w:w="5040"/>
          </w:tcPr>
          <w:p>
            <w:r>
              <w:rPr>
                <w:sz w:val="19"/>
              </w:rPr>
              <w:t>0 (dataset is complete)</w:t>
            </w:r>
          </w:p>
        </w:tc>
      </w:tr>
      <w:tr>
        <w:tc>
          <w:tcPr>
            <w:tcW w:type="dxa" w:w="3168"/>
          </w:tcPr>
          <w:p>
            <w:r>
              <w:rPr>
                <w:sz w:val="19"/>
              </w:rPr>
              <w:t>Unique customers</w:t>
            </w:r>
          </w:p>
        </w:tc>
        <w:tc>
          <w:tcPr>
            <w:tcW w:type="dxa" w:w="5040"/>
          </w:tcPr>
          <w:p>
            <w:r>
              <w:rPr>
                <w:sz w:val="19"/>
              </w:rPr>
              <w:t>1,534</w:t>
            </w:r>
          </w:p>
        </w:tc>
      </w:tr>
      <w:tr>
        <w:tc>
          <w:tcPr>
            <w:tcW w:type="dxa" w:w="3168"/>
          </w:tcPr>
          <w:p>
            <w:r>
              <w:rPr>
                <w:sz w:val="19"/>
              </w:rPr>
              <w:t>Countries</w:t>
            </w:r>
          </w:p>
        </w:tc>
        <w:tc>
          <w:tcPr>
            <w:tcW w:type="dxa" w:w="5040"/>
          </w:tcPr>
          <w:p>
            <w:r>
              <w:rPr>
                <w:sz w:val="19"/>
              </w:rPr>
              <w:t>20</w:t>
            </w:r>
          </w:p>
        </w:tc>
      </w:tr>
      <w:tr>
        <w:tc>
          <w:tcPr>
            <w:tcW w:type="dxa" w:w="3168"/>
          </w:tcPr>
          <w:p>
            <w:r>
              <w:rPr>
                <w:sz w:val="19"/>
              </w:rPr>
              <w:t>Regions</w:t>
            </w:r>
          </w:p>
        </w:tc>
        <w:tc>
          <w:tcPr>
            <w:tcW w:type="dxa" w:w="5040"/>
          </w:tcPr>
          <w:p>
            <w:r>
              <w:rPr>
                <w:sz w:val="19"/>
              </w:rPr>
              <w:t>5</w:t>
            </w:r>
          </w:p>
        </w:tc>
      </w:tr>
      <w:tr>
        <w:tc>
          <w:tcPr>
            <w:tcW w:type="dxa" w:w="3168"/>
          </w:tcPr>
          <w:p>
            <w:r>
              <w:rPr>
                <w:sz w:val="19"/>
              </w:rPr>
              <w:t>Product categories</w:t>
            </w:r>
          </w:p>
        </w:tc>
        <w:tc>
          <w:tcPr>
            <w:tcW w:type="dxa" w:w="5040"/>
          </w:tcPr>
          <w:p>
            <w:r>
              <w:rPr>
                <w:sz w:val="19"/>
              </w:rPr>
              <w:t>4</w:t>
            </w:r>
          </w:p>
        </w:tc>
      </w:tr>
      <w:tr>
        <w:tc>
          <w:tcPr>
            <w:tcW w:type="dxa" w:w="3168"/>
          </w:tcPr>
          <w:p>
            <w:r>
              <w:rPr>
                <w:sz w:val="19"/>
              </w:rPr>
              <w:t>Customer segments</w:t>
            </w:r>
          </w:p>
        </w:tc>
        <w:tc>
          <w:tcPr>
            <w:tcW w:type="dxa" w:w="5040"/>
          </w:tcPr>
          <w:p>
            <w:r>
              <w:rPr>
                <w:sz w:val="19"/>
              </w:rPr>
              <w:t>3</w:t>
            </w:r>
          </w:p>
        </w:tc>
      </w:tr>
      <w:tr>
        <w:tc>
          <w:tcPr>
            <w:tcW w:type="dxa" w:w="3168"/>
          </w:tcPr>
          <w:p>
            <w:r>
              <w:rPr>
                <w:sz w:val="19"/>
              </w:rPr>
              <w:t>Payment methods</w:t>
            </w:r>
          </w:p>
        </w:tc>
        <w:tc>
          <w:tcPr>
            <w:tcW w:type="dxa" w:w="5040"/>
          </w:tcPr>
          <w:p>
            <w:r>
              <w:rPr>
                <w:sz w:val="19"/>
              </w:rPr>
              <w:t>4</w:t>
            </w:r>
          </w:p>
        </w:tc>
      </w:tr>
    </w:tbl>
    <w:p/>
    <w:p>
      <w:pPr>
        <w:pStyle w:val="Heading1"/>
      </w:pPr>
      <w:r>
        <w:rPr>
          <w:color w:val="1F3A5F"/>
          <w:sz w:val="32"/>
        </w:rPr>
        <w:t>4. Dataset Characteristics</w:t>
      </w:r>
    </w:p>
    <w:p>
      <w:pPr>
        <w:pBdr>
          <w:bottom w:val="single" w:sz="4" w:space="1" w:color="2E86AB"/>
        </w:pBdr>
        <w:spacing w:after="160"/>
      </w:pPr>
    </w:p>
    <w:p>
      <w:pPr>
        <w:pStyle w:val="Heading2"/>
      </w:pPr>
      <w:r>
        <w:rPr>
          <w:color w:val="2E86AB"/>
          <w:sz w:val="26"/>
        </w:rPr>
        <w:t>4.1 Column Definitions</w:t>
      </w:r>
    </w:p>
    <w:tbl>
      <w:tblPr>
        <w:tblStyle w:val="TableGrid"/>
        <w:tblW w:type="auto" w:w="0"/>
        <w:jc w:val="left"/>
        <w:tblLook w:firstColumn="1" w:firstRow="1" w:lastColumn="0" w:lastRow="0" w:noHBand="0" w:noVBand="1" w:val="04A0"/>
      </w:tblPr>
      <w:tblGrid>
        <w:gridCol w:w="2928"/>
        <w:gridCol w:w="2928"/>
        <w:gridCol w:w="2928"/>
      </w:tblGrid>
      <w:tr>
        <w:tc>
          <w:tcPr>
            <w:tcW w:type="dxa" w:w="2304"/>
            <w:shd w:val="clear" w:color="auto" w:fill="1F3A5F"/>
            <w:vAlign w:val="center"/>
          </w:tcPr>
          <w:p>
            <w:r>
              <w:rPr>
                <w:b/>
                <w:color w:val="FFFFFF"/>
                <w:sz w:val="19"/>
              </w:rPr>
              <w:t>Column</w:t>
            </w:r>
          </w:p>
        </w:tc>
        <w:tc>
          <w:tcPr>
            <w:tcW w:type="dxa" w:w="1296"/>
            <w:shd w:val="clear" w:color="auto" w:fill="1F3A5F"/>
            <w:vAlign w:val="center"/>
          </w:tcPr>
          <w:p>
            <w:r>
              <w:rPr>
                <w:b/>
                <w:color w:val="FFFFFF"/>
                <w:sz w:val="19"/>
              </w:rPr>
              <w:t>Type</w:t>
            </w:r>
          </w:p>
        </w:tc>
        <w:tc>
          <w:tcPr>
            <w:tcW w:type="dxa" w:w="5472"/>
            <w:shd w:val="clear" w:color="auto" w:fill="1F3A5F"/>
            <w:vAlign w:val="center"/>
          </w:tcPr>
          <w:p>
            <w:r>
              <w:rPr>
                <w:b/>
                <w:color w:val="FFFFFF"/>
                <w:sz w:val="19"/>
              </w:rPr>
              <w:t>Description</w:t>
            </w:r>
          </w:p>
        </w:tc>
      </w:tr>
      <w:tr>
        <w:tc>
          <w:tcPr>
            <w:tcW w:type="dxa" w:w="2304"/>
          </w:tcPr>
          <w:p>
            <w:r>
              <w:rPr>
                <w:sz w:val="19"/>
              </w:rPr>
              <w:t>Order_ID</w:t>
            </w:r>
          </w:p>
        </w:tc>
        <w:tc>
          <w:tcPr>
            <w:tcW w:type="dxa" w:w="1296"/>
          </w:tcPr>
          <w:p>
            <w:r>
              <w:rPr>
                <w:sz w:val="19"/>
              </w:rPr>
              <w:t>String</w:t>
            </w:r>
          </w:p>
        </w:tc>
        <w:tc>
          <w:tcPr>
            <w:tcW w:type="dxa" w:w="5472"/>
          </w:tcPr>
          <w:p>
            <w:r>
              <w:rPr>
                <w:sz w:val="19"/>
              </w:rPr>
              <w:t>Unique identifier per order</w:t>
            </w:r>
          </w:p>
        </w:tc>
      </w:tr>
      <w:tr>
        <w:tc>
          <w:tcPr>
            <w:tcW w:type="dxa" w:w="2304"/>
          </w:tcPr>
          <w:p>
            <w:r>
              <w:rPr>
                <w:sz w:val="19"/>
              </w:rPr>
              <w:t>Order_Date</w:t>
            </w:r>
          </w:p>
        </w:tc>
        <w:tc>
          <w:tcPr>
            <w:tcW w:type="dxa" w:w="1296"/>
          </w:tcPr>
          <w:p>
            <w:r>
              <w:rPr>
                <w:sz w:val="19"/>
              </w:rPr>
              <w:t>Date</w:t>
            </w:r>
          </w:p>
        </w:tc>
        <w:tc>
          <w:tcPr>
            <w:tcW w:type="dxa" w:w="5472"/>
          </w:tcPr>
          <w:p>
            <w:r>
              <w:rPr>
                <w:sz w:val="19"/>
              </w:rPr>
              <w:t>Order placement date (YYYY-MM-DD)</w:t>
            </w:r>
          </w:p>
        </w:tc>
      </w:tr>
      <w:tr>
        <w:tc>
          <w:tcPr>
            <w:tcW w:type="dxa" w:w="2304"/>
          </w:tcPr>
          <w:p>
            <w:r>
              <w:rPr>
                <w:sz w:val="19"/>
              </w:rPr>
              <w:t>Customer_Name</w:t>
            </w:r>
          </w:p>
        </w:tc>
        <w:tc>
          <w:tcPr>
            <w:tcW w:type="dxa" w:w="1296"/>
          </w:tcPr>
          <w:p>
            <w:r>
              <w:rPr>
                <w:sz w:val="19"/>
              </w:rPr>
              <w:t>String</w:t>
            </w:r>
          </w:p>
        </w:tc>
        <w:tc>
          <w:tcPr>
            <w:tcW w:type="dxa" w:w="5472"/>
          </w:tcPr>
          <w:p>
            <w:r>
              <w:rPr>
                <w:sz w:val="19"/>
              </w:rPr>
              <w:t>Full name of the customer</w:t>
            </w:r>
          </w:p>
        </w:tc>
      </w:tr>
      <w:tr>
        <w:tc>
          <w:tcPr>
            <w:tcW w:type="dxa" w:w="2304"/>
          </w:tcPr>
          <w:p>
            <w:r>
              <w:rPr>
                <w:sz w:val="19"/>
              </w:rPr>
              <w:t>Customer_Segment</w:t>
            </w:r>
          </w:p>
        </w:tc>
        <w:tc>
          <w:tcPr>
            <w:tcW w:type="dxa" w:w="1296"/>
          </w:tcPr>
          <w:p>
            <w:r>
              <w:rPr>
                <w:sz w:val="19"/>
              </w:rPr>
              <w:t>String</w:t>
            </w:r>
          </w:p>
        </w:tc>
        <w:tc>
          <w:tcPr>
            <w:tcW w:type="dxa" w:w="5472"/>
          </w:tcPr>
          <w:p>
            <w:r>
              <w:rPr>
                <w:sz w:val="19"/>
              </w:rPr>
              <w:t>Consumer / Corporate / Home Office</w:t>
            </w:r>
          </w:p>
        </w:tc>
      </w:tr>
      <w:tr>
        <w:tc>
          <w:tcPr>
            <w:tcW w:type="dxa" w:w="2304"/>
          </w:tcPr>
          <w:p>
            <w:r>
              <w:rPr>
                <w:sz w:val="19"/>
              </w:rPr>
              <w:t>Country</w:t>
            </w:r>
          </w:p>
        </w:tc>
        <w:tc>
          <w:tcPr>
            <w:tcW w:type="dxa" w:w="1296"/>
          </w:tcPr>
          <w:p>
            <w:r>
              <w:rPr>
                <w:sz w:val="19"/>
              </w:rPr>
              <w:t>String</w:t>
            </w:r>
          </w:p>
        </w:tc>
        <w:tc>
          <w:tcPr>
            <w:tcW w:type="dxa" w:w="5472"/>
          </w:tcPr>
          <w:p>
            <w:r>
              <w:rPr>
                <w:sz w:val="19"/>
              </w:rPr>
              <w:t>Country of the order</w:t>
            </w:r>
          </w:p>
        </w:tc>
      </w:tr>
      <w:tr>
        <w:tc>
          <w:tcPr>
            <w:tcW w:type="dxa" w:w="2304"/>
          </w:tcPr>
          <w:p>
            <w:r>
              <w:rPr>
                <w:sz w:val="19"/>
              </w:rPr>
              <w:t>Region</w:t>
            </w:r>
          </w:p>
        </w:tc>
        <w:tc>
          <w:tcPr>
            <w:tcW w:type="dxa" w:w="1296"/>
          </w:tcPr>
          <w:p>
            <w:r>
              <w:rPr>
                <w:sz w:val="19"/>
              </w:rPr>
              <w:t>String</w:t>
            </w:r>
          </w:p>
        </w:tc>
        <w:tc>
          <w:tcPr>
            <w:tcW w:type="dxa" w:w="5472"/>
          </w:tcPr>
          <w:p>
            <w:r>
              <w:rPr>
                <w:sz w:val="19"/>
              </w:rPr>
              <w:t>Geographic region (5 values)</w:t>
            </w:r>
          </w:p>
        </w:tc>
      </w:tr>
      <w:tr>
        <w:tc>
          <w:tcPr>
            <w:tcW w:type="dxa" w:w="2304"/>
          </w:tcPr>
          <w:p>
            <w:r>
              <w:rPr>
                <w:sz w:val="19"/>
              </w:rPr>
              <w:t>Product_Category</w:t>
            </w:r>
          </w:p>
        </w:tc>
        <w:tc>
          <w:tcPr>
            <w:tcW w:type="dxa" w:w="1296"/>
          </w:tcPr>
          <w:p>
            <w:r>
              <w:rPr>
                <w:sz w:val="19"/>
              </w:rPr>
              <w:t>String</w:t>
            </w:r>
          </w:p>
        </w:tc>
        <w:tc>
          <w:tcPr>
            <w:tcW w:type="dxa" w:w="5472"/>
          </w:tcPr>
          <w:p>
            <w:r>
              <w:rPr>
                <w:sz w:val="19"/>
              </w:rPr>
              <w:t>Technology / Furniture / Office Supplies / Clothing &amp; Accessories</w:t>
            </w:r>
          </w:p>
        </w:tc>
      </w:tr>
      <w:tr>
        <w:tc>
          <w:tcPr>
            <w:tcW w:type="dxa" w:w="2304"/>
          </w:tcPr>
          <w:p>
            <w:r>
              <w:rPr>
                <w:sz w:val="19"/>
              </w:rPr>
              <w:t>Product_Name</w:t>
            </w:r>
          </w:p>
        </w:tc>
        <w:tc>
          <w:tcPr>
            <w:tcW w:type="dxa" w:w="1296"/>
          </w:tcPr>
          <w:p>
            <w:r>
              <w:rPr>
                <w:sz w:val="19"/>
              </w:rPr>
              <w:t>String</w:t>
            </w:r>
          </w:p>
        </w:tc>
        <w:tc>
          <w:tcPr>
            <w:tcW w:type="dxa" w:w="5472"/>
          </w:tcPr>
          <w:p>
            <w:r>
              <w:rPr>
                <w:sz w:val="19"/>
              </w:rPr>
              <w:t>Individual product name</w:t>
            </w:r>
          </w:p>
        </w:tc>
      </w:tr>
      <w:tr>
        <w:tc>
          <w:tcPr>
            <w:tcW w:type="dxa" w:w="2304"/>
          </w:tcPr>
          <w:p>
            <w:r>
              <w:rPr>
                <w:sz w:val="19"/>
              </w:rPr>
              <w:t>Quantity</w:t>
            </w:r>
          </w:p>
        </w:tc>
        <w:tc>
          <w:tcPr>
            <w:tcW w:type="dxa" w:w="1296"/>
          </w:tcPr>
          <w:p>
            <w:r>
              <w:rPr>
                <w:sz w:val="19"/>
              </w:rPr>
              <w:t>Integer</w:t>
            </w:r>
          </w:p>
        </w:tc>
        <w:tc>
          <w:tcPr>
            <w:tcW w:type="dxa" w:w="5472"/>
          </w:tcPr>
          <w:p>
            <w:r>
              <w:rPr>
                <w:sz w:val="19"/>
              </w:rPr>
              <w:t>Units ordered</w:t>
            </w:r>
          </w:p>
        </w:tc>
      </w:tr>
      <w:tr>
        <w:tc>
          <w:tcPr>
            <w:tcW w:type="dxa" w:w="2304"/>
          </w:tcPr>
          <w:p>
            <w:r>
              <w:rPr>
                <w:sz w:val="19"/>
              </w:rPr>
              <w:t>Unit_Price</w:t>
            </w:r>
          </w:p>
        </w:tc>
        <w:tc>
          <w:tcPr>
            <w:tcW w:type="dxa" w:w="1296"/>
          </w:tcPr>
          <w:p>
            <w:r>
              <w:rPr>
                <w:sz w:val="19"/>
              </w:rPr>
              <w:t>Float</w:t>
            </w:r>
          </w:p>
        </w:tc>
        <w:tc>
          <w:tcPr>
            <w:tcW w:type="dxa" w:w="5472"/>
          </w:tcPr>
          <w:p>
            <w:r>
              <w:rPr>
                <w:sz w:val="19"/>
              </w:rPr>
              <w:t>Price per unit ($)</w:t>
            </w:r>
          </w:p>
        </w:tc>
      </w:tr>
      <w:tr>
        <w:tc>
          <w:tcPr>
            <w:tcW w:type="dxa" w:w="2304"/>
          </w:tcPr>
          <w:p>
            <w:r>
              <w:rPr>
                <w:sz w:val="19"/>
              </w:rPr>
              <w:t>Discount_Percent</w:t>
            </w:r>
          </w:p>
        </w:tc>
        <w:tc>
          <w:tcPr>
            <w:tcW w:type="dxa" w:w="1296"/>
          </w:tcPr>
          <w:p>
            <w:r>
              <w:rPr>
                <w:sz w:val="19"/>
              </w:rPr>
              <w:t>Float</w:t>
            </w:r>
          </w:p>
        </w:tc>
        <w:tc>
          <w:tcPr>
            <w:tcW w:type="dxa" w:w="5472"/>
          </w:tcPr>
          <w:p>
            <w:r>
              <w:rPr>
                <w:sz w:val="19"/>
              </w:rPr>
              <w:t>Discount applied (%)</w:t>
            </w:r>
          </w:p>
        </w:tc>
      </w:tr>
      <w:tr>
        <w:tc>
          <w:tcPr>
            <w:tcW w:type="dxa" w:w="2304"/>
          </w:tcPr>
          <w:p>
            <w:r>
              <w:rPr>
                <w:sz w:val="19"/>
              </w:rPr>
              <w:t>Total_Sales</w:t>
            </w:r>
          </w:p>
        </w:tc>
        <w:tc>
          <w:tcPr>
            <w:tcW w:type="dxa" w:w="1296"/>
          </w:tcPr>
          <w:p>
            <w:r>
              <w:rPr>
                <w:sz w:val="19"/>
              </w:rPr>
              <w:t>Float</w:t>
            </w:r>
          </w:p>
        </w:tc>
        <w:tc>
          <w:tcPr>
            <w:tcW w:type="dxa" w:w="5472"/>
          </w:tcPr>
          <w:p>
            <w:r>
              <w:rPr>
                <w:sz w:val="19"/>
              </w:rPr>
              <w:t>Revenue generated by the order ($)</w:t>
            </w:r>
          </w:p>
        </w:tc>
      </w:tr>
      <w:tr>
        <w:tc>
          <w:tcPr>
            <w:tcW w:type="dxa" w:w="2304"/>
          </w:tcPr>
          <w:p>
            <w:r>
              <w:rPr>
                <w:sz w:val="19"/>
              </w:rPr>
              <w:t>Shipping_Cost</w:t>
            </w:r>
          </w:p>
        </w:tc>
        <w:tc>
          <w:tcPr>
            <w:tcW w:type="dxa" w:w="1296"/>
          </w:tcPr>
          <w:p>
            <w:r>
              <w:rPr>
                <w:sz w:val="19"/>
              </w:rPr>
              <w:t>Float</w:t>
            </w:r>
          </w:p>
        </w:tc>
        <w:tc>
          <w:tcPr>
            <w:tcW w:type="dxa" w:w="5472"/>
          </w:tcPr>
          <w:p>
            <w:r>
              <w:rPr>
                <w:sz w:val="19"/>
              </w:rPr>
              <w:t>Fulfilment cost for the order ($)</w:t>
            </w:r>
          </w:p>
        </w:tc>
      </w:tr>
      <w:tr>
        <w:tc>
          <w:tcPr>
            <w:tcW w:type="dxa" w:w="2304"/>
          </w:tcPr>
          <w:p>
            <w:r>
              <w:rPr>
                <w:sz w:val="19"/>
              </w:rPr>
              <w:t>Profit</w:t>
            </w:r>
          </w:p>
        </w:tc>
        <w:tc>
          <w:tcPr>
            <w:tcW w:type="dxa" w:w="1296"/>
          </w:tcPr>
          <w:p>
            <w:r>
              <w:rPr>
                <w:sz w:val="19"/>
              </w:rPr>
              <w:t>Float</w:t>
            </w:r>
          </w:p>
        </w:tc>
        <w:tc>
          <w:tcPr>
            <w:tcW w:type="dxa" w:w="5472"/>
          </w:tcPr>
          <w:p>
            <w:r>
              <w:rPr>
                <w:sz w:val="19"/>
              </w:rPr>
              <w:t>Profit on the order ($) — used as provided; no COGS column exists</w:t>
            </w:r>
          </w:p>
        </w:tc>
      </w:tr>
      <w:tr>
        <w:tc>
          <w:tcPr>
            <w:tcW w:type="dxa" w:w="2304"/>
          </w:tcPr>
          <w:p>
            <w:r>
              <w:rPr>
                <w:sz w:val="19"/>
              </w:rPr>
              <w:t>Payment_Method</w:t>
            </w:r>
          </w:p>
        </w:tc>
        <w:tc>
          <w:tcPr>
            <w:tcW w:type="dxa" w:w="1296"/>
          </w:tcPr>
          <w:p>
            <w:r>
              <w:rPr>
                <w:sz w:val="19"/>
              </w:rPr>
              <w:t>String</w:t>
            </w:r>
          </w:p>
        </w:tc>
        <w:tc>
          <w:tcPr>
            <w:tcW w:type="dxa" w:w="5472"/>
          </w:tcPr>
          <w:p>
            <w:r>
              <w:rPr>
                <w:sz w:val="19"/>
              </w:rPr>
              <w:t>Bank Transfer / Cash on Delivery / Credit Card / PayPal</w:t>
            </w:r>
          </w:p>
        </w:tc>
      </w:tr>
    </w:tbl>
    <w:p>
      <w:pPr>
        <w:pStyle w:val="Heading2"/>
      </w:pPr>
      <w:r>
        <w:rPr>
          <w:color w:val="2E86AB"/>
          <w:sz w:val="26"/>
        </w:rPr>
        <w:t>4.2 Categorical Distributions</w:t>
      </w:r>
    </w:p>
    <w:p/>
    <w:p>
      <w:pPr>
        <w:spacing w:after="80"/>
      </w:pPr>
      <w:r>
        <w:rPr>
          <w:b/>
          <w:i w:val="0"/>
          <w:color w:val="374151"/>
          <w:sz w:val="21"/>
        </w:rPr>
        <w:t>Regions and order counts:</w:t>
      </w:r>
    </w:p>
    <w:tbl>
      <w:tblPr>
        <w:tblStyle w:val="TableGrid"/>
        <w:tblW w:type="auto" w:w="0"/>
        <w:jc w:val="left"/>
        <w:tblLook w:firstColumn="1" w:firstRow="1" w:lastColumn="0" w:lastRow="0" w:noHBand="0" w:noVBand="1" w:val="04A0"/>
      </w:tblPr>
      <w:tblGrid>
        <w:gridCol w:w="2928"/>
        <w:gridCol w:w="2928"/>
        <w:gridCol w:w="2928"/>
      </w:tblGrid>
      <w:tr>
        <w:tc>
          <w:tcPr>
            <w:tcW w:type="dxa" w:w="3600"/>
            <w:shd w:val="clear" w:color="auto" w:fill="1F3A5F"/>
            <w:vAlign w:val="center"/>
          </w:tcPr>
          <w:p>
            <w:r>
              <w:rPr>
                <w:b/>
                <w:color w:val="FFFFFF"/>
                <w:sz w:val="19"/>
              </w:rPr>
              <w:t>Region</w:t>
            </w:r>
          </w:p>
        </w:tc>
        <w:tc>
          <w:tcPr>
            <w:tcW w:type="dxa" w:w="1728"/>
            <w:shd w:val="clear" w:color="auto" w:fill="1F3A5F"/>
            <w:vAlign w:val="center"/>
          </w:tcPr>
          <w:p>
            <w:r>
              <w:rPr>
                <w:b/>
                <w:color w:val="FFFFFF"/>
                <w:sz w:val="19"/>
              </w:rPr>
              <w:t>Orders</w:t>
            </w:r>
          </w:p>
        </w:tc>
        <w:tc>
          <w:tcPr>
            <w:tcW w:type="dxa" w:w="2880"/>
            <w:shd w:val="clear" w:color="auto" w:fill="1F3A5F"/>
            <w:vAlign w:val="center"/>
          </w:tcPr>
          <w:p>
            <w:r>
              <w:rPr>
                <w:b/>
                <w:color w:val="FFFFFF"/>
                <w:sz w:val="19"/>
              </w:rPr>
              <w:t>Share of Total Orders</w:t>
            </w:r>
          </w:p>
        </w:tc>
      </w:tr>
      <w:tr>
        <w:tc>
          <w:tcPr>
            <w:tcW w:type="dxa" w:w="3600"/>
          </w:tcPr>
          <w:p>
            <w:r>
              <w:rPr>
                <w:sz w:val="19"/>
              </w:rPr>
              <w:t>Europe</w:t>
            </w:r>
          </w:p>
        </w:tc>
        <w:tc>
          <w:tcPr>
            <w:tcW w:type="dxa" w:w="1728"/>
          </w:tcPr>
          <w:p>
            <w:r>
              <w:rPr>
                <w:sz w:val="19"/>
              </w:rPr>
              <w:t>503</w:t>
            </w:r>
          </w:p>
        </w:tc>
        <w:tc>
          <w:tcPr>
            <w:tcW w:type="dxa" w:w="2880"/>
          </w:tcPr>
          <w:p>
            <w:r>
              <w:rPr>
                <w:sz w:val="19"/>
              </w:rPr>
              <w:t>25.2%</w:t>
            </w:r>
          </w:p>
        </w:tc>
      </w:tr>
      <w:tr>
        <w:tc>
          <w:tcPr>
            <w:tcW w:type="dxa" w:w="3600"/>
          </w:tcPr>
          <w:p>
            <w:r>
              <w:rPr>
                <w:sz w:val="19"/>
              </w:rPr>
              <w:t>North America</w:t>
            </w:r>
          </w:p>
        </w:tc>
        <w:tc>
          <w:tcPr>
            <w:tcW w:type="dxa" w:w="1728"/>
          </w:tcPr>
          <w:p>
            <w:r>
              <w:rPr>
                <w:sz w:val="19"/>
              </w:rPr>
              <w:t>578</w:t>
            </w:r>
          </w:p>
        </w:tc>
        <w:tc>
          <w:tcPr>
            <w:tcW w:type="dxa" w:w="2880"/>
          </w:tcPr>
          <w:p>
            <w:r>
              <w:rPr>
                <w:sz w:val="19"/>
              </w:rPr>
              <w:t>28.9%</w:t>
            </w:r>
          </w:p>
        </w:tc>
      </w:tr>
      <w:tr>
        <w:tc>
          <w:tcPr>
            <w:tcW w:type="dxa" w:w="3600"/>
          </w:tcPr>
          <w:p>
            <w:r>
              <w:rPr>
                <w:sz w:val="19"/>
              </w:rPr>
              <w:t>Asia Pacific</w:t>
            </w:r>
          </w:p>
        </w:tc>
        <w:tc>
          <w:tcPr>
            <w:tcW w:type="dxa" w:w="1728"/>
          </w:tcPr>
          <w:p>
            <w:r>
              <w:rPr>
                <w:sz w:val="19"/>
              </w:rPr>
              <w:t>520</w:t>
            </w:r>
          </w:p>
        </w:tc>
        <w:tc>
          <w:tcPr>
            <w:tcW w:type="dxa" w:w="2880"/>
          </w:tcPr>
          <w:p>
            <w:r>
              <w:rPr>
                <w:sz w:val="19"/>
              </w:rPr>
              <w:t>26.0%</w:t>
            </w:r>
          </w:p>
        </w:tc>
      </w:tr>
      <w:tr>
        <w:tc>
          <w:tcPr>
            <w:tcW w:type="dxa" w:w="3600"/>
          </w:tcPr>
          <w:p>
            <w:r>
              <w:rPr>
                <w:sz w:val="19"/>
              </w:rPr>
              <w:t>South America</w:t>
            </w:r>
          </w:p>
        </w:tc>
        <w:tc>
          <w:tcPr>
            <w:tcW w:type="dxa" w:w="1728"/>
          </w:tcPr>
          <w:p>
            <w:r>
              <w:rPr>
                <w:sz w:val="19"/>
              </w:rPr>
              <w:t>191</w:t>
            </w:r>
          </w:p>
        </w:tc>
        <w:tc>
          <w:tcPr>
            <w:tcW w:type="dxa" w:w="2880"/>
          </w:tcPr>
          <w:p>
            <w:r>
              <w:rPr>
                <w:sz w:val="19"/>
              </w:rPr>
              <w:t>9.6%</w:t>
            </w:r>
          </w:p>
        </w:tc>
      </w:tr>
      <w:tr>
        <w:tc>
          <w:tcPr>
            <w:tcW w:type="dxa" w:w="3600"/>
          </w:tcPr>
          <w:p>
            <w:r>
              <w:rPr>
                <w:sz w:val="19"/>
              </w:rPr>
              <w:t>Middle East &amp; Africa</w:t>
            </w:r>
          </w:p>
        </w:tc>
        <w:tc>
          <w:tcPr>
            <w:tcW w:type="dxa" w:w="1728"/>
          </w:tcPr>
          <w:p>
            <w:r>
              <w:rPr>
                <w:sz w:val="19"/>
              </w:rPr>
              <w:t>208</w:t>
            </w:r>
          </w:p>
        </w:tc>
        <w:tc>
          <w:tcPr>
            <w:tcW w:type="dxa" w:w="2880"/>
          </w:tcPr>
          <w:p>
            <w:r>
              <w:rPr>
                <w:sz w:val="19"/>
              </w:rPr>
              <w:t>10.4%</w:t>
            </w:r>
          </w:p>
        </w:tc>
      </w:tr>
    </w:tbl>
    <w:p/>
    <w:p>
      <w:pPr>
        <w:spacing w:after="80"/>
      </w:pPr>
      <w:r>
        <w:rPr>
          <w:b/>
          <w:i w:val="0"/>
          <w:color w:val="374151"/>
          <w:sz w:val="21"/>
        </w:rPr>
        <w:t>Customer segments:</w:t>
      </w:r>
    </w:p>
    <w:tbl>
      <w:tblPr>
        <w:tblStyle w:val="TableGrid"/>
        <w:tblW w:type="auto" w:w="0"/>
        <w:jc w:val="left"/>
        <w:tblLook w:firstColumn="1" w:firstRow="1" w:lastColumn="0" w:lastRow="0" w:noHBand="0" w:noVBand="1" w:val="04A0"/>
      </w:tblPr>
      <w:tblGrid>
        <w:gridCol w:w="2928"/>
        <w:gridCol w:w="2928"/>
        <w:gridCol w:w="2928"/>
      </w:tblGrid>
      <w:tr>
        <w:tc>
          <w:tcPr>
            <w:tcW w:type="dxa" w:w="2880"/>
            <w:shd w:val="clear" w:color="auto" w:fill="1F3A5F"/>
            <w:vAlign w:val="center"/>
          </w:tcPr>
          <w:p>
            <w:r>
              <w:rPr>
                <w:b/>
                <w:color w:val="FFFFFF"/>
                <w:sz w:val="19"/>
              </w:rPr>
              <w:t>Segment</w:t>
            </w:r>
          </w:p>
        </w:tc>
        <w:tc>
          <w:tcPr>
            <w:tcW w:type="dxa" w:w="1728"/>
            <w:shd w:val="clear" w:color="auto" w:fill="1F3A5F"/>
            <w:vAlign w:val="center"/>
          </w:tcPr>
          <w:p>
            <w:r>
              <w:rPr>
                <w:b/>
                <w:color w:val="FFFFFF"/>
                <w:sz w:val="19"/>
              </w:rPr>
              <w:t>Orders</w:t>
            </w:r>
          </w:p>
        </w:tc>
        <w:tc>
          <w:tcPr>
            <w:tcW w:type="dxa" w:w="1728"/>
            <w:shd w:val="clear" w:color="auto" w:fill="1F3A5F"/>
            <w:vAlign w:val="center"/>
          </w:tcPr>
          <w:p>
            <w:r>
              <w:rPr>
                <w:b/>
                <w:color w:val="FFFFFF"/>
                <w:sz w:val="19"/>
              </w:rPr>
              <w:t>Share</w:t>
            </w:r>
          </w:p>
        </w:tc>
      </w:tr>
      <w:tr>
        <w:tc>
          <w:tcPr>
            <w:tcW w:type="dxa" w:w="2880"/>
          </w:tcPr>
          <w:p>
            <w:r>
              <w:rPr>
                <w:sz w:val="19"/>
              </w:rPr>
              <w:t>Consumer</w:t>
            </w:r>
          </w:p>
        </w:tc>
        <w:tc>
          <w:tcPr>
            <w:tcW w:type="dxa" w:w="1728"/>
          </w:tcPr>
          <w:p>
            <w:r>
              <w:rPr>
                <w:sz w:val="19"/>
              </w:rPr>
              <w:t>1,006</w:t>
            </w:r>
          </w:p>
        </w:tc>
        <w:tc>
          <w:tcPr>
            <w:tcW w:type="dxa" w:w="1728"/>
          </w:tcPr>
          <w:p>
            <w:r>
              <w:rPr>
                <w:sz w:val="19"/>
              </w:rPr>
              <w:t>50.3%</w:t>
            </w:r>
          </w:p>
        </w:tc>
      </w:tr>
      <w:tr>
        <w:tc>
          <w:tcPr>
            <w:tcW w:type="dxa" w:w="2880"/>
          </w:tcPr>
          <w:p>
            <w:r>
              <w:rPr>
                <w:sz w:val="19"/>
              </w:rPr>
              <w:t>Corporate</w:t>
            </w:r>
          </w:p>
        </w:tc>
        <w:tc>
          <w:tcPr>
            <w:tcW w:type="dxa" w:w="1728"/>
          </w:tcPr>
          <w:p>
            <w:r>
              <w:rPr>
                <w:sz w:val="19"/>
              </w:rPr>
              <w:t>623</w:t>
            </w:r>
          </w:p>
        </w:tc>
        <w:tc>
          <w:tcPr>
            <w:tcW w:type="dxa" w:w="1728"/>
          </w:tcPr>
          <w:p>
            <w:r>
              <w:rPr>
                <w:sz w:val="19"/>
              </w:rPr>
              <w:t>31.2%</w:t>
            </w:r>
          </w:p>
        </w:tc>
      </w:tr>
      <w:tr>
        <w:tc>
          <w:tcPr>
            <w:tcW w:type="dxa" w:w="2880"/>
          </w:tcPr>
          <w:p>
            <w:r>
              <w:rPr>
                <w:sz w:val="19"/>
              </w:rPr>
              <w:t>Home Office</w:t>
            </w:r>
          </w:p>
        </w:tc>
        <w:tc>
          <w:tcPr>
            <w:tcW w:type="dxa" w:w="1728"/>
          </w:tcPr>
          <w:p>
            <w:r>
              <w:rPr>
                <w:sz w:val="19"/>
              </w:rPr>
              <w:t>371</w:t>
            </w:r>
          </w:p>
        </w:tc>
        <w:tc>
          <w:tcPr>
            <w:tcW w:type="dxa" w:w="1728"/>
          </w:tcPr>
          <w:p>
            <w:r>
              <w:rPr>
                <w:sz w:val="19"/>
              </w:rPr>
              <w:t>18.6%</w:t>
            </w:r>
          </w:p>
        </w:tc>
      </w:tr>
    </w:tbl>
    <w:p/>
    <w:p>
      <w:pPr>
        <w:pStyle w:val="Heading1"/>
      </w:pPr>
      <w:r>
        <w:rPr>
          <w:color w:val="1F3A5F"/>
          <w:sz w:val="32"/>
        </w:rPr>
        <w:t>5. Data Cleaning and Validation</w:t>
      </w:r>
    </w:p>
    <w:p>
      <w:pPr>
        <w:pBdr>
          <w:bottom w:val="single" w:sz="4" w:space="1" w:color="2E86AB"/>
        </w:pBdr>
        <w:spacing w:after="160"/>
      </w:pPr>
    </w:p>
    <w:tbl>
      <w:tblPr>
        <w:tblStyle w:val="TableGrid"/>
        <w:tblW w:type="auto" w:w="0"/>
        <w:jc w:val="left"/>
        <w:tblLook w:firstColumn="1" w:firstRow="1" w:lastColumn="0" w:lastRow="0" w:noHBand="0" w:noVBand="1" w:val="04A0"/>
      </w:tblPr>
      <w:tblGrid>
        <w:gridCol w:w="4392"/>
        <w:gridCol w:w="4392"/>
      </w:tblGrid>
      <w:tr>
        <w:tc>
          <w:tcPr>
            <w:tcW w:type="dxa" w:w="2880"/>
            <w:shd w:val="clear" w:color="auto" w:fill="1F3A5F"/>
            <w:vAlign w:val="center"/>
          </w:tcPr>
          <w:p>
            <w:r>
              <w:rPr>
                <w:b/>
                <w:color w:val="FFFFFF"/>
                <w:sz w:val="19"/>
              </w:rPr>
              <w:t>Validation Step</w:t>
            </w:r>
          </w:p>
        </w:tc>
        <w:tc>
          <w:tcPr>
            <w:tcW w:type="dxa" w:w="6192"/>
            <w:shd w:val="clear" w:color="auto" w:fill="1F3A5F"/>
            <w:vAlign w:val="center"/>
          </w:tcPr>
          <w:p>
            <w:r>
              <w:rPr>
                <w:b/>
                <w:color w:val="FFFFFF"/>
                <w:sz w:val="19"/>
              </w:rPr>
              <w:t>Outcome</w:t>
            </w:r>
          </w:p>
        </w:tc>
      </w:tr>
      <w:tr>
        <w:tc>
          <w:tcPr>
            <w:tcW w:type="dxa" w:w="2880"/>
          </w:tcPr>
          <w:p>
            <w:r>
              <w:rPr>
                <w:sz w:val="19"/>
              </w:rPr>
              <w:t>Missing values</w:t>
            </w:r>
          </w:p>
        </w:tc>
        <w:tc>
          <w:tcPr>
            <w:tcW w:type="dxa" w:w="6192"/>
          </w:tcPr>
          <w:p>
            <w:r>
              <w:rPr>
                <w:sz w:val="19"/>
              </w:rPr>
              <w:t>Zero missing values detected across all 15 columns and 2,000 rows.</w:t>
            </w:r>
          </w:p>
        </w:tc>
      </w:tr>
      <w:tr>
        <w:tc>
          <w:tcPr>
            <w:tcW w:type="dxa" w:w="2880"/>
          </w:tcPr>
          <w:p>
            <w:r>
              <w:rPr>
                <w:sz w:val="19"/>
              </w:rPr>
              <w:t>Duplicate Order_IDs</w:t>
            </w:r>
          </w:p>
        </w:tc>
        <w:tc>
          <w:tcPr>
            <w:tcW w:type="dxa" w:w="6192"/>
          </w:tcPr>
          <w:p>
            <w:r>
              <w:rPr>
                <w:sz w:val="19"/>
              </w:rPr>
              <w:t>Zero duplicates detected. All 2,000 Order_ID values are unique.</w:t>
            </w:r>
          </w:p>
        </w:tc>
      </w:tr>
      <w:tr>
        <w:tc>
          <w:tcPr>
            <w:tcW w:type="dxa" w:w="2880"/>
          </w:tcPr>
          <w:p>
            <w:r>
              <w:rPr>
                <w:sz w:val="19"/>
              </w:rPr>
              <w:t>Date parsing</w:t>
            </w:r>
          </w:p>
        </w:tc>
        <w:tc>
          <w:tcPr>
            <w:tcW w:type="dxa" w:w="6192"/>
          </w:tcPr>
          <w:p>
            <w:r>
              <w:rPr>
                <w:sz w:val="19"/>
              </w:rPr>
              <w:t>Order_Date parsed to datetime using pandas.to_datetime; invalid dates would be flagged and excluded (none found).</w:t>
            </w:r>
          </w:p>
        </w:tc>
      </w:tr>
      <w:tr>
        <w:tc>
          <w:tcPr>
            <w:tcW w:type="dxa" w:w="2880"/>
          </w:tcPr>
          <w:p>
            <w:r>
              <w:rPr>
                <w:sz w:val="19"/>
              </w:rPr>
              <w:t>Numeric coercion</w:t>
            </w:r>
          </w:p>
        </w:tc>
        <w:tc>
          <w:tcPr>
            <w:tcW w:type="dxa" w:w="6192"/>
          </w:tcPr>
          <w:p>
            <w:r>
              <w:rPr>
                <w:sz w:val="19"/>
              </w:rPr>
              <w:t>Quantity, Unit_Price, Discount_Percent, Total_Sales, Shipping_Cost, and Profit coerced to numeric; rows with all-null core numeric fields would be dropped (none found).</w:t>
            </w:r>
          </w:p>
        </w:tc>
      </w:tr>
      <w:tr>
        <w:tc>
          <w:tcPr>
            <w:tcW w:type="dxa" w:w="2880"/>
          </w:tcPr>
          <w:p>
            <w:r>
              <w:rPr>
                <w:sz w:val="19"/>
              </w:rPr>
              <w:t>Negative Profit</w:t>
            </w:r>
          </w:p>
        </w:tc>
        <w:tc>
          <w:tcPr>
            <w:tcW w:type="dxa" w:w="6192"/>
          </w:tcPr>
          <w:p>
            <w:r>
              <w:rPr>
                <w:sz w:val="19"/>
              </w:rPr>
              <w:t>Negative Profit values are retained as legitimate loss-making orders. They are never removed during cleaning.</w:t>
            </w:r>
          </w:p>
        </w:tc>
      </w:tr>
      <w:tr>
        <w:tc>
          <w:tcPr>
            <w:tcW w:type="dxa" w:w="2880"/>
          </w:tcPr>
          <w:p>
            <w:r>
              <w:rPr>
                <w:sz w:val="19"/>
              </w:rPr>
              <w:t>Derived columns</w:t>
            </w:r>
          </w:p>
        </w:tc>
        <w:tc>
          <w:tcPr>
            <w:tcW w:type="dxa" w:w="6192"/>
          </w:tcPr>
          <w:p>
            <w:r>
              <w:rPr>
                <w:sz w:val="19"/>
              </w:rPr>
              <w:t>Profit_Margin (%), Year, Month, YearMonth, Quarter, Is_Loss flag computed at load time from source columns.</w:t>
            </w:r>
          </w:p>
        </w:tc>
      </w:tr>
      <w:tr>
        <w:tc>
          <w:tcPr>
            <w:tcW w:type="dxa" w:w="2880"/>
          </w:tcPr>
          <w:p>
            <w:r>
              <w:rPr>
                <w:sz w:val="19"/>
              </w:rPr>
              <w:t>Original file</w:t>
            </w:r>
          </w:p>
        </w:tc>
        <w:tc>
          <w:tcPr>
            <w:tcW w:type="dxa" w:w="6192"/>
          </w:tcPr>
          <w:p>
            <w:r>
              <w:rPr>
                <w:sz w:val="19"/>
              </w:rPr>
              <w:t>The source CSV is read-only; no writes are performed to global_ecommerce_sales.csv.</w:t>
            </w:r>
          </w:p>
        </w:tc>
      </w:tr>
    </w:tbl>
    <w:p/>
    <w:p>
      <w:pPr>
        <w:pStyle w:val="Heading1"/>
      </w:pPr>
      <w:r>
        <w:rPr>
          <w:color w:val="1F3A5F"/>
          <w:sz w:val="32"/>
        </w:rPr>
        <w:t>6. Methodology</w:t>
      </w:r>
    </w:p>
    <w:p>
      <w:pPr>
        <w:pBdr>
          <w:bottom w:val="single" w:sz="4" w:space="1" w:color="2E86AB"/>
        </w:pBdr>
        <w:spacing w:after="160"/>
      </w:pPr>
    </w:p>
    <w:p>
      <w:pPr>
        <w:spacing w:after="80"/>
      </w:pPr>
      <w:r>
        <w:rPr>
          <w:b w:val="0"/>
          <w:i w:val="0"/>
          <w:color w:val="374151"/>
          <w:sz w:val="21"/>
        </w:rPr>
        <w:t>The application follows a descriptive-analytics methodology: load → clean → aggregate → visualise → interpret. All insights, risks, and opportunities presented in the dashboard are derived exclusively from calculated values in the dataset. No external benchmarks, synthetic data, or machine learning models are used.</w:t>
      </w:r>
    </w:p>
    <w:p/>
    <w:p>
      <w:pPr>
        <w:pStyle w:val="Heading2"/>
      </w:pPr>
      <w:r>
        <w:rPr>
          <w:color w:val="2E86AB"/>
          <w:sz w:val="26"/>
        </w:rPr>
        <w:t>6.1 KPI Calculation Formulas</w:t>
      </w:r>
    </w:p>
    <w:tbl>
      <w:tblPr>
        <w:tblStyle w:val="TableGrid"/>
        <w:tblW w:type="auto" w:w="0"/>
        <w:jc w:val="left"/>
        <w:tblLook w:firstColumn="1" w:firstRow="1" w:lastColumn="0" w:lastRow="0" w:noHBand="0" w:noVBand="1" w:val="04A0"/>
      </w:tblPr>
      <w:tblGrid>
        <w:gridCol w:w="4392"/>
        <w:gridCol w:w="4392"/>
      </w:tblGrid>
      <w:tr>
        <w:tc>
          <w:tcPr>
            <w:tcW w:type="dxa" w:w="3456"/>
            <w:shd w:val="clear" w:color="auto" w:fill="1F3A5F"/>
            <w:vAlign w:val="center"/>
          </w:tcPr>
          <w:p>
            <w:r>
              <w:rPr>
                <w:b/>
                <w:color w:val="FFFFFF"/>
                <w:sz w:val="19"/>
              </w:rPr>
              <w:t>KPI</w:t>
            </w:r>
          </w:p>
        </w:tc>
        <w:tc>
          <w:tcPr>
            <w:tcW w:type="dxa" w:w="5616"/>
            <w:shd w:val="clear" w:color="auto" w:fill="1F3A5F"/>
            <w:vAlign w:val="center"/>
          </w:tcPr>
          <w:p>
            <w:r>
              <w:rPr>
                <w:b/>
                <w:color w:val="FFFFFF"/>
                <w:sz w:val="19"/>
              </w:rPr>
              <w:t>Formula</w:t>
            </w:r>
          </w:p>
        </w:tc>
      </w:tr>
      <w:tr>
        <w:tc>
          <w:tcPr>
            <w:tcW w:type="dxa" w:w="3456"/>
          </w:tcPr>
          <w:p>
            <w:r>
              <w:rPr>
                <w:sz w:val="19"/>
              </w:rPr>
              <w:t>Total Sales</w:t>
            </w:r>
          </w:p>
        </w:tc>
        <w:tc>
          <w:tcPr>
            <w:tcW w:type="dxa" w:w="5616"/>
          </w:tcPr>
          <w:p>
            <w:r>
              <w:rPr>
                <w:sz w:val="19"/>
              </w:rPr>
              <w:t>SUM(Total_Sales)</w:t>
            </w:r>
          </w:p>
        </w:tc>
      </w:tr>
      <w:tr>
        <w:tc>
          <w:tcPr>
            <w:tcW w:type="dxa" w:w="3456"/>
          </w:tcPr>
          <w:p>
            <w:r>
              <w:rPr>
                <w:sz w:val="19"/>
              </w:rPr>
              <w:t>Total Profit</w:t>
            </w:r>
          </w:p>
        </w:tc>
        <w:tc>
          <w:tcPr>
            <w:tcW w:type="dxa" w:w="5616"/>
          </w:tcPr>
          <w:p>
            <w:r>
              <w:rPr>
                <w:sz w:val="19"/>
              </w:rPr>
              <w:t>SUM(Profit)</w:t>
            </w:r>
          </w:p>
        </w:tc>
      </w:tr>
      <w:tr>
        <w:tc>
          <w:tcPr>
            <w:tcW w:type="dxa" w:w="3456"/>
          </w:tcPr>
          <w:p>
            <w:r>
              <w:rPr>
                <w:sz w:val="19"/>
              </w:rPr>
              <w:t>Total Orders</w:t>
            </w:r>
          </w:p>
        </w:tc>
        <w:tc>
          <w:tcPr>
            <w:tcW w:type="dxa" w:w="5616"/>
          </w:tcPr>
          <w:p>
            <w:r>
              <w:rPr>
                <w:sz w:val="19"/>
              </w:rPr>
              <w:t>COUNT DISTINCT(Order_ID)</w:t>
            </w:r>
          </w:p>
        </w:tc>
      </w:tr>
      <w:tr>
        <w:tc>
          <w:tcPr>
            <w:tcW w:type="dxa" w:w="3456"/>
          </w:tcPr>
          <w:p>
            <w:r>
              <w:rPr>
                <w:sz w:val="19"/>
              </w:rPr>
              <w:t>Total Quantity</w:t>
            </w:r>
          </w:p>
        </w:tc>
        <w:tc>
          <w:tcPr>
            <w:tcW w:type="dxa" w:w="5616"/>
          </w:tcPr>
          <w:p>
            <w:r>
              <w:rPr>
                <w:sz w:val="19"/>
              </w:rPr>
              <w:t>SUM(Quantity)</w:t>
            </w:r>
          </w:p>
        </w:tc>
      </w:tr>
      <w:tr>
        <w:tc>
          <w:tcPr>
            <w:tcW w:type="dxa" w:w="3456"/>
          </w:tcPr>
          <w:p>
            <w:r>
              <w:rPr>
                <w:sz w:val="19"/>
              </w:rPr>
              <w:t>Unique Customers</w:t>
            </w:r>
          </w:p>
        </w:tc>
        <w:tc>
          <w:tcPr>
            <w:tcW w:type="dxa" w:w="5616"/>
          </w:tcPr>
          <w:p>
            <w:r>
              <w:rPr>
                <w:sz w:val="19"/>
              </w:rPr>
              <w:t>COUNT DISTINCT(Customer_Name)</w:t>
            </w:r>
          </w:p>
        </w:tc>
      </w:tr>
      <w:tr>
        <w:tc>
          <w:tcPr>
            <w:tcW w:type="dxa" w:w="3456"/>
          </w:tcPr>
          <w:p>
            <w:r>
              <w:rPr>
                <w:sz w:val="19"/>
              </w:rPr>
              <w:t>Average Order Value</w:t>
            </w:r>
          </w:p>
        </w:tc>
        <w:tc>
          <w:tcPr>
            <w:tcW w:type="dxa" w:w="5616"/>
          </w:tcPr>
          <w:p>
            <w:r>
              <w:rPr>
                <w:sz w:val="19"/>
              </w:rPr>
              <w:t>Total Sales / Total Orders</w:t>
            </w:r>
          </w:p>
        </w:tc>
      </w:tr>
      <w:tr>
        <w:tc>
          <w:tcPr>
            <w:tcW w:type="dxa" w:w="3456"/>
          </w:tcPr>
          <w:p>
            <w:r>
              <w:rPr>
                <w:sz w:val="19"/>
              </w:rPr>
              <w:t>Profit Margin</w:t>
            </w:r>
          </w:p>
        </w:tc>
        <w:tc>
          <w:tcPr>
            <w:tcW w:type="dxa" w:w="5616"/>
          </w:tcPr>
          <w:p>
            <w:r>
              <w:rPr>
                <w:sz w:val="19"/>
              </w:rPr>
              <w:t>(Total Profit / Total Sales) × 100</w:t>
            </w:r>
          </w:p>
        </w:tc>
      </w:tr>
      <w:tr>
        <w:tc>
          <w:tcPr>
            <w:tcW w:type="dxa" w:w="3456"/>
          </w:tcPr>
          <w:p>
            <w:r>
              <w:rPr>
                <w:sz w:val="19"/>
              </w:rPr>
              <w:t>Average Discount</w:t>
            </w:r>
          </w:p>
        </w:tc>
        <w:tc>
          <w:tcPr>
            <w:tcW w:type="dxa" w:w="5616"/>
          </w:tcPr>
          <w:p>
            <w:r>
              <w:rPr>
                <w:sz w:val="19"/>
              </w:rPr>
              <w:t>MEAN(Discount_Percent)</w:t>
            </w:r>
          </w:p>
        </w:tc>
      </w:tr>
      <w:tr>
        <w:tc>
          <w:tcPr>
            <w:tcW w:type="dxa" w:w="3456"/>
          </w:tcPr>
          <w:p>
            <w:r>
              <w:rPr>
                <w:sz w:val="19"/>
              </w:rPr>
              <w:t>Order Profit Margin</w:t>
            </w:r>
          </w:p>
        </w:tc>
        <w:tc>
          <w:tcPr>
            <w:tcW w:type="dxa" w:w="5616"/>
          </w:tcPr>
          <w:p>
            <w:r>
              <w:rPr>
                <w:sz w:val="19"/>
              </w:rPr>
              <w:t>(Profit / Total_Sales) × 100 per row</w:t>
            </w:r>
          </w:p>
        </w:tc>
      </w:tr>
    </w:tbl>
    <w:p/>
    <w:p>
      <w:pPr>
        <w:pStyle w:val="Heading1"/>
      </w:pPr>
      <w:r>
        <w:rPr>
          <w:color w:val="1F3A5F"/>
          <w:sz w:val="32"/>
        </w:rPr>
        <w:t>7. KPI Analysis — Full Dataset Results</w:t>
      </w:r>
    </w:p>
    <w:p>
      <w:pPr>
        <w:pBdr>
          <w:bottom w:val="single" w:sz="4" w:space="1" w:color="2E86AB"/>
        </w:pBdr>
        <w:spacing w:after="160"/>
      </w:pPr>
    </w:p>
    <w:p>
      <w:pPr>
        <w:spacing w:after="80"/>
      </w:pPr>
      <w:r>
        <w:rPr>
          <w:b w:val="0"/>
          <w:i w:val="0"/>
          <w:color w:val="374151"/>
          <w:sz w:val="21"/>
        </w:rPr>
        <w:t>All values are computed from the complete unfiltered dataset (2,000 orders, 2023–2025).</w:t>
      </w:r>
    </w:p>
    <w:p/>
    <w:tbl>
      <w:tblPr>
        <w:tblStyle w:val="TableGrid"/>
        <w:tblW w:type="auto" w:w="0"/>
        <w:jc w:val="left"/>
        <w:tblLook w:firstColumn="1" w:firstRow="1" w:lastColumn="0" w:lastRow="0" w:noHBand="0" w:noVBand="1" w:val="04A0"/>
      </w:tblPr>
      <w:tblGrid>
        <w:gridCol w:w="4392"/>
        <w:gridCol w:w="4392"/>
      </w:tblGrid>
      <w:tr>
        <w:tc>
          <w:tcPr>
            <w:tcW w:type="dxa" w:w="3456"/>
            <w:shd w:val="clear" w:color="auto" w:fill="1F3A5F"/>
            <w:vAlign w:val="center"/>
          </w:tcPr>
          <w:p>
            <w:r>
              <w:rPr>
                <w:b/>
                <w:color w:val="FFFFFF"/>
                <w:sz w:val="19"/>
              </w:rPr>
              <w:t>KPI</w:t>
            </w:r>
          </w:p>
        </w:tc>
        <w:tc>
          <w:tcPr>
            <w:tcW w:type="dxa" w:w="3600"/>
            <w:shd w:val="clear" w:color="auto" w:fill="1F3A5F"/>
            <w:vAlign w:val="center"/>
          </w:tcPr>
          <w:p>
            <w:r>
              <w:rPr>
                <w:b/>
                <w:color w:val="FFFFFF"/>
                <w:sz w:val="19"/>
              </w:rPr>
              <w:t>Value</w:t>
            </w:r>
          </w:p>
        </w:tc>
      </w:tr>
      <w:tr>
        <w:tc>
          <w:tcPr>
            <w:tcW w:type="dxa" w:w="3456"/>
          </w:tcPr>
          <w:p>
            <w:r>
              <w:rPr>
                <w:sz w:val="19"/>
              </w:rPr>
              <w:t>Total Sales</w:t>
            </w:r>
          </w:p>
        </w:tc>
        <w:tc>
          <w:tcPr>
            <w:tcW w:type="dxa" w:w="3600"/>
          </w:tcPr>
          <w:p>
            <w:r>
              <w:rPr>
                <w:sz w:val="19"/>
              </w:rPr>
              <w:t>$484,559.34</w:t>
            </w:r>
          </w:p>
        </w:tc>
      </w:tr>
      <w:tr>
        <w:tc>
          <w:tcPr>
            <w:tcW w:type="dxa" w:w="3456"/>
          </w:tcPr>
          <w:p>
            <w:r>
              <w:rPr>
                <w:sz w:val="19"/>
              </w:rPr>
              <w:t>Total Profit</w:t>
            </w:r>
          </w:p>
        </w:tc>
        <w:tc>
          <w:tcPr>
            <w:tcW w:type="dxa" w:w="3600"/>
          </w:tcPr>
          <w:p>
            <w:r>
              <w:rPr>
                <w:sz w:val="19"/>
              </w:rPr>
              <w:t>$158,872.32</w:t>
            </w:r>
          </w:p>
        </w:tc>
      </w:tr>
      <w:tr>
        <w:tc>
          <w:tcPr>
            <w:tcW w:type="dxa" w:w="3456"/>
          </w:tcPr>
          <w:p>
            <w:r>
              <w:rPr>
                <w:sz w:val="19"/>
              </w:rPr>
              <w:t>Total Orders</w:t>
            </w:r>
          </w:p>
        </w:tc>
        <w:tc>
          <w:tcPr>
            <w:tcW w:type="dxa" w:w="3600"/>
          </w:tcPr>
          <w:p>
            <w:r>
              <w:rPr>
                <w:sz w:val="19"/>
              </w:rPr>
              <w:t>2,000</w:t>
            </w:r>
          </w:p>
        </w:tc>
      </w:tr>
      <w:tr>
        <w:tc>
          <w:tcPr>
            <w:tcW w:type="dxa" w:w="3456"/>
          </w:tcPr>
          <w:p>
            <w:r>
              <w:rPr>
                <w:sz w:val="19"/>
              </w:rPr>
              <w:t>Total Quantity Sold</w:t>
            </w:r>
          </w:p>
        </w:tc>
        <w:tc>
          <w:tcPr>
            <w:tcW w:type="dxa" w:w="3600"/>
          </w:tcPr>
          <w:p>
            <w:r>
              <w:rPr>
                <w:sz w:val="19"/>
              </w:rPr>
              <w:t>7,115 units</w:t>
            </w:r>
          </w:p>
        </w:tc>
      </w:tr>
      <w:tr>
        <w:tc>
          <w:tcPr>
            <w:tcW w:type="dxa" w:w="3456"/>
          </w:tcPr>
          <w:p>
            <w:r>
              <w:rPr>
                <w:sz w:val="19"/>
              </w:rPr>
              <w:t>Unique Customers</w:t>
            </w:r>
          </w:p>
        </w:tc>
        <w:tc>
          <w:tcPr>
            <w:tcW w:type="dxa" w:w="3600"/>
          </w:tcPr>
          <w:p>
            <w:r>
              <w:rPr>
                <w:sz w:val="19"/>
              </w:rPr>
              <w:t>1,534</w:t>
            </w:r>
          </w:p>
        </w:tc>
      </w:tr>
      <w:tr>
        <w:tc>
          <w:tcPr>
            <w:tcW w:type="dxa" w:w="3456"/>
          </w:tcPr>
          <w:p>
            <w:r>
              <w:rPr>
                <w:sz w:val="19"/>
              </w:rPr>
              <w:t>Average Order Value</w:t>
            </w:r>
          </w:p>
        </w:tc>
        <w:tc>
          <w:tcPr>
            <w:tcW w:type="dxa" w:w="3600"/>
          </w:tcPr>
          <w:p>
            <w:r>
              <w:rPr>
                <w:sz w:val="19"/>
              </w:rPr>
              <w:t>$242.28</w:t>
            </w:r>
          </w:p>
        </w:tc>
      </w:tr>
      <w:tr>
        <w:tc>
          <w:tcPr>
            <w:tcW w:type="dxa" w:w="3456"/>
          </w:tcPr>
          <w:p>
            <w:r>
              <w:rPr>
                <w:sz w:val="19"/>
              </w:rPr>
              <w:t>Profit Margin</w:t>
            </w:r>
          </w:p>
        </w:tc>
        <w:tc>
          <w:tcPr>
            <w:tcW w:type="dxa" w:w="3600"/>
          </w:tcPr>
          <w:p>
            <w:r>
              <w:rPr>
                <w:sz w:val="19"/>
              </w:rPr>
              <w:t>32.79%</w:t>
            </w:r>
          </w:p>
        </w:tc>
      </w:tr>
      <w:tr>
        <w:tc>
          <w:tcPr>
            <w:tcW w:type="dxa" w:w="3456"/>
          </w:tcPr>
          <w:p>
            <w:r>
              <w:rPr>
                <w:sz w:val="19"/>
              </w:rPr>
              <w:t>Average Discount</w:t>
            </w:r>
          </w:p>
        </w:tc>
        <w:tc>
          <w:tcPr>
            <w:tcW w:type="dxa" w:w="3600"/>
          </w:tcPr>
          <w:p>
            <w:r>
              <w:rPr>
                <w:sz w:val="19"/>
              </w:rPr>
              <w:t>8.57%</w:t>
            </w:r>
          </w:p>
        </w:tc>
      </w:tr>
    </w:tbl>
    <w:p/>
    <w:p>
      <w:pPr>
        <w:pStyle w:val="Heading1"/>
      </w:pPr>
      <w:r>
        <w:rPr>
          <w:color w:val="1F3A5F"/>
          <w:sz w:val="32"/>
        </w:rPr>
        <w:t>8. Executive Overview</w:t>
      </w:r>
    </w:p>
    <w:p>
      <w:pPr>
        <w:pBdr>
          <w:bottom w:val="single" w:sz="4" w:space="1" w:color="2E86AB"/>
        </w:pBdr>
        <w:spacing w:after="160"/>
      </w:pPr>
    </w:p>
    <w:p>
      <w:pPr>
        <w:spacing w:after="80"/>
      </w:pPr>
      <w:r>
        <w:rPr>
          <w:b w:val="0"/>
          <w:i w:val="0"/>
          <w:color w:val="374151"/>
          <w:sz w:val="21"/>
        </w:rPr>
        <w:t>The business generated $484,559 in revenue and $158,872 in profit over the three-year period 2023–2025, yielding a healthy overall profit margin of 32.79%. With 2,000 orders placed by 1,534 unique customers, the average order value stands at $242.28. The average discount applied across all orders is 8.57%, though orders with discounts of 20% or more show markedly lower margins (see Section 13).</w:t>
      </w:r>
    </w:p>
    <w:p>
      <w:pPr>
        <w:spacing w:after="80"/>
      </w:pPr>
      <w:r>
        <w:rPr>
          <w:b w:val="0"/>
          <w:i w:val="0"/>
          <w:color w:val="374151"/>
          <w:sz w:val="21"/>
        </w:rPr>
        <w:t>Europe (28.3%) and North America (27.6%) are the dominant revenue regions, together accounting for more than half of total sales. Consumer customers represent 50.3% of all orders and are the largest revenue-generating segment.</w:t>
      </w:r>
    </w:p>
    <w:p/>
    <w:p>
      <w:pPr>
        <w:pStyle w:val="Heading1"/>
      </w:pPr>
      <w:r>
        <w:rPr>
          <w:color w:val="1F3A5F"/>
          <w:sz w:val="32"/>
        </w:rPr>
        <w:t>9. Sales Analysis</w:t>
      </w:r>
    </w:p>
    <w:p>
      <w:pPr>
        <w:pBdr>
          <w:bottom w:val="single" w:sz="4" w:space="1" w:color="2E86AB"/>
        </w:pBdr>
        <w:spacing w:after="160"/>
      </w:pPr>
    </w:p>
    <w:p>
      <w:pPr>
        <w:pStyle w:val="Heading2"/>
      </w:pPr>
      <w:r>
        <w:rPr>
          <w:color w:val="2E86AB"/>
          <w:sz w:val="26"/>
        </w:rPr>
        <w:t>9.1 Sales by Region</w:t>
      </w:r>
    </w:p>
    <w:tbl>
      <w:tblPr>
        <w:tblStyle w:val="TableGrid"/>
        <w:tblW w:type="auto" w:w="0"/>
        <w:jc w:val="left"/>
        <w:tblLook w:firstColumn="1" w:firstRow="1" w:lastColumn="0" w:lastRow="0" w:noHBand="0" w:noVBand="1" w:val="04A0"/>
      </w:tblPr>
      <w:tblGrid>
        <w:gridCol w:w="1757"/>
        <w:gridCol w:w="1757"/>
        <w:gridCol w:w="1757"/>
        <w:gridCol w:w="1757"/>
        <w:gridCol w:w="1757"/>
      </w:tblGrid>
      <w:tr>
        <w:tc>
          <w:tcPr>
            <w:tcW w:type="dxa" w:w="3024"/>
            <w:shd w:val="clear" w:color="auto" w:fill="1F3A5F"/>
            <w:vAlign w:val="center"/>
          </w:tcPr>
          <w:p>
            <w:r>
              <w:rPr>
                <w:b/>
                <w:color w:val="FFFFFF"/>
                <w:sz w:val="19"/>
              </w:rPr>
              <w:t>Region</w:t>
            </w:r>
          </w:p>
        </w:tc>
        <w:tc>
          <w:tcPr>
            <w:tcW w:type="dxa" w:w="1872"/>
            <w:shd w:val="clear" w:color="auto" w:fill="1F3A5F"/>
            <w:vAlign w:val="center"/>
          </w:tcPr>
          <w:p>
            <w:r>
              <w:rPr>
                <w:b/>
                <w:color w:val="FFFFFF"/>
                <w:sz w:val="19"/>
              </w:rPr>
              <w:t>Total Sales</w:t>
            </w:r>
          </w:p>
        </w:tc>
        <w:tc>
          <w:tcPr>
            <w:tcW w:type="dxa" w:w="1152"/>
            <w:shd w:val="clear" w:color="auto" w:fill="1F3A5F"/>
            <w:vAlign w:val="center"/>
          </w:tcPr>
          <w:p>
            <w:r>
              <w:rPr>
                <w:b/>
                <w:color w:val="FFFFFF"/>
                <w:sz w:val="19"/>
              </w:rPr>
              <w:t>Share</w:t>
            </w:r>
          </w:p>
        </w:tc>
        <w:tc>
          <w:tcPr>
            <w:tcW w:type="dxa" w:w="1872"/>
            <w:shd w:val="clear" w:color="auto" w:fill="1F3A5F"/>
            <w:vAlign w:val="center"/>
          </w:tcPr>
          <w:p>
            <w:r>
              <w:rPr>
                <w:b/>
                <w:color w:val="FFFFFF"/>
                <w:sz w:val="19"/>
              </w:rPr>
              <w:t>Total Profit</w:t>
            </w:r>
          </w:p>
        </w:tc>
        <w:tc>
          <w:tcPr>
            <w:tcW w:type="dxa" w:w="1296"/>
            <w:shd w:val="clear" w:color="auto" w:fill="1F3A5F"/>
            <w:vAlign w:val="center"/>
          </w:tcPr>
          <w:p>
            <w:r>
              <w:rPr>
                <w:b/>
                <w:color w:val="FFFFFF"/>
                <w:sz w:val="19"/>
              </w:rPr>
              <w:t>Margin</w:t>
            </w:r>
          </w:p>
        </w:tc>
      </w:tr>
      <w:tr>
        <w:tc>
          <w:tcPr>
            <w:tcW w:type="dxa" w:w="3024"/>
          </w:tcPr>
          <w:p>
            <w:r>
              <w:rPr>
                <w:sz w:val="19"/>
              </w:rPr>
              <w:t>Europe</w:t>
            </w:r>
          </w:p>
        </w:tc>
        <w:tc>
          <w:tcPr>
            <w:tcW w:type="dxa" w:w="1872"/>
          </w:tcPr>
          <w:p>
            <w:r>
              <w:rPr>
                <w:sz w:val="19"/>
              </w:rPr>
              <w:t>$137,006</w:t>
            </w:r>
          </w:p>
        </w:tc>
        <w:tc>
          <w:tcPr>
            <w:tcW w:type="dxa" w:w="1152"/>
          </w:tcPr>
          <w:p>
            <w:r>
              <w:rPr>
                <w:sz w:val="19"/>
              </w:rPr>
              <w:t>28.3%</w:t>
            </w:r>
          </w:p>
        </w:tc>
        <w:tc>
          <w:tcPr>
            <w:tcW w:type="dxa" w:w="1872"/>
          </w:tcPr>
          <w:p>
            <w:r>
              <w:rPr>
                <w:sz w:val="19"/>
              </w:rPr>
              <w:t>$45,672</w:t>
            </w:r>
          </w:p>
        </w:tc>
        <w:tc>
          <w:tcPr>
            <w:tcW w:type="dxa" w:w="1296"/>
          </w:tcPr>
          <w:p>
            <w:r>
              <w:rPr>
                <w:sz w:val="19"/>
              </w:rPr>
              <w:t>33.34%</w:t>
            </w:r>
          </w:p>
        </w:tc>
      </w:tr>
      <w:tr>
        <w:tc>
          <w:tcPr>
            <w:tcW w:type="dxa" w:w="3024"/>
          </w:tcPr>
          <w:p>
            <w:r>
              <w:rPr>
                <w:sz w:val="19"/>
              </w:rPr>
              <w:t>North America</w:t>
            </w:r>
          </w:p>
        </w:tc>
        <w:tc>
          <w:tcPr>
            <w:tcW w:type="dxa" w:w="1872"/>
          </w:tcPr>
          <w:p>
            <w:r>
              <w:rPr>
                <w:sz w:val="19"/>
              </w:rPr>
              <w:t>$133,876</w:t>
            </w:r>
          </w:p>
        </w:tc>
        <w:tc>
          <w:tcPr>
            <w:tcW w:type="dxa" w:w="1152"/>
          </w:tcPr>
          <w:p>
            <w:r>
              <w:rPr>
                <w:sz w:val="19"/>
              </w:rPr>
              <w:t>27.6%</w:t>
            </w:r>
          </w:p>
        </w:tc>
        <w:tc>
          <w:tcPr>
            <w:tcW w:type="dxa" w:w="1872"/>
          </w:tcPr>
          <w:p>
            <w:r>
              <w:rPr>
                <w:sz w:val="19"/>
              </w:rPr>
              <w:t>$45,250</w:t>
            </w:r>
          </w:p>
        </w:tc>
        <w:tc>
          <w:tcPr>
            <w:tcW w:type="dxa" w:w="1296"/>
          </w:tcPr>
          <w:p>
            <w:r>
              <w:rPr>
                <w:sz w:val="19"/>
              </w:rPr>
              <w:t>33.80%</w:t>
            </w:r>
          </w:p>
        </w:tc>
      </w:tr>
      <w:tr>
        <w:tc>
          <w:tcPr>
            <w:tcW w:type="dxa" w:w="3024"/>
          </w:tcPr>
          <w:p>
            <w:r>
              <w:rPr>
                <w:sz w:val="19"/>
              </w:rPr>
              <w:t>Asia Pacific</w:t>
            </w:r>
          </w:p>
        </w:tc>
        <w:tc>
          <w:tcPr>
            <w:tcW w:type="dxa" w:w="1872"/>
          </w:tcPr>
          <w:p>
            <w:r>
              <w:rPr>
                <w:sz w:val="19"/>
              </w:rPr>
              <w:t>$121,708</w:t>
            </w:r>
          </w:p>
        </w:tc>
        <w:tc>
          <w:tcPr>
            <w:tcW w:type="dxa" w:w="1152"/>
          </w:tcPr>
          <w:p>
            <w:r>
              <w:rPr>
                <w:sz w:val="19"/>
              </w:rPr>
              <w:t>25.1%</w:t>
            </w:r>
          </w:p>
        </w:tc>
        <w:tc>
          <w:tcPr>
            <w:tcW w:type="dxa" w:w="1872"/>
          </w:tcPr>
          <w:p>
            <w:r>
              <w:rPr>
                <w:sz w:val="19"/>
              </w:rPr>
              <w:t>$39,117</w:t>
            </w:r>
          </w:p>
        </w:tc>
        <w:tc>
          <w:tcPr>
            <w:tcW w:type="dxa" w:w="1296"/>
          </w:tcPr>
          <w:p>
            <w:r>
              <w:rPr>
                <w:sz w:val="19"/>
              </w:rPr>
              <w:t>32.14%</w:t>
            </w:r>
          </w:p>
        </w:tc>
      </w:tr>
      <w:tr>
        <w:tc>
          <w:tcPr>
            <w:tcW w:type="dxa" w:w="3024"/>
          </w:tcPr>
          <w:p>
            <w:r>
              <w:rPr>
                <w:sz w:val="19"/>
              </w:rPr>
              <w:t>South America</w:t>
            </w:r>
          </w:p>
        </w:tc>
        <w:tc>
          <w:tcPr>
            <w:tcW w:type="dxa" w:w="1872"/>
          </w:tcPr>
          <w:p>
            <w:r>
              <w:rPr>
                <w:sz w:val="19"/>
              </w:rPr>
              <w:t>$46,051</w:t>
            </w:r>
          </w:p>
        </w:tc>
        <w:tc>
          <w:tcPr>
            <w:tcW w:type="dxa" w:w="1152"/>
          </w:tcPr>
          <w:p>
            <w:r>
              <w:rPr>
                <w:sz w:val="19"/>
              </w:rPr>
              <w:t>9.5%</w:t>
            </w:r>
          </w:p>
        </w:tc>
        <w:tc>
          <w:tcPr>
            <w:tcW w:type="dxa" w:w="1872"/>
          </w:tcPr>
          <w:p>
            <w:r>
              <w:rPr>
                <w:sz w:val="19"/>
              </w:rPr>
              <w:t>$14,681</w:t>
            </w:r>
          </w:p>
        </w:tc>
        <w:tc>
          <w:tcPr>
            <w:tcW w:type="dxa" w:w="1296"/>
          </w:tcPr>
          <w:p>
            <w:r>
              <w:rPr>
                <w:sz w:val="19"/>
              </w:rPr>
              <w:t>31.88%</w:t>
            </w:r>
          </w:p>
        </w:tc>
      </w:tr>
      <w:tr>
        <w:tc>
          <w:tcPr>
            <w:tcW w:type="dxa" w:w="3024"/>
          </w:tcPr>
          <w:p>
            <w:r>
              <w:rPr>
                <w:sz w:val="19"/>
              </w:rPr>
              <w:t>Middle East &amp; Africa</w:t>
            </w:r>
          </w:p>
        </w:tc>
        <w:tc>
          <w:tcPr>
            <w:tcW w:type="dxa" w:w="1872"/>
          </w:tcPr>
          <w:p>
            <w:r>
              <w:rPr>
                <w:sz w:val="19"/>
              </w:rPr>
              <w:t>$45,918</w:t>
            </w:r>
          </w:p>
        </w:tc>
        <w:tc>
          <w:tcPr>
            <w:tcW w:type="dxa" w:w="1152"/>
          </w:tcPr>
          <w:p>
            <w:r>
              <w:rPr>
                <w:sz w:val="19"/>
              </w:rPr>
              <w:t>9.5%</w:t>
            </w:r>
          </w:p>
        </w:tc>
        <w:tc>
          <w:tcPr>
            <w:tcW w:type="dxa" w:w="1872"/>
          </w:tcPr>
          <w:p>
            <w:r>
              <w:rPr>
                <w:sz w:val="19"/>
              </w:rPr>
              <w:t>$14,152</w:t>
            </w:r>
          </w:p>
        </w:tc>
        <w:tc>
          <w:tcPr>
            <w:tcW w:type="dxa" w:w="1296"/>
          </w:tcPr>
          <w:p>
            <w:r>
              <w:rPr>
                <w:sz w:val="19"/>
              </w:rPr>
              <w:t>30.82%</w:t>
            </w:r>
          </w:p>
        </w:tc>
      </w:tr>
    </w:tbl>
    <w:p/>
    <w:p>
      <w:pPr>
        <w:pStyle w:val="Heading2"/>
      </w:pPr>
      <w:r>
        <w:rPr>
          <w:color w:val="2E86AB"/>
          <w:sz w:val="26"/>
        </w:rPr>
        <w:t>9.2 Monthly Trend</w:t>
      </w:r>
    </w:p>
    <w:p>
      <w:pPr>
        <w:spacing w:after="80"/>
      </w:pPr>
      <w:r>
        <w:rPr>
          <w:b w:val="0"/>
          <w:i w:val="0"/>
          <w:color w:val="374151"/>
          <w:sz w:val="21"/>
        </w:rPr>
        <w:t>The monthly sales and profit trends are visualised on Page 1 (Executive Overview) of the dashboard as a dual-axis chart combining bars (sales) and a line (profit). The dashboard allows filtering by year, region, and category to isolate specific trends. Year-over-year comparison is available via the Year multi-select filter.</w:t>
      </w:r>
    </w:p>
    <w:p/>
    <w:p>
      <w:pPr>
        <w:pStyle w:val="Heading1"/>
      </w:pPr>
      <w:r>
        <w:rPr>
          <w:color w:val="1F3A5F"/>
          <w:sz w:val="32"/>
        </w:rPr>
        <w:t>10. Product Analysis</w:t>
      </w:r>
    </w:p>
    <w:p>
      <w:pPr>
        <w:pBdr>
          <w:bottom w:val="single" w:sz="4" w:space="1" w:color="2E86AB"/>
        </w:pBdr>
        <w:spacing w:after="160"/>
      </w:pPr>
    </w:p>
    <w:p>
      <w:pPr>
        <w:pStyle w:val="Heading2"/>
      </w:pPr>
      <w:r>
        <w:rPr>
          <w:color w:val="2E86AB"/>
          <w:sz w:val="26"/>
        </w:rPr>
        <w:t>10.1 Category Performance</w:t>
      </w:r>
    </w:p>
    <w:tbl>
      <w:tblPr>
        <w:tblStyle w:val="TableGrid"/>
        <w:tblW w:type="auto" w:w="0"/>
        <w:jc w:val="left"/>
        <w:tblLook w:firstColumn="1" w:firstRow="1" w:lastColumn="0" w:lastRow="0" w:noHBand="0" w:noVBand="1" w:val="04A0"/>
      </w:tblPr>
      <w:tblGrid>
        <w:gridCol w:w="1464"/>
        <w:gridCol w:w="1464"/>
        <w:gridCol w:w="1464"/>
        <w:gridCol w:w="1464"/>
        <w:gridCol w:w="1464"/>
        <w:gridCol w:w="1464"/>
      </w:tblGrid>
      <w:tr>
        <w:tc>
          <w:tcPr>
            <w:tcW w:type="dxa" w:w="2880"/>
            <w:shd w:val="clear" w:color="auto" w:fill="1F3A5F"/>
            <w:vAlign w:val="center"/>
          </w:tcPr>
          <w:p>
            <w:r>
              <w:rPr>
                <w:b/>
                <w:color w:val="FFFFFF"/>
                <w:sz w:val="19"/>
              </w:rPr>
              <w:t>Category</w:t>
            </w:r>
          </w:p>
        </w:tc>
        <w:tc>
          <w:tcPr>
            <w:tcW w:type="dxa" w:w="1584"/>
            <w:shd w:val="clear" w:color="auto" w:fill="1F3A5F"/>
            <w:vAlign w:val="center"/>
          </w:tcPr>
          <w:p>
            <w:r>
              <w:rPr>
                <w:b/>
                <w:color w:val="FFFFFF"/>
                <w:sz w:val="19"/>
              </w:rPr>
              <w:t>Sales</w:t>
            </w:r>
          </w:p>
        </w:tc>
        <w:tc>
          <w:tcPr>
            <w:tcW w:type="dxa" w:w="1584"/>
            <w:shd w:val="clear" w:color="auto" w:fill="1F3A5F"/>
            <w:vAlign w:val="center"/>
          </w:tcPr>
          <w:p>
            <w:r>
              <w:rPr>
                <w:b/>
                <w:color w:val="FFFFFF"/>
                <w:sz w:val="19"/>
              </w:rPr>
              <w:t>Profit</w:t>
            </w:r>
          </w:p>
        </w:tc>
        <w:tc>
          <w:tcPr>
            <w:tcW w:type="dxa" w:w="1296"/>
            <w:shd w:val="clear" w:color="auto" w:fill="1F3A5F"/>
            <w:vAlign w:val="center"/>
          </w:tcPr>
          <w:p>
            <w:r>
              <w:rPr>
                <w:b/>
                <w:color w:val="FFFFFF"/>
                <w:sz w:val="19"/>
              </w:rPr>
              <w:t>Margin</w:t>
            </w:r>
          </w:p>
        </w:tc>
        <w:tc>
          <w:tcPr>
            <w:tcW w:type="dxa" w:w="1152"/>
            <w:shd w:val="clear" w:color="auto" w:fill="1F3A5F"/>
            <w:vAlign w:val="center"/>
          </w:tcPr>
          <w:p>
            <w:r>
              <w:rPr>
                <w:b/>
                <w:color w:val="FFFFFF"/>
                <w:sz w:val="19"/>
              </w:rPr>
              <w:t>Orders</w:t>
            </w:r>
          </w:p>
        </w:tc>
        <w:tc>
          <w:tcPr>
            <w:tcW w:type="dxa" w:w="1152"/>
            <w:shd w:val="clear" w:color="auto" w:fill="1F3A5F"/>
            <w:vAlign w:val="center"/>
          </w:tcPr>
          <w:p>
            <w:r>
              <w:rPr>
                <w:b/>
                <w:color w:val="FFFFFF"/>
                <w:sz w:val="19"/>
              </w:rPr>
              <w:t>Units</w:t>
            </w:r>
          </w:p>
        </w:tc>
      </w:tr>
      <w:tr>
        <w:tc>
          <w:tcPr>
            <w:tcW w:type="dxa" w:w="2880"/>
          </w:tcPr>
          <w:p>
            <w:r>
              <w:rPr>
                <w:sz w:val="19"/>
              </w:rPr>
              <w:t>Furniture</w:t>
            </w:r>
          </w:p>
        </w:tc>
        <w:tc>
          <w:tcPr>
            <w:tcW w:type="dxa" w:w="1584"/>
          </w:tcPr>
          <w:p>
            <w:r>
              <w:rPr>
                <w:sz w:val="19"/>
              </w:rPr>
              <w:t>$256,275</w:t>
            </w:r>
          </w:p>
        </w:tc>
        <w:tc>
          <w:tcPr>
            <w:tcW w:type="dxa" w:w="1584"/>
          </w:tcPr>
          <w:p>
            <w:r>
              <w:rPr>
                <w:sz w:val="19"/>
              </w:rPr>
              <w:t>$81,172</w:t>
            </w:r>
          </w:p>
        </w:tc>
        <w:tc>
          <w:tcPr>
            <w:tcW w:type="dxa" w:w="1296"/>
          </w:tcPr>
          <w:p>
            <w:r>
              <w:rPr>
                <w:sz w:val="19"/>
              </w:rPr>
              <w:t>31.67%</w:t>
            </w:r>
          </w:p>
        </w:tc>
        <w:tc>
          <w:tcPr>
            <w:tcW w:type="dxa" w:w="1152"/>
          </w:tcPr>
          <w:p>
            <w:r>
              <w:rPr>
                <w:sz w:val="19"/>
              </w:rPr>
              <w:t>507</w:t>
            </w:r>
          </w:p>
        </w:tc>
        <w:tc>
          <w:tcPr>
            <w:tcW w:type="dxa" w:w="1152"/>
          </w:tcPr>
          <w:p>
            <w:r>
              <w:rPr>
                <w:sz w:val="19"/>
              </w:rPr>
              <w:t>1,806</w:t>
            </w:r>
          </w:p>
        </w:tc>
      </w:tr>
      <w:tr>
        <w:tc>
          <w:tcPr>
            <w:tcW w:type="dxa" w:w="2880"/>
          </w:tcPr>
          <w:p>
            <w:r>
              <w:rPr>
                <w:sz w:val="19"/>
              </w:rPr>
              <w:t>Technology</w:t>
            </w:r>
          </w:p>
        </w:tc>
        <w:tc>
          <w:tcPr>
            <w:tcW w:type="dxa" w:w="1584"/>
          </w:tcPr>
          <w:p>
            <w:r>
              <w:rPr>
                <w:sz w:val="19"/>
              </w:rPr>
              <w:t>$139,518</w:t>
            </w:r>
          </w:p>
        </w:tc>
        <w:tc>
          <w:tcPr>
            <w:tcW w:type="dxa" w:w="1584"/>
          </w:tcPr>
          <w:p>
            <w:r>
              <w:rPr>
                <w:sz w:val="19"/>
              </w:rPr>
              <w:t>$48,269</w:t>
            </w:r>
          </w:p>
        </w:tc>
        <w:tc>
          <w:tcPr>
            <w:tcW w:type="dxa" w:w="1296"/>
          </w:tcPr>
          <w:p>
            <w:r>
              <w:rPr>
                <w:sz w:val="19"/>
              </w:rPr>
              <w:t>34.60%</w:t>
            </w:r>
          </w:p>
        </w:tc>
        <w:tc>
          <w:tcPr>
            <w:tcW w:type="dxa" w:w="1152"/>
          </w:tcPr>
          <w:p>
            <w:r>
              <w:rPr>
                <w:sz w:val="19"/>
              </w:rPr>
              <w:t>567</w:t>
            </w:r>
          </w:p>
        </w:tc>
        <w:tc>
          <w:tcPr>
            <w:tcW w:type="dxa" w:w="1152"/>
          </w:tcPr>
          <w:p>
            <w:r>
              <w:rPr>
                <w:sz w:val="19"/>
              </w:rPr>
              <w:t>2,017</w:t>
            </w:r>
          </w:p>
        </w:tc>
      </w:tr>
      <w:tr>
        <w:tc>
          <w:tcPr>
            <w:tcW w:type="dxa" w:w="2880"/>
          </w:tcPr>
          <w:p>
            <w:r>
              <w:rPr>
                <w:sz w:val="19"/>
              </w:rPr>
              <w:t>Clothing &amp; Accessories</w:t>
            </w:r>
          </w:p>
        </w:tc>
        <w:tc>
          <w:tcPr>
            <w:tcW w:type="dxa" w:w="1584"/>
          </w:tcPr>
          <w:p>
            <w:r>
              <w:rPr>
                <w:sz w:val="19"/>
              </w:rPr>
              <w:t>$69,376</w:t>
            </w:r>
          </w:p>
        </w:tc>
        <w:tc>
          <w:tcPr>
            <w:tcW w:type="dxa" w:w="1584"/>
          </w:tcPr>
          <w:p>
            <w:r>
              <w:rPr>
                <w:sz w:val="19"/>
              </w:rPr>
              <w:t>$26,113</w:t>
            </w:r>
          </w:p>
        </w:tc>
        <w:tc>
          <w:tcPr>
            <w:tcW w:type="dxa" w:w="1296"/>
          </w:tcPr>
          <w:p>
            <w:r>
              <w:rPr>
                <w:sz w:val="19"/>
              </w:rPr>
              <w:t>37.64%</w:t>
            </w:r>
          </w:p>
        </w:tc>
        <w:tc>
          <w:tcPr>
            <w:tcW w:type="dxa" w:w="1152"/>
          </w:tcPr>
          <w:p>
            <w:r>
              <w:rPr>
                <w:sz w:val="19"/>
              </w:rPr>
              <w:t>413</w:t>
            </w:r>
          </w:p>
        </w:tc>
        <w:tc>
          <w:tcPr>
            <w:tcW w:type="dxa" w:w="1152"/>
          </w:tcPr>
          <w:p>
            <w:r>
              <w:rPr>
                <w:sz w:val="19"/>
              </w:rPr>
              <w:t>1,551</w:t>
            </w:r>
          </w:p>
        </w:tc>
      </w:tr>
      <w:tr>
        <w:tc>
          <w:tcPr>
            <w:tcW w:type="dxa" w:w="2880"/>
          </w:tcPr>
          <w:p>
            <w:r>
              <w:rPr>
                <w:sz w:val="19"/>
              </w:rPr>
              <w:t>Office Supplies</w:t>
            </w:r>
          </w:p>
        </w:tc>
        <w:tc>
          <w:tcPr>
            <w:tcW w:type="dxa" w:w="1584"/>
          </w:tcPr>
          <w:p>
            <w:r>
              <w:rPr>
                <w:sz w:val="19"/>
              </w:rPr>
              <w:t>$19,391</w:t>
            </w:r>
          </w:p>
        </w:tc>
        <w:tc>
          <w:tcPr>
            <w:tcW w:type="dxa" w:w="1584"/>
          </w:tcPr>
          <w:p>
            <w:r>
              <w:rPr>
                <w:sz w:val="19"/>
              </w:rPr>
              <w:t>$3,319</w:t>
            </w:r>
          </w:p>
        </w:tc>
        <w:tc>
          <w:tcPr>
            <w:tcW w:type="dxa" w:w="1296"/>
          </w:tcPr>
          <w:p>
            <w:r>
              <w:rPr>
                <w:sz w:val="19"/>
              </w:rPr>
              <w:t>17.12%</w:t>
            </w:r>
          </w:p>
        </w:tc>
        <w:tc>
          <w:tcPr>
            <w:tcW w:type="dxa" w:w="1152"/>
          </w:tcPr>
          <w:p>
            <w:r>
              <w:rPr>
                <w:sz w:val="19"/>
              </w:rPr>
              <w:t>513</w:t>
            </w:r>
          </w:p>
        </w:tc>
        <w:tc>
          <w:tcPr>
            <w:tcW w:type="dxa" w:w="1152"/>
          </w:tcPr>
          <w:p>
            <w:r>
              <w:rPr>
                <w:sz w:val="19"/>
              </w:rPr>
              <w:t>1,741</w:t>
            </w:r>
          </w:p>
        </w:tc>
      </w:tr>
    </w:tbl>
    <w:p/>
    <w:p>
      <w:pPr>
        <w:spacing w:after="80"/>
      </w:pPr>
      <w:r>
        <w:rPr>
          <w:b w:val="0"/>
          <w:i w:val="0"/>
          <w:color w:val="374151"/>
          <w:sz w:val="21"/>
        </w:rPr>
        <w:t>Furniture is the highest-revenue and highest-absolute-profit category, contributing $256,275 in sales (52.9% of total). However, Clothing &amp; Accessories has the highest margin at 37.64%. Office Supplies has the lowest margin at 17.12% despite high order volume (513 orders), signalling a category where pricing or supplier terms merit review.</w:t>
      </w:r>
    </w:p>
    <w:p>
      <w:pPr>
        <w:pStyle w:val="Heading2"/>
      </w:pPr>
      <w:r>
        <w:rPr>
          <w:color w:val="2E86AB"/>
          <w:sz w:val="26"/>
        </w:rPr>
        <w:t>10.2 Top Products by Sales</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864"/>
            <w:shd w:val="clear" w:color="auto" w:fill="1F3A5F"/>
            <w:vAlign w:val="center"/>
          </w:tcPr>
          <w:p>
            <w:r>
              <w:rPr>
                <w:b/>
                <w:color w:val="FFFFFF"/>
                <w:sz w:val="19"/>
              </w:rPr>
              <w:t>Rank</w:t>
            </w:r>
          </w:p>
        </w:tc>
        <w:tc>
          <w:tcPr>
            <w:tcW w:type="dxa" w:w="4032"/>
            <w:shd w:val="clear" w:color="auto" w:fill="1F3A5F"/>
            <w:vAlign w:val="center"/>
          </w:tcPr>
          <w:p>
            <w:r>
              <w:rPr>
                <w:b/>
                <w:color w:val="FFFFFF"/>
                <w:sz w:val="19"/>
              </w:rPr>
              <w:t>Product Name</w:t>
            </w:r>
          </w:p>
        </w:tc>
        <w:tc>
          <w:tcPr>
            <w:tcW w:type="dxa" w:w="1872"/>
            <w:shd w:val="clear" w:color="auto" w:fill="1F3A5F"/>
            <w:vAlign w:val="center"/>
          </w:tcPr>
          <w:p>
            <w:r>
              <w:rPr>
                <w:b/>
                <w:color w:val="FFFFFF"/>
                <w:sz w:val="19"/>
              </w:rPr>
              <w:t>Total Sales</w:t>
            </w:r>
          </w:p>
        </w:tc>
        <w:tc>
          <w:tcPr>
            <w:tcW w:type="dxa" w:w="1872"/>
            <w:shd w:val="clear" w:color="auto" w:fill="1F3A5F"/>
            <w:vAlign w:val="center"/>
          </w:tcPr>
          <w:p>
            <w:r>
              <w:rPr>
                <w:b/>
                <w:color w:val="FFFFFF"/>
                <w:sz w:val="19"/>
              </w:rPr>
              <w:t>Total Profit</w:t>
            </w:r>
          </w:p>
        </w:tc>
      </w:tr>
      <w:tr>
        <w:tc>
          <w:tcPr>
            <w:tcW w:type="dxa" w:w="864"/>
          </w:tcPr>
          <w:p>
            <w:r>
              <w:rPr>
                <w:sz w:val="19"/>
              </w:rPr>
              <w:t>1</w:t>
            </w:r>
          </w:p>
        </w:tc>
        <w:tc>
          <w:tcPr>
            <w:tcW w:type="dxa" w:w="4032"/>
          </w:tcPr>
          <w:p>
            <w:r>
              <w:rPr>
                <w:sz w:val="19"/>
              </w:rPr>
              <w:t>Standing Desk Converter</w:t>
            </w:r>
          </w:p>
        </w:tc>
        <w:tc>
          <w:tcPr>
            <w:tcW w:type="dxa" w:w="1872"/>
          </w:tcPr>
          <w:p>
            <w:r>
              <w:rPr>
                <w:sz w:val="19"/>
              </w:rPr>
              <w:t>$46,614</w:t>
            </w:r>
          </w:p>
        </w:tc>
        <w:tc>
          <w:tcPr>
            <w:tcW w:type="dxa" w:w="1872"/>
          </w:tcPr>
          <w:p>
            <w:r>
              <w:rPr>
                <w:sz w:val="19"/>
              </w:rPr>
              <w:t>$14,694</w:t>
            </w:r>
          </w:p>
        </w:tc>
      </w:tr>
      <w:tr>
        <w:tc>
          <w:tcPr>
            <w:tcW w:type="dxa" w:w="864"/>
          </w:tcPr>
          <w:p>
            <w:r>
              <w:rPr>
                <w:sz w:val="19"/>
              </w:rPr>
              <w:t>2</w:t>
            </w:r>
          </w:p>
        </w:tc>
        <w:tc>
          <w:tcPr>
            <w:tcW w:type="dxa" w:w="4032"/>
          </w:tcPr>
          <w:p>
            <w:r>
              <w:rPr>
                <w:sz w:val="19"/>
              </w:rPr>
              <w:t>Ergonomic Office Chair</w:t>
            </w:r>
          </w:p>
        </w:tc>
        <w:tc>
          <w:tcPr>
            <w:tcW w:type="dxa" w:w="1872"/>
          </w:tcPr>
          <w:p>
            <w:r>
              <w:rPr>
                <w:sz w:val="19"/>
              </w:rPr>
              <w:t>$45,405</w:t>
            </w:r>
          </w:p>
        </w:tc>
        <w:tc>
          <w:tcPr>
            <w:tcW w:type="dxa" w:w="1872"/>
          </w:tcPr>
          <w:p>
            <w:r>
              <w:rPr>
                <w:sz w:val="19"/>
              </w:rPr>
              <w:t>$15,105</w:t>
            </w:r>
          </w:p>
        </w:tc>
      </w:tr>
      <w:tr>
        <w:tc>
          <w:tcPr>
            <w:tcW w:type="dxa" w:w="864"/>
          </w:tcPr>
          <w:p>
            <w:r>
              <w:rPr>
                <w:sz w:val="19"/>
              </w:rPr>
              <w:t>3</w:t>
            </w:r>
          </w:p>
        </w:tc>
        <w:tc>
          <w:tcPr>
            <w:tcW w:type="dxa" w:w="4032"/>
          </w:tcPr>
          <w:p>
            <w:r>
              <w:rPr>
                <w:sz w:val="19"/>
              </w:rPr>
              <w:t>Corner L-Shaped Desk</w:t>
            </w:r>
          </w:p>
        </w:tc>
        <w:tc>
          <w:tcPr>
            <w:tcW w:type="dxa" w:w="1872"/>
          </w:tcPr>
          <w:p>
            <w:r>
              <w:rPr>
                <w:sz w:val="19"/>
              </w:rPr>
              <w:t>$41,070</w:t>
            </w:r>
          </w:p>
        </w:tc>
        <w:tc>
          <w:tcPr>
            <w:tcW w:type="dxa" w:w="1872"/>
          </w:tcPr>
          <w:p>
            <w:r>
              <w:rPr>
                <w:sz w:val="19"/>
              </w:rPr>
              <w:t>$13,663</w:t>
            </w:r>
          </w:p>
        </w:tc>
      </w:tr>
      <w:tr>
        <w:tc>
          <w:tcPr>
            <w:tcW w:type="dxa" w:w="864"/>
          </w:tcPr>
          <w:p>
            <w:r>
              <w:rPr>
                <w:sz w:val="19"/>
              </w:rPr>
              <w:t>4</w:t>
            </w:r>
          </w:p>
        </w:tc>
        <w:tc>
          <w:tcPr>
            <w:tcW w:type="dxa" w:w="4032"/>
          </w:tcPr>
          <w:p>
            <w:r>
              <w:rPr>
                <w:sz w:val="19"/>
              </w:rPr>
              <w:t>Mesh Back Task Chair</w:t>
            </w:r>
          </w:p>
        </w:tc>
        <w:tc>
          <w:tcPr>
            <w:tcW w:type="dxa" w:w="1872"/>
          </w:tcPr>
          <w:p>
            <w:r>
              <w:rPr>
                <w:sz w:val="19"/>
              </w:rPr>
              <w:t>$38,180</w:t>
            </w:r>
          </w:p>
        </w:tc>
        <w:tc>
          <w:tcPr>
            <w:tcW w:type="dxa" w:w="1872"/>
          </w:tcPr>
          <w:p>
            <w:r>
              <w:rPr>
                <w:sz w:val="19"/>
              </w:rPr>
              <w:t>$12,820</w:t>
            </w:r>
          </w:p>
        </w:tc>
      </w:tr>
      <w:tr>
        <w:tc>
          <w:tcPr>
            <w:tcW w:type="dxa" w:w="864"/>
          </w:tcPr>
          <w:p>
            <w:r>
              <w:rPr>
                <w:sz w:val="19"/>
              </w:rPr>
              <w:t>5</w:t>
            </w:r>
          </w:p>
        </w:tc>
        <w:tc>
          <w:tcPr>
            <w:tcW w:type="dxa" w:w="4032"/>
          </w:tcPr>
          <w:p>
            <w:r>
              <w:rPr>
                <w:sz w:val="19"/>
              </w:rPr>
              <w:t>Wireless Bluetooth Headphones</w:t>
            </w:r>
          </w:p>
        </w:tc>
        <w:tc>
          <w:tcPr>
            <w:tcW w:type="dxa" w:w="1872"/>
          </w:tcPr>
          <w:p>
            <w:r>
              <w:rPr>
                <w:sz w:val="19"/>
              </w:rPr>
              <w:t>$28,259</w:t>
            </w:r>
          </w:p>
        </w:tc>
        <w:tc>
          <w:tcPr>
            <w:tcW w:type="dxa" w:w="1872"/>
          </w:tcPr>
          <w:p>
            <w:r>
              <w:rPr>
                <w:sz w:val="19"/>
              </w:rPr>
              <w:t>$10,611</w:t>
            </w:r>
          </w:p>
        </w:tc>
      </w:tr>
    </w:tbl>
    <w:p/>
    <w:p>
      <w:pPr>
        <w:pStyle w:val="Heading1"/>
      </w:pPr>
      <w:r>
        <w:rPr>
          <w:color w:val="1F3A5F"/>
          <w:sz w:val="32"/>
        </w:rPr>
        <w:t>11. Customer Analysis</w:t>
      </w:r>
    </w:p>
    <w:p>
      <w:pPr>
        <w:pBdr>
          <w:bottom w:val="single" w:sz="4" w:space="1" w:color="2E86AB"/>
        </w:pBdr>
        <w:spacing w:after="160"/>
      </w:pPr>
    </w:p>
    <w:tbl>
      <w:tblPr>
        <w:tblStyle w:val="TableGrid"/>
        <w:tblW w:type="auto" w:w="0"/>
        <w:jc w:val="left"/>
        <w:tblLook w:firstColumn="1" w:firstRow="1" w:lastColumn="0" w:lastRow="0" w:noHBand="0" w:noVBand="1" w:val="04A0"/>
      </w:tblPr>
      <w:tblGrid>
        <w:gridCol w:w="1464"/>
        <w:gridCol w:w="1464"/>
        <w:gridCol w:w="1464"/>
        <w:gridCol w:w="1464"/>
        <w:gridCol w:w="1464"/>
        <w:gridCol w:w="1464"/>
      </w:tblGrid>
      <w:tr>
        <w:tc>
          <w:tcPr>
            <w:tcW w:type="dxa" w:w="2160"/>
            <w:shd w:val="clear" w:color="auto" w:fill="1F3A5F"/>
            <w:vAlign w:val="center"/>
          </w:tcPr>
          <w:p>
            <w:r>
              <w:rPr>
                <w:b/>
                <w:color w:val="FFFFFF"/>
                <w:sz w:val="19"/>
              </w:rPr>
              <w:t>Segment</w:t>
            </w:r>
          </w:p>
        </w:tc>
        <w:tc>
          <w:tcPr>
            <w:tcW w:type="dxa" w:w="1728"/>
            <w:shd w:val="clear" w:color="auto" w:fill="1F3A5F"/>
            <w:vAlign w:val="center"/>
          </w:tcPr>
          <w:p>
            <w:r>
              <w:rPr>
                <w:b/>
                <w:color w:val="FFFFFF"/>
                <w:sz w:val="19"/>
              </w:rPr>
              <w:t>Total Sales</w:t>
            </w:r>
          </w:p>
        </w:tc>
        <w:tc>
          <w:tcPr>
            <w:tcW w:type="dxa" w:w="1728"/>
            <w:shd w:val="clear" w:color="auto" w:fill="1F3A5F"/>
            <w:vAlign w:val="center"/>
          </w:tcPr>
          <w:p>
            <w:r>
              <w:rPr>
                <w:b/>
                <w:color w:val="FFFFFF"/>
                <w:sz w:val="19"/>
              </w:rPr>
              <w:t>Total Profit</w:t>
            </w:r>
          </w:p>
        </w:tc>
        <w:tc>
          <w:tcPr>
            <w:tcW w:type="dxa" w:w="1296"/>
            <w:shd w:val="clear" w:color="auto" w:fill="1F3A5F"/>
            <w:vAlign w:val="center"/>
          </w:tcPr>
          <w:p>
            <w:r>
              <w:rPr>
                <w:b/>
                <w:color w:val="FFFFFF"/>
                <w:sz w:val="19"/>
              </w:rPr>
              <w:t>Margin</w:t>
            </w:r>
          </w:p>
        </w:tc>
        <w:tc>
          <w:tcPr>
            <w:tcW w:type="dxa" w:w="1440"/>
            <w:shd w:val="clear" w:color="auto" w:fill="1F3A5F"/>
            <w:vAlign w:val="center"/>
          </w:tcPr>
          <w:p>
            <w:r>
              <w:rPr>
                <w:b/>
                <w:color w:val="FFFFFF"/>
                <w:sz w:val="19"/>
              </w:rPr>
              <w:t>AOV</w:t>
            </w:r>
          </w:p>
        </w:tc>
        <w:tc>
          <w:tcPr>
            <w:tcW w:type="dxa" w:w="1152"/>
            <w:shd w:val="clear" w:color="auto" w:fill="1F3A5F"/>
            <w:vAlign w:val="center"/>
          </w:tcPr>
          <w:p>
            <w:r>
              <w:rPr>
                <w:b/>
                <w:color w:val="FFFFFF"/>
                <w:sz w:val="19"/>
              </w:rPr>
              <w:t>Orders</w:t>
            </w:r>
          </w:p>
        </w:tc>
      </w:tr>
      <w:tr>
        <w:tc>
          <w:tcPr>
            <w:tcW w:type="dxa" w:w="2160"/>
          </w:tcPr>
          <w:p>
            <w:r>
              <w:rPr>
                <w:sz w:val="19"/>
              </w:rPr>
              <w:t>Consumer</w:t>
            </w:r>
          </w:p>
        </w:tc>
        <w:tc>
          <w:tcPr>
            <w:tcW w:type="dxa" w:w="1728"/>
          </w:tcPr>
          <w:p>
            <w:r>
              <w:rPr>
                <w:sz w:val="19"/>
              </w:rPr>
              <w:t>$256,288</w:t>
            </w:r>
          </w:p>
        </w:tc>
        <w:tc>
          <w:tcPr>
            <w:tcW w:type="dxa" w:w="1728"/>
          </w:tcPr>
          <w:p>
            <w:r>
              <w:rPr>
                <w:sz w:val="19"/>
              </w:rPr>
              <w:t>$87,300</w:t>
            </w:r>
          </w:p>
        </w:tc>
        <w:tc>
          <w:tcPr>
            <w:tcW w:type="dxa" w:w="1296"/>
          </w:tcPr>
          <w:p>
            <w:r>
              <w:rPr>
                <w:sz w:val="19"/>
              </w:rPr>
              <w:t>34.06%</w:t>
            </w:r>
          </w:p>
        </w:tc>
        <w:tc>
          <w:tcPr>
            <w:tcW w:type="dxa" w:w="1440"/>
          </w:tcPr>
          <w:p>
            <w:r>
              <w:rPr>
                <w:sz w:val="19"/>
              </w:rPr>
              <w:t>$254.76</w:t>
            </w:r>
          </w:p>
        </w:tc>
        <w:tc>
          <w:tcPr>
            <w:tcW w:type="dxa" w:w="1152"/>
          </w:tcPr>
          <w:p>
            <w:r>
              <w:rPr>
                <w:sz w:val="19"/>
              </w:rPr>
              <w:t>1,006</w:t>
            </w:r>
          </w:p>
        </w:tc>
      </w:tr>
      <w:tr>
        <w:tc>
          <w:tcPr>
            <w:tcW w:type="dxa" w:w="2160"/>
          </w:tcPr>
          <w:p>
            <w:r>
              <w:rPr>
                <w:sz w:val="19"/>
              </w:rPr>
              <w:t>Corporate</w:t>
            </w:r>
          </w:p>
        </w:tc>
        <w:tc>
          <w:tcPr>
            <w:tcW w:type="dxa" w:w="1728"/>
          </w:tcPr>
          <w:p>
            <w:r>
              <w:rPr>
                <w:sz w:val="19"/>
              </w:rPr>
              <w:t>$146,050</w:t>
            </w:r>
          </w:p>
        </w:tc>
        <w:tc>
          <w:tcPr>
            <w:tcW w:type="dxa" w:w="1728"/>
          </w:tcPr>
          <w:p>
            <w:r>
              <w:rPr>
                <w:sz w:val="19"/>
              </w:rPr>
              <w:t>$44,463</w:t>
            </w:r>
          </w:p>
        </w:tc>
        <w:tc>
          <w:tcPr>
            <w:tcW w:type="dxa" w:w="1296"/>
          </w:tcPr>
          <w:p>
            <w:r>
              <w:rPr>
                <w:sz w:val="19"/>
              </w:rPr>
              <w:t>30.44%</w:t>
            </w:r>
          </w:p>
        </w:tc>
        <w:tc>
          <w:tcPr>
            <w:tcW w:type="dxa" w:w="1440"/>
          </w:tcPr>
          <w:p>
            <w:r>
              <w:rPr>
                <w:sz w:val="19"/>
              </w:rPr>
              <w:t>$234.43</w:t>
            </w:r>
          </w:p>
        </w:tc>
        <w:tc>
          <w:tcPr>
            <w:tcW w:type="dxa" w:w="1152"/>
          </w:tcPr>
          <w:p>
            <w:r>
              <w:rPr>
                <w:sz w:val="19"/>
              </w:rPr>
              <w:t>623</w:t>
            </w:r>
          </w:p>
        </w:tc>
      </w:tr>
      <w:tr>
        <w:tc>
          <w:tcPr>
            <w:tcW w:type="dxa" w:w="2160"/>
          </w:tcPr>
          <w:p>
            <w:r>
              <w:rPr>
                <w:sz w:val="19"/>
              </w:rPr>
              <w:t>Home Office</w:t>
            </w:r>
          </w:p>
        </w:tc>
        <w:tc>
          <w:tcPr>
            <w:tcW w:type="dxa" w:w="1728"/>
          </w:tcPr>
          <w:p>
            <w:r>
              <w:rPr>
                <w:sz w:val="19"/>
              </w:rPr>
              <w:t>$82,221</w:t>
            </w:r>
          </w:p>
        </w:tc>
        <w:tc>
          <w:tcPr>
            <w:tcW w:type="dxa" w:w="1728"/>
          </w:tcPr>
          <w:p>
            <w:r>
              <w:rPr>
                <w:sz w:val="19"/>
              </w:rPr>
              <w:t>$27,109</w:t>
            </w:r>
          </w:p>
        </w:tc>
        <w:tc>
          <w:tcPr>
            <w:tcW w:type="dxa" w:w="1296"/>
          </w:tcPr>
          <w:p>
            <w:r>
              <w:rPr>
                <w:sz w:val="19"/>
              </w:rPr>
              <w:t>32.97%</w:t>
            </w:r>
          </w:p>
        </w:tc>
        <w:tc>
          <w:tcPr>
            <w:tcW w:type="dxa" w:w="1440"/>
          </w:tcPr>
          <w:p>
            <w:r>
              <w:rPr>
                <w:sz w:val="19"/>
              </w:rPr>
              <w:t>$221.62</w:t>
            </w:r>
          </w:p>
        </w:tc>
        <w:tc>
          <w:tcPr>
            <w:tcW w:type="dxa" w:w="1152"/>
          </w:tcPr>
          <w:p>
            <w:r>
              <w:rPr>
                <w:sz w:val="19"/>
              </w:rPr>
              <w:t>371</w:t>
            </w:r>
          </w:p>
        </w:tc>
      </w:tr>
    </w:tbl>
    <w:p/>
    <w:p>
      <w:pPr>
        <w:spacing w:after="80"/>
      </w:pPr>
      <w:r>
        <w:rPr>
          <w:b w:val="0"/>
          <w:i w:val="0"/>
          <w:color w:val="374151"/>
          <w:sz w:val="21"/>
        </w:rPr>
        <w:t>Consumer customers dominate both revenue ($256,288, 52.9% of total) and profit ($87,300). They also have the highest profit margin (34.06%) and average order value ($254.76). Corporate customers, while the second-largest segment, show the lowest profit margin (30.44%), which may reflect higher discount usage or larger but lower-margin orders.</w:t>
      </w:r>
    </w:p>
    <w:p>
      <w:pPr>
        <w:pStyle w:val="Heading2"/>
      </w:pPr>
      <w:r>
        <w:rPr>
          <w:color w:val="2E86AB"/>
          <w:sz w:val="26"/>
        </w:rPr>
        <w:t>11.1 Payment Method Distribution</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2880"/>
            <w:shd w:val="clear" w:color="auto" w:fill="1F3A5F"/>
            <w:vAlign w:val="center"/>
          </w:tcPr>
          <w:p>
            <w:r>
              <w:rPr>
                <w:b/>
                <w:color w:val="FFFFFF"/>
                <w:sz w:val="19"/>
              </w:rPr>
              <w:t>Payment Method</w:t>
            </w:r>
          </w:p>
        </w:tc>
        <w:tc>
          <w:tcPr>
            <w:tcW w:type="dxa" w:w="1296"/>
            <w:shd w:val="clear" w:color="auto" w:fill="1F3A5F"/>
            <w:vAlign w:val="center"/>
          </w:tcPr>
          <w:p>
            <w:r>
              <w:rPr>
                <w:b/>
                <w:color w:val="FFFFFF"/>
                <w:sz w:val="19"/>
              </w:rPr>
              <w:t>Orders</w:t>
            </w:r>
          </w:p>
        </w:tc>
        <w:tc>
          <w:tcPr>
            <w:tcW w:type="dxa" w:w="1296"/>
            <w:shd w:val="clear" w:color="auto" w:fill="1F3A5F"/>
            <w:vAlign w:val="center"/>
          </w:tcPr>
          <w:p>
            <w:r>
              <w:rPr>
                <w:b/>
                <w:color w:val="FFFFFF"/>
                <w:sz w:val="19"/>
              </w:rPr>
              <w:t>Share</w:t>
            </w:r>
          </w:p>
        </w:tc>
        <w:tc>
          <w:tcPr>
            <w:tcW w:type="dxa" w:w="2016"/>
            <w:shd w:val="clear" w:color="auto" w:fill="1F3A5F"/>
            <w:vAlign w:val="center"/>
          </w:tcPr>
          <w:p>
            <w:r>
              <w:rPr>
                <w:b/>
                <w:color w:val="FFFFFF"/>
                <w:sz w:val="19"/>
              </w:rPr>
              <w:t>Total Sales</w:t>
            </w:r>
          </w:p>
        </w:tc>
      </w:tr>
      <w:tr>
        <w:tc>
          <w:tcPr>
            <w:tcW w:type="dxa" w:w="2880"/>
          </w:tcPr>
          <w:p>
            <w:r>
              <w:rPr>
                <w:sz w:val="19"/>
              </w:rPr>
              <w:t>Credit Card</w:t>
            </w:r>
          </w:p>
        </w:tc>
        <w:tc>
          <w:tcPr>
            <w:tcW w:type="dxa" w:w="1296"/>
          </w:tcPr>
          <w:p>
            <w:r>
              <w:rPr>
                <w:sz w:val="19"/>
              </w:rPr>
              <w:t>797</w:t>
            </w:r>
          </w:p>
        </w:tc>
        <w:tc>
          <w:tcPr>
            <w:tcW w:type="dxa" w:w="1296"/>
          </w:tcPr>
          <w:p>
            <w:r>
              <w:rPr>
                <w:sz w:val="19"/>
              </w:rPr>
              <w:t>39.9%</w:t>
            </w:r>
          </w:p>
        </w:tc>
        <w:tc>
          <w:tcPr>
            <w:tcW w:type="dxa" w:w="2016"/>
          </w:tcPr>
          <w:p>
            <w:r>
              <w:rPr>
                <w:sz w:val="19"/>
              </w:rPr>
              <w:t>$192,718</w:t>
            </w:r>
          </w:p>
        </w:tc>
      </w:tr>
      <w:tr>
        <w:tc>
          <w:tcPr>
            <w:tcW w:type="dxa" w:w="2880"/>
          </w:tcPr>
          <w:p>
            <w:r>
              <w:rPr>
                <w:sz w:val="19"/>
              </w:rPr>
              <w:t>PayPal</w:t>
            </w:r>
          </w:p>
        </w:tc>
        <w:tc>
          <w:tcPr>
            <w:tcW w:type="dxa" w:w="1296"/>
          </w:tcPr>
          <w:p>
            <w:r>
              <w:rPr>
                <w:sz w:val="19"/>
              </w:rPr>
              <w:t>609</w:t>
            </w:r>
          </w:p>
        </w:tc>
        <w:tc>
          <w:tcPr>
            <w:tcW w:type="dxa" w:w="1296"/>
          </w:tcPr>
          <w:p>
            <w:r>
              <w:rPr>
                <w:sz w:val="19"/>
              </w:rPr>
              <w:t>30.5%</w:t>
            </w:r>
          </w:p>
        </w:tc>
        <w:tc>
          <w:tcPr>
            <w:tcW w:type="dxa" w:w="2016"/>
          </w:tcPr>
          <w:p>
            <w:r>
              <w:rPr>
                <w:sz w:val="19"/>
              </w:rPr>
              <w:t>$143,113</w:t>
            </w:r>
          </w:p>
        </w:tc>
      </w:tr>
      <w:tr>
        <w:tc>
          <w:tcPr>
            <w:tcW w:type="dxa" w:w="2880"/>
          </w:tcPr>
          <w:p>
            <w:r>
              <w:rPr>
                <w:sz w:val="19"/>
              </w:rPr>
              <w:t>Cash on Delivery</w:t>
            </w:r>
          </w:p>
        </w:tc>
        <w:tc>
          <w:tcPr>
            <w:tcW w:type="dxa" w:w="1296"/>
          </w:tcPr>
          <w:p>
            <w:r>
              <w:rPr>
                <w:sz w:val="19"/>
              </w:rPr>
              <w:t>301</w:t>
            </w:r>
          </w:p>
        </w:tc>
        <w:tc>
          <w:tcPr>
            <w:tcW w:type="dxa" w:w="1296"/>
          </w:tcPr>
          <w:p>
            <w:r>
              <w:rPr>
                <w:sz w:val="19"/>
              </w:rPr>
              <w:t>15.1%</w:t>
            </w:r>
          </w:p>
        </w:tc>
        <w:tc>
          <w:tcPr>
            <w:tcW w:type="dxa" w:w="2016"/>
          </w:tcPr>
          <w:p>
            <w:r>
              <w:rPr>
                <w:sz w:val="19"/>
              </w:rPr>
              <w:t>$77,130</w:t>
            </w:r>
          </w:p>
        </w:tc>
      </w:tr>
      <w:tr>
        <w:tc>
          <w:tcPr>
            <w:tcW w:type="dxa" w:w="2880"/>
          </w:tcPr>
          <w:p>
            <w:r>
              <w:rPr>
                <w:sz w:val="19"/>
              </w:rPr>
              <w:t>Bank Transfer</w:t>
            </w:r>
          </w:p>
        </w:tc>
        <w:tc>
          <w:tcPr>
            <w:tcW w:type="dxa" w:w="1296"/>
          </w:tcPr>
          <w:p>
            <w:r>
              <w:rPr>
                <w:sz w:val="19"/>
              </w:rPr>
              <w:t>293</w:t>
            </w:r>
          </w:p>
        </w:tc>
        <w:tc>
          <w:tcPr>
            <w:tcW w:type="dxa" w:w="1296"/>
          </w:tcPr>
          <w:p>
            <w:r>
              <w:rPr>
                <w:sz w:val="19"/>
              </w:rPr>
              <w:t>14.7%</w:t>
            </w:r>
          </w:p>
        </w:tc>
        <w:tc>
          <w:tcPr>
            <w:tcW w:type="dxa" w:w="2016"/>
          </w:tcPr>
          <w:p>
            <w:r>
              <w:rPr>
                <w:sz w:val="19"/>
              </w:rPr>
              <w:t>$71,599</w:t>
            </w:r>
          </w:p>
        </w:tc>
      </w:tr>
    </w:tbl>
    <w:p/>
    <w:p>
      <w:pPr>
        <w:pStyle w:val="Heading1"/>
      </w:pPr>
      <w:r>
        <w:rPr>
          <w:color w:val="1F3A5F"/>
          <w:sz w:val="32"/>
        </w:rPr>
        <w:t>12. Regional Analysis</w:t>
      </w:r>
    </w:p>
    <w:p>
      <w:pPr>
        <w:pBdr>
          <w:bottom w:val="single" w:sz="4" w:space="1" w:color="2E86AB"/>
        </w:pBdr>
        <w:spacing w:after="160"/>
      </w:pPr>
    </w:p>
    <w:p>
      <w:pPr>
        <w:spacing w:after="80"/>
      </w:pPr>
      <w:r>
        <w:rPr>
          <w:b w:val="0"/>
          <w:i w:val="0"/>
          <w:color w:val="374151"/>
          <w:sz w:val="21"/>
        </w:rPr>
        <w:t>Europe and North America jointly account for 55.9% of total revenue. All five regions are profitable, with North America achieving the highest margin (33.80%) and Middle East &amp; Africa the lowest (30.82%). South America and Middle East &amp; Africa each contribute approximately 9.5% of total sales — the smallest shares — representing potential growth opportunities (see Section 16).</w:t>
      </w:r>
    </w:p>
    <w:p>
      <w:pPr>
        <w:pStyle w:val="Heading2"/>
      </w:pPr>
      <w:r>
        <w:rPr>
          <w:color w:val="2E86AB"/>
          <w:sz w:val="26"/>
        </w:rPr>
        <w:t>12.1 Top 5 Countries by Sales</w:t>
      </w:r>
    </w:p>
    <w:tbl>
      <w:tblPr>
        <w:tblStyle w:val="TableGrid"/>
        <w:tblW w:type="auto" w:w="0"/>
        <w:jc w:val="left"/>
        <w:tblLook w:firstColumn="1" w:firstRow="1" w:lastColumn="0" w:lastRow="0" w:noHBand="0" w:noVBand="1" w:val="04A0"/>
      </w:tblPr>
      <w:tblGrid>
        <w:gridCol w:w="2928"/>
        <w:gridCol w:w="2928"/>
        <w:gridCol w:w="2928"/>
      </w:tblGrid>
      <w:tr>
        <w:tc>
          <w:tcPr>
            <w:tcW w:type="dxa" w:w="864"/>
            <w:shd w:val="clear" w:color="auto" w:fill="1F3A5F"/>
            <w:vAlign w:val="center"/>
          </w:tcPr>
          <w:p>
            <w:r>
              <w:rPr>
                <w:b/>
                <w:color w:val="FFFFFF"/>
                <w:sz w:val="19"/>
              </w:rPr>
              <w:t>Rank</w:t>
            </w:r>
          </w:p>
        </w:tc>
        <w:tc>
          <w:tcPr>
            <w:tcW w:type="dxa" w:w="2880"/>
            <w:shd w:val="clear" w:color="auto" w:fill="1F3A5F"/>
            <w:vAlign w:val="center"/>
          </w:tcPr>
          <w:p>
            <w:r>
              <w:rPr>
                <w:b/>
                <w:color w:val="FFFFFF"/>
                <w:sz w:val="19"/>
              </w:rPr>
              <w:t>Country</w:t>
            </w:r>
          </w:p>
        </w:tc>
        <w:tc>
          <w:tcPr>
            <w:tcW w:type="dxa" w:w="2160"/>
            <w:shd w:val="clear" w:color="auto" w:fill="1F3A5F"/>
            <w:vAlign w:val="center"/>
          </w:tcPr>
          <w:p>
            <w:r>
              <w:rPr>
                <w:b/>
                <w:color w:val="FFFFFF"/>
                <w:sz w:val="19"/>
              </w:rPr>
              <w:t>Total Sales</w:t>
            </w:r>
          </w:p>
        </w:tc>
      </w:tr>
      <w:tr>
        <w:tc>
          <w:tcPr>
            <w:tcW w:type="dxa" w:w="864"/>
          </w:tcPr>
          <w:p>
            <w:r>
              <w:rPr>
                <w:sz w:val="19"/>
              </w:rPr>
              <w:t>1</w:t>
            </w:r>
          </w:p>
        </w:tc>
        <w:tc>
          <w:tcPr>
            <w:tcW w:type="dxa" w:w="2880"/>
          </w:tcPr>
          <w:p>
            <w:r>
              <w:rPr>
                <w:sz w:val="19"/>
              </w:rPr>
              <w:t>Mexico</w:t>
            </w:r>
          </w:p>
        </w:tc>
        <w:tc>
          <w:tcPr>
            <w:tcW w:type="dxa" w:w="2160"/>
          </w:tcPr>
          <w:p>
            <w:r>
              <w:rPr>
                <w:sz w:val="19"/>
              </w:rPr>
              <w:t>$47,217</w:t>
            </w:r>
          </w:p>
        </w:tc>
      </w:tr>
      <w:tr>
        <w:tc>
          <w:tcPr>
            <w:tcW w:type="dxa" w:w="864"/>
          </w:tcPr>
          <w:p>
            <w:r>
              <w:rPr>
                <w:sz w:val="19"/>
              </w:rPr>
              <w:t>2</w:t>
            </w:r>
          </w:p>
        </w:tc>
        <w:tc>
          <w:tcPr>
            <w:tcW w:type="dxa" w:w="2880"/>
          </w:tcPr>
          <w:p>
            <w:r>
              <w:rPr>
                <w:sz w:val="19"/>
              </w:rPr>
              <w:t>Canada</w:t>
            </w:r>
          </w:p>
        </w:tc>
        <w:tc>
          <w:tcPr>
            <w:tcW w:type="dxa" w:w="2160"/>
          </w:tcPr>
          <w:p>
            <w:r>
              <w:rPr>
                <w:sz w:val="19"/>
              </w:rPr>
              <w:t>$45,327</w:t>
            </w:r>
          </w:p>
        </w:tc>
      </w:tr>
      <w:tr>
        <w:tc>
          <w:tcPr>
            <w:tcW w:type="dxa" w:w="864"/>
          </w:tcPr>
          <w:p>
            <w:r>
              <w:rPr>
                <w:sz w:val="19"/>
              </w:rPr>
              <w:t>3</w:t>
            </w:r>
          </w:p>
        </w:tc>
        <w:tc>
          <w:tcPr>
            <w:tcW w:type="dxa" w:w="2880"/>
          </w:tcPr>
          <w:p>
            <w:r>
              <w:rPr>
                <w:sz w:val="19"/>
              </w:rPr>
              <w:t>United States</w:t>
            </w:r>
          </w:p>
        </w:tc>
        <w:tc>
          <w:tcPr>
            <w:tcW w:type="dxa" w:w="2160"/>
          </w:tcPr>
          <w:p>
            <w:r>
              <w:rPr>
                <w:sz w:val="19"/>
              </w:rPr>
              <w:t>$41,333</w:t>
            </w:r>
          </w:p>
        </w:tc>
      </w:tr>
      <w:tr>
        <w:tc>
          <w:tcPr>
            <w:tcW w:type="dxa" w:w="864"/>
          </w:tcPr>
          <w:p>
            <w:r>
              <w:rPr>
                <w:sz w:val="19"/>
              </w:rPr>
              <w:t>4</w:t>
            </w:r>
          </w:p>
        </w:tc>
        <w:tc>
          <w:tcPr>
            <w:tcW w:type="dxa" w:w="2880"/>
          </w:tcPr>
          <w:p>
            <w:r>
              <w:rPr>
                <w:sz w:val="19"/>
              </w:rPr>
              <w:t>Japan</w:t>
            </w:r>
          </w:p>
        </w:tc>
        <w:tc>
          <w:tcPr>
            <w:tcW w:type="dxa" w:w="2160"/>
          </w:tcPr>
          <w:p>
            <w:r>
              <w:rPr>
                <w:sz w:val="19"/>
              </w:rPr>
              <w:t>$30,950</w:t>
            </w:r>
          </w:p>
        </w:tc>
      </w:tr>
      <w:tr>
        <w:tc>
          <w:tcPr>
            <w:tcW w:type="dxa" w:w="864"/>
          </w:tcPr>
          <w:p>
            <w:r>
              <w:rPr>
                <w:sz w:val="19"/>
              </w:rPr>
              <w:t>5</w:t>
            </w:r>
          </w:p>
        </w:tc>
        <w:tc>
          <w:tcPr>
            <w:tcW w:type="dxa" w:w="2880"/>
          </w:tcPr>
          <w:p>
            <w:r>
              <w:rPr>
                <w:sz w:val="19"/>
              </w:rPr>
              <w:t>United Kingdom</w:t>
            </w:r>
          </w:p>
        </w:tc>
        <w:tc>
          <w:tcPr>
            <w:tcW w:type="dxa" w:w="2160"/>
          </w:tcPr>
          <w:p>
            <w:r>
              <w:rPr>
                <w:sz w:val="19"/>
              </w:rPr>
              <w:t>$30,185</w:t>
            </w:r>
          </w:p>
        </w:tc>
      </w:tr>
    </w:tbl>
    <w:p/>
    <w:p>
      <w:pPr>
        <w:pStyle w:val="Heading1"/>
      </w:pPr>
      <w:r>
        <w:rPr>
          <w:color w:val="1F3A5F"/>
          <w:sz w:val="32"/>
        </w:rPr>
        <w:t>13. Discount Analysis</w:t>
      </w:r>
    </w:p>
    <w:p>
      <w:pPr>
        <w:pBdr>
          <w:bottom w:val="single" w:sz="4" w:space="1" w:color="2E86AB"/>
        </w:pBdr>
        <w:spacing w:after="160"/>
      </w:pPr>
    </w:p>
    <w:p>
      <w:pPr>
        <w:spacing w:after="80"/>
      </w:pPr>
      <w:r>
        <w:rPr>
          <w:b w:val="0"/>
          <w:i w:val="0"/>
          <w:color w:val="374151"/>
          <w:sz w:val="21"/>
        </w:rPr>
        <w:t>Average discount across all orders: 8.57%</w:t>
      </w:r>
    </w:p>
    <w:p/>
    <w:tbl>
      <w:tblPr>
        <w:tblStyle w:val="TableGrid"/>
        <w:tblW w:type="auto" w:w="0"/>
        <w:jc w:val="left"/>
        <w:tblLook w:firstColumn="1" w:firstRow="1" w:lastColumn="0" w:lastRow="0" w:noHBand="0" w:noVBand="1" w:val="04A0"/>
      </w:tblPr>
      <w:tblGrid>
        <w:gridCol w:w="2928"/>
        <w:gridCol w:w="2928"/>
        <w:gridCol w:w="2928"/>
      </w:tblGrid>
      <w:tr>
        <w:tc>
          <w:tcPr>
            <w:tcW w:type="dxa" w:w="3600"/>
            <w:shd w:val="clear" w:color="auto" w:fill="1F3A5F"/>
            <w:vAlign w:val="center"/>
          </w:tcPr>
          <w:p>
            <w:r>
              <w:rPr>
                <w:b/>
                <w:color w:val="FFFFFF"/>
                <w:sz w:val="19"/>
              </w:rPr>
              <w:t>Discount Level</w:t>
            </w:r>
          </w:p>
        </w:tc>
        <w:tc>
          <w:tcPr>
            <w:tcW w:type="dxa" w:w="1872"/>
            <w:shd w:val="clear" w:color="auto" w:fill="1F3A5F"/>
            <w:vAlign w:val="center"/>
          </w:tcPr>
          <w:p>
            <w:r>
              <w:rPr>
                <w:b/>
                <w:color w:val="FFFFFF"/>
                <w:sz w:val="19"/>
              </w:rPr>
              <w:t>Order Count</w:t>
            </w:r>
          </w:p>
        </w:tc>
        <w:tc>
          <w:tcPr>
            <w:tcW w:type="dxa" w:w="2592"/>
            <w:shd w:val="clear" w:color="auto" w:fill="1F3A5F"/>
            <w:vAlign w:val="center"/>
          </w:tcPr>
          <w:p>
            <w:r>
              <w:rPr>
                <w:b/>
                <w:color w:val="FFFFFF"/>
                <w:sz w:val="19"/>
              </w:rPr>
              <w:t>Avg Profit Margin</w:t>
            </w:r>
          </w:p>
        </w:tc>
      </w:tr>
      <w:tr>
        <w:tc>
          <w:tcPr>
            <w:tcW w:type="dxa" w:w="3600"/>
          </w:tcPr>
          <w:p>
            <w:r>
              <w:rPr>
                <w:sz w:val="19"/>
              </w:rPr>
              <w:t>&lt; 20% (low discount)</w:t>
            </w:r>
          </w:p>
        </w:tc>
        <w:tc>
          <w:tcPr>
            <w:tcW w:type="dxa" w:w="1872"/>
          </w:tcPr>
          <w:p>
            <w:r>
              <w:rPr>
                <w:sz w:val="19"/>
              </w:rPr>
              <w:t>1,746</w:t>
            </w:r>
          </w:p>
        </w:tc>
        <w:tc>
          <w:tcPr>
            <w:tcW w:type="dxa" w:w="2592"/>
          </w:tcPr>
          <w:p>
            <w:r>
              <w:rPr>
                <w:sz w:val="19"/>
              </w:rPr>
              <w:t>21.67%</w:t>
            </w:r>
          </w:p>
        </w:tc>
      </w:tr>
      <w:tr>
        <w:tc>
          <w:tcPr>
            <w:tcW w:type="dxa" w:w="3600"/>
          </w:tcPr>
          <w:p>
            <w:r>
              <w:rPr>
                <w:sz w:val="19"/>
              </w:rPr>
              <w:t>≥ 20% (high discount)</w:t>
            </w:r>
          </w:p>
        </w:tc>
        <w:tc>
          <w:tcPr>
            <w:tcW w:type="dxa" w:w="1872"/>
          </w:tcPr>
          <w:p>
            <w:r>
              <w:rPr>
                <w:sz w:val="19"/>
              </w:rPr>
              <w:t>254</w:t>
            </w:r>
          </w:p>
        </w:tc>
        <w:tc>
          <w:tcPr>
            <w:tcW w:type="dxa" w:w="2592"/>
          </w:tcPr>
          <w:p>
            <w:r>
              <w:rPr>
                <w:sz w:val="19"/>
              </w:rPr>
              <w:t>8.63%</w:t>
            </w:r>
          </w:p>
        </w:tc>
      </w:tr>
    </w:tbl>
    <w:p/>
    <w:p>
      <w:pPr>
        <w:spacing w:after="80"/>
      </w:pPr>
      <w:r>
        <w:rPr>
          <w:b w:val="0"/>
          <w:i w:val="0"/>
          <w:color w:val="374151"/>
          <w:sz w:val="21"/>
        </w:rPr>
        <w:t>Orders with a discount of 20% or more represent 12.7% of all orders but show an average profit margin of only 8.63%, compared to 21.67% for lower-discount orders. This represents a margin gap of 13.04 percentage points. The pattern suggests that heavy discounting is not fully offset by higher order values or volumes and is compressing overall profitability.</w:t>
      </w:r>
    </w:p>
    <w:p/>
    <w:p>
      <w:pPr>
        <w:pStyle w:val="Heading1"/>
      </w:pPr>
      <w:r>
        <w:rPr>
          <w:color w:val="1F3A5F"/>
          <w:sz w:val="32"/>
        </w:rPr>
        <w:t>14. Risk Analysis</w:t>
      </w:r>
    </w:p>
    <w:p>
      <w:pPr>
        <w:pBdr>
          <w:bottom w:val="single" w:sz="4" w:space="1" w:color="2E86AB"/>
        </w:pBdr>
        <w:spacing w:after="160"/>
      </w:pPr>
    </w:p>
    <w:p>
      <w:pPr>
        <w:pStyle w:val="Heading2"/>
      </w:pPr>
      <w:r>
        <w:rPr>
          <w:color w:val="2E86AB"/>
          <w:sz w:val="26"/>
        </w:rPr>
        <w:t>Loss-Making Orders</w:t>
      </w:r>
    </w:p>
    <w:p>
      <w:pPr>
        <w:pStyle w:val="ListBullet"/>
        <w:spacing w:after="60"/>
      </w:pPr>
      <w:r>
        <w:rPr>
          <w:b/>
          <w:color w:val="1F3A5F"/>
          <w:sz w:val="21"/>
        </w:rPr>
        <w:t xml:space="preserve">FACT: </w:t>
      </w:r>
      <w:r>
        <w:rPr>
          <w:color w:val="374151"/>
          <w:sz w:val="21"/>
        </w:rPr>
        <w:t>272 orders (13.6% of all orders) report negative profit, representing a cumulative loss of $953.</w:t>
      </w:r>
    </w:p>
    <w:p>
      <w:pPr>
        <w:pStyle w:val="ListBullet"/>
        <w:spacing w:after="60"/>
      </w:pPr>
      <w:r>
        <w:rPr>
          <w:b/>
          <w:color w:val="1F3A5F"/>
          <w:sz w:val="21"/>
        </w:rPr>
        <w:t xml:space="preserve">INSIGHT: </w:t>
      </w:r>
      <w:r>
        <w:rPr>
          <w:color w:val="374151"/>
          <w:sz w:val="21"/>
        </w:rPr>
        <w:t>A meaningful share of transactions are destroying value. These may result from excessive discounting, high shipping costs, or low-margin product combinations.</w:t>
      </w:r>
    </w:p>
    <w:p>
      <w:pPr>
        <w:pStyle w:val="ListBullet"/>
        <w:spacing w:after="60"/>
      </w:pPr>
      <w:r>
        <w:rPr>
          <w:b/>
          <w:color w:val="1F3A5F"/>
          <w:sz w:val="21"/>
        </w:rPr>
        <w:t xml:space="preserve">RISK: </w:t>
      </w:r>
      <w:r>
        <w:rPr>
          <w:color w:val="374151"/>
          <w:sz w:val="21"/>
        </w:rPr>
        <w:t>Continued loss-making orders erode overall profitability and may mask performance of profitable segments.</w:t>
      </w:r>
    </w:p>
    <w:p>
      <w:pPr>
        <w:pStyle w:val="ListBullet"/>
        <w:spacing w:after="60"/>
      </w:pPr>
      <w:r>
        <w:rPr>
          <w:b/>
          <w:color w:val="1F3A5F"/>
          <w:sz w:val="21"/>
        </w:rPr>
        <w:t xml:space="preserve">RECOMMENDED ACTION: </w:t>
      </w:r>
      <w:r>
        <w:rPr>
          <w:color w:val="374151"/>
          <w:sz w:val="21"/>
        </w:rPr>
        <w:t>dentify products, discount levels, and regions most associated with loss orders. Introduce order-level margin thresholds as part of pricing approvals.</w:t>
      </w:r>
    </w:p>
    <w:p/>
    <w:p>
      <w:pPr>
        <w:pStyle w:val="Heading2"/>
      </w:pPr>
      <w:r>
        <w:rPr>
          <w:color w:val="2E86AB"/>
          <w:sz w:val="26"/>
        </w:rPr>
        <w:t>Low-Margin Category — Office Supplies</w:t>
      </w:r>
    </w:p>
    <w:p>
      <w:pPr>
        <w:pStyle w:val="ListBullet"/>
        <w:spacing w:after="60"/>
      </w:pPr>
      <w:r>
        <w:rPr>
          <w:b/>
          <w:color w:val="1F3A5F"/>
          <w:sz w:val="21"/>
        </w:rPr>
        <w:t xml:space="preserve">FACT: </w:t>
      </w:r>
      <w:r>
        <w:rPr>
          <w:color w:val="374151"/>
          <w:sz w:val="21"/>
        </w:rPr>
        <w:t>Office Supplies has a profit margin of 17.12% — the lowest of the four categories — on 513 orders.</w:t>
      </w:r>
    </w:p>
    <w:p>
      <w:pPr>
        <w:pStyle w:val="ListBullet"/>
        <w:spacing w:after="60"/>
      </w:pPr>
      <w:r>
        <w:rPr>
          <w:b/>
          <w:color w:val="1F3A5F"/>
          <w:sz w:val="21"/>
        </w:rPr>
        <w:t xml:space="preserve">INSIGHT: </w:t>
      </w:r>
      <w:r>
        <w:rPr>
          <w:color w:val="374151"/>
          <w:sz w:val="21"/>
        </w:rPr>
        <w:t>The category generates revenue but relatively little profit. Pricing or supplier costs may be misaligned.</w:t>
      </w:r>
    </w:p>
    <w:p>
      <w:pPr>
        <w:pStyle w:val="ListBullet"/>
        <w:spacing w:after="60"/>
      </w:pPr>
      <w:r>
        <w:rPr>
          <w:b/>
          <w:color w:val="1F3A5F"/>
          <w:sz w:val="21"/>
        </w:rPr>
        <w:t xml:space="preserve">RISK: </w:t>
      </w:r>
      <w:r>
        <w:rPr>
          <w:color w:val="374151"/>
          <w:sz w:val="21"/>
        </w:rPr>
        <w:t>With high order count and low margin, this category represents a significant drag on overall profitability.</w:t>
      </w:r>
    </w:p>
    <w:p>
      <w:pPr>
        <w:pStyle w:val="ListBullet"/>
        <w:spacing w:after="60"/>
      </w:pPr>
      <w:r>
        <w:rPr>
          <w:b/>
          <w:color w:val="1F3A5F"/>
          <w:sz w:val="21"/>
        </w:rPr>
        <w:t xml:space="preserve">RECOMMENDED ACTION: </w:t>
      </w:r>
      <w:r>
        <w:rPr>
          <w:color w:val="374151"/>
          <w:sz w:val="21"/>
        </w:rPr>
        <w:t>eview unit pricing, supplier terms, and discount policies in Office Supplies.</w:t>
      </w:r>
    </w:p>
    <w:p/>
    <w:p>
      <w:pPr>
        <w:pStyle w:val="Heading2"/>
      </w:pPr>
      <w:r>
        <w:rPr>
          <w:color w:val="2E86AB"/>
          <w:sz w:val="26"/>
        </w:rPr>
        <w:t>High Discount Compressing Margins</w:t>
      </w:r>
    </w:p>
    <w:p>
      <w:pPr>
        <w:pStyle w:val="ListBullet"/>
        <w:spacing w:after="60"/>
      </w:pPr>
      <w:r>
        <w:rPr>
          <w:b/>
          <w:color w:val="1F3A5F"/>
          <w:sz w:val="21"/>
        </w:rPr>
        <w:t xml:space="preserve">FACT: </w:t>
      </w:r>
      <w:r>
        <w:rPr>
          <w:color w:val="374151"/>
          <w:sz w:val="21"/>
        </w:rPr>
        <w:t>254 orders carry a discount ≥ 20%. Average margin for these orders is 8.63% vs 21.67% for lower-discount orders.</w:t>
      </w:r>
    </w:p>
    <w:p>
      <w:pPr>
        <w:pStyle w:val="ListBullet"/>
        <w:spacing w:after="60"/>
      </w:pPr>
      <w:r>
        <w:rPr>
          <w:b/>
          <w:color w:val="1F3A5F"/>
          <w:sz w:val="21"/>
        </w:rPr>
        <w:t xml:space="preserve">INSIGHT: </w:t>
      </w:r>
      <w:r>
        <w:rPr>
          <w:color w:val="374151"/>
          <w:sz w:val="21"/>
        </w:rPr>
        <w:t>Heavy discounting is associated with a 13-percentage-point reduction in average margin.</w:t>
      </w:r>
    </w:p>
    <w:p>
      <w:pPr>
        <w:pStyle w:val="ListBullet"/>
        <w:spacing w:after="60"/>
      </w:pPr>
      <w:r>
        <w:rPr>
          <w:b/>
          <w:color w:val="1F3A5F"/>
          <w:sz w:val="21"/>
        </w:rPr>
        <w:t xml:space="preserve">RISK: </w:t>
      </w:r>
      <w:r>
        <w:rPr>
          <w:color w:val="374151"/>
          <w:sz w:val="21"/>
        </w:rPr>
        <w:t>Uncapped discounting can erode profitability across the portfolio, particularly in already low-margin categories.</w:t>
      </w:r>
    </w:p>
    <w:p>
      <w:pPr>
        <w:pStyle w:val="ListBullet"/>
        <w:spacing w:after="60"/>
      </w:pPr>
      <w:r>
        <w:rPr>
          <w:b/>
          <w:color w:val="1F3A5F"/>
          <w:sz w:val="21"/>
        </w:rPr>
        <w:t xml:space="preserve">RECOMMENDED ACTION: </w:t>
      </w:r>
      <w:r>
        <w:rPr>
          <w:color w:val="374151"/>
          <w:sz w:val="21"/>
        </w:rPr>
        <w:t>stablish maximum discount thresholds by category. Require approval for discounts above 20%.</w:t>
      </w:r>
    </w:p>
    <w:p/>
    <w:p>
      <w:pPr>
        <w:pStyle w:val="Heading2"/>
      </w:pPr>
      <w:r>
        <w:rPr>
          <w:color w:val="2E86AB"/>
          <w:sz w:val="26"/>
        </w:rPr>
        <w:t>Revenue Concentration</w:t>
      </w:r>
    </w:p>
    <w:p>
      <w:pPr>
        <w:pStyle w:val="ListBullet"/>
        <w:spacing w:after="60"/>
      </w:pPr>
      <w:r>
        <w:rPr>
          <w:b/>
          <w:color w:val="1F3A5F"/>
          <w:sz w:val="21"/>
        </w:rPr>
        <w:t xml:space="preserve">FACT: </w:t>
      </w:r>
      <w:r>
        <w:rPr>
          <w:color w:val="374151"/>
          <w:sz w:val="21"/>
        </w:rPr>
        <w:t>Europe (28.3%) and North America (27.6%) account for 55.9% of total revenue. MEA and South America each represent ~9.5%.</w:t>
      </w:r>
    </w:p>
    <w:p>
      <w:pPr>
        <w:pStyle w:val="ListBullet"/>
        <w:spacing w:after="60"/>
      </w:pPr>
      <w:r>
        <w:rPr>
          <w:b/>
          <w:color w:val="1F3A5F"/>
          <w:sz w:val="21"/>
        </w:rPr>
        <w:t xml:space="preserve">INSIGHT: </w:t>
      </w:r>
      <w:r>
        <w:rPr>
          <w:color w:val="374151"/>
          <w:sz w:val="21"/>
        </w:rPr>
        <w:t>Over-reliance on two regions creates vulnerability to regional adverse events.</w:t>
      </w:r>
    </w:p>
    <w:p>
      <w:pPr>
        <w:pStyle w:val="ListBullet"/>
        <w:spacing w:after="60"/>
      </w:pPr>
      <w:r>
        <w:rPr>
          <w:b/>
          <w:color w:val="1F3A5F"/>
          <w:sz w:val="21"/>
        </w:rPr>
        <w:t xml:space="preserve">RISK: </w:t>
      </w:r>
      <w:r>
        <w:rPr>
          <w:color w:val="374151"/>
          <w:sz w:val="21"/>
        </w:rPr>
        <w:t>A demand shock in Europe or North America would have outsized impact on total revenue.</w:t>
      </w:r>
    </w:p>
    <w:p>
      <w:pPr>
        <w:pStyle w:val="ListBullet"/>
        <w:spacing w:after="60"/>
      </w:pPr>
      <w:r>
        <w:rPr>
          <w:b/>
          <w:color w:val="1F3A5F"/>
          <w:sz w:val="21"/>
        </w:rPr>
        <w:t xml:space="preserve">RECOMMENDED ACTION: </w:t>
      </w:r>
      <w:r>
        <w:rPr>
          <w:color w:val="374151"/>
          <w:sz w:val="21"/>
        </w:rPr>
        <w:t>et regional revenue diversification targets. Track quarterly.</w:t>
      </w:r>
    </w:p>
    <w:p/>
    <w:p>
      <w:pPr>
        <w:pStyle w:val="Heading2"/>
      </w:pPr>
      <w:r>
        <w:rPr>
          <w:color w:val="2E86AB"/>
          <w:sz w:val="26"/>
        </w:rPr>
        <w:t>Shipping Cost Exceeding Profit</w:t>
      </w:r>
    </w:p>
    <w:p>
      <w:pPr>
        <w:pStyle w:val="ListBullet"/>
        <w:spacing w:after="60"/>
      </w:pPr>
      <w:r>
        <w:rPr>
          <w:b/>
          <w:color w:val="1F3A5F"/>
          <w:sz w:val="21"/>
        </w:rPr>
        <w:t xml:space="preserve">FACT: </w:t>
      </w:r>
      <w:r>
        <w:rPr>
          <w:color w:val="374151"/>
          <w:sz w:val="21"/>
        </w:rPr>
        <w:t>627 orders (31.4%) have a shipping cost that exceeds the profit on that order.</w:t>
      </w:r>
    </w:p>
    <w:p>
      <w:pPr>
        <w:pStyle w:val="ListBullet"/>
        <w:spacing w:after="60"/>
      </w:pPr>
      <w:r>
        <w:rPr>
          <w:b/>
          <w:color w:val="1F3A5F"/>
          <w:sz w:val="21"/>
        </w:rPr>
        <w:t xml:space="preserve">INSIGHT: </w:t>
      </w:r>
      <w:r>
        <w:rPr>
          <w:color w:val="374151"/>
          <w:sz w:val="21"/>
        </w:rPr>
        <w:t>For these orders, logistics cost alone exceeds the value generated, suggesting small or low-value orders may not be economically viable.</w:t>
      </w:r>
    </w:p>
    <w:p>
      <w:pPr>
        <w:pStyle w:val="ListBullet"/>
        <w:spacing w:after="60"/>
      </w:pPr>
      <w:r>
        <w:rPr>
          <w:b/>
          <w:color w:val="1F3A5F"/>
          <w:sz w:val="21"/>
        </w:rPr>
        <w:t xml:space="preserve">RISK: </w:t>
      </w:r>
      <w:r>
        <w:rPr>
          <w:color w:val="374151"/>
          <w:sz w:val="21"/>
        </w:rPr>
        <w:t>High shipping cost relative to order value significantly reduces net margin at the order level.</w:t>
      </w:r>
    </w:p>
    <w:p>
      <w:pPr>
        <w:pStyle w:val="ListBullet"/>
        <w:spacing w:after="60"/>
      </w:pPr>
      <w:r>
        <w:rPr>
          <w:b/>
          <w:color w:val="1F3A5F"/>
          <w:sz w:val="21"/>
        </w:rPr>
        <w:t xml:space="preserve">RECOMMENDED ACTION: </w:t>
      </w:r>
      <w:r>
        <w:rPr>
          <w:color w:val="374151"/>
          <w:sz w:val="21"/>
        </w:rPr>
        <w:t>ntroduce minimum order value thresholds for subsidised shipping. Review fulfilment strategy for small orders.</w:t>
      </w:r>
    </w:p>
    <w:p/>
    <w:p/>
    <w:p>
      <w:pPr>
        <w:pStyle w:val="Heading1"/>
      </w:pPr>
      <w:r>
        <w:rPr>
          <w:color w:val="1F3A5F"/>
          <w:sz w:val="32"/>
        </w:rPr>
        <w:t>15. Opportunity Analysis</w:t>
      </w:r>
    </w:p>
    <w:p>
      <w:pPr>
        <w:pBdr>
          <w:bottom w:val="single" w:sz="4" w:space="1" w:color="2E86AB"/>
        </w:pBdr>
        <w:spacing w:after="160"/>
      </w:pPr>
    </w:p>
    <w:p>
      <w:pPr>
        <w:pStyle w:val="Heading2"/>
      </w:pPr>
      <w:r>
        <w:rPr>
          <w:color w:val="2E86AB"/>
          <w:sz w:val="26"/>
        </w:rPr>
        <w:t>Category Leadership — Clothing &amp; Accessories</w:t>
      </w:r>
    </w:p>
    <w:p>
      <w:pPr>
        <w:pStyle w:val="ListBullet"/>
        <w:spacing w:after="60"/>
      </w:pPr>
      <w:r>
        <w:rPr>
          <w:b/>
          <w:color w:val="1F3A5F"/>
          <w:sz w:val="21"/>
        </w:rPr>
        <w:t xml:space="preserve">FACT: </w:t>
      </w:r>
      <w:r>
        <w:rPr>
          <w:color w:val="374151"/>
          <w:sz w:val="21"/>
        </w:rPr>
        <w:t>Clothing &amp; Accessories has the highest profit margin at 37.64% on $69,376 in sales.</w:t>
      </w:r>
    </w:p>
    <w:p>
      <w:pPr>
        <w:pStyle w:val="ListBullet"/>
        <w:spacing w:after="60"/>
      </w:pPr>
      <w:r>
        <w:rPr>
          <w:b/>
          <w:color w:val="1F3A5F"/>
          <w:sz w:val="21"/>
        </w:rPr>
        <w:t xml:space="preserve">INSIGHT: </w:t>
      </w:r>
      <w:r>
        <w:rPr>
          <w:color w:val="374151"/>
          <w:sz w:val="21"/>
        </w:rPr>
        <w:t>This category is the most margin-efficient in the portfolio.</w:t>
      </w:r>
    </w:p>
    <w:p>
      <w:pPr>
        <w:pStyle w:val="ListBullet"/>
        <w:spacing w:after="60"/>
      </w:pPr>
      <w:r>
        <w:rPr>
          <w:b/>
          <w:color w:val="1F3A5F"/>
          <w:sz w:val="21"/>
        </w:rPr>
        <w:t xml:space="preserve">OPPORTUNITY: </w:t>
      </w:r>
      <w:r>
        <w:rPr>
          <w:color w:val="374151"/>
          <w:sz w:val="21"/>
        </w:rPr>
        <w:t>Increasing its revenue share through promotion or range expansion would raise overall portfolio margin.</w:t>
      </w:r>
    </w:p>
    <w:p>
      <w:pPr>
        <w:pStyle w:val="ListBullet"/>
        <w:spacing w:after="60"/>
      </w:pPr>
      <w:r>
        <w:rPr>
          <w:b/>
          <w:color w:val="1F3A5F"/>
          <w:sz w:val="21"/>
        </w:rPr>
        <w:t xml:space="preserve">RECOMMENDED ACTION: </w:t>
      </w:r>
      <w:r>
        <w:rPr>
          <w:color w:val="374151"/>
          <w:sz w:val="21"/>
        </w:rPr>
        <w:t>llocate additional marketing spend to Clothing &amp; Accessories. Expand SKU range in high-margin sub-categories.</w:t>
      </w:r>
    </w:p>
    <w:p/>
    <w:p>
      <w:pPr>
        <w:pStyle w:val="Heading2"/>
      </w:pPr>
      <w:r>
        <w:rPr>
          <w:color w:val="2E86AB"/>
          <w:sz w:val="26"/>
        </w:rPr>
        <w:t>Furniture — Highest Absolute Profit</w:t>
      </w:r>
    </w:p>
    <w:p>
      <w:pPr>
        <w:pStyle w:val="ListBullet"/>
        <w:spacing w:after="60"/>
      </w:pPr>
      <w:r>
        <w:rPr>
          <w:b/>
          <w:color w:val="1F3A5F"/>
          <w:sz w:val="21"/>
        </w:rPr>
        <w:t xml:space="preserve">FACT: </w:t>
      </w:r>
      <w:r>
        <w:rPr>
          <w:color w:val="374151"/>
          <w:sz w:val="21"/>
        </w:rPr>
        <w:t>Furniture generates $81,172 in profit — 51.1% of total profit — from $256,275 in sales.</w:t>
      </w:r>
    </w:p>
    <w:p>
      <w:pPr>
        <w:pStyle w:val="ListBullet"/>
        <w:spacing w:after="60"/>
      </w:pPr>
      <w:r>
        <w:rPr>
          <w:b/>
          <w:color w:val="1F3A5F"/>
          <w:sz w:val="21"/>
        </w:rPr>
        <w:t xml:space="preserve">INSIGHT: </w:t>
      </w:r>
      <w:r>
        <w:rPr>
          <w:color w:val="374151"/>
          <w:sz w:val="21"/>
        </w:rPr>
        <w:t>Furniture drives the majority of business profit. Its top products (Standing Desk Converter, Ergonomic Chair) are individually the highest revenue and profit generators.</w:t>
      </w:r>
    </w:p>
    <w:p>
      <w:pPr>
        <w:pStyle w:val="ListBullet"/>
        <w:spacing w:after="60"/>
      </w:pPr>
      <w:r>
        <w:rPr>
          <w:b/>
          <w:color w:val="1F3A5F"/>
          <w:sz w:val="21"/>
        </w:rPr>
        <w:t xml:space="preserve">OPPORTUNITY: </w:t>
      </w:r>
      <w:r>
        <w:rPr>
          <w:color w:val="374151"/>
          <w:sz w:val="21"/>
        </w:rPr>
        <w:t>Protecting and growing Furniture revenue has the single largest impact on total profit.</w:t>
      </w:r>
    </w:p>
    <w:p>
      <w:pPr>
        <w:pStyle w:val="ListBullet"/>
        <w:spacing w:after="60"/>
      </w:pPr>
      <w:r>
        <w:rPr>
          <w:b/>
          <w:color w:val="1F3A5F"/>
          <w:sz w:val="21"/>
        </w:rPr>
        <w:t xml:space="preserve">RECOMMENDED ACTION: </w:t>
      </w:r>
      <w:r>
        <w:rPr>
          <w:color w:val="374151"/>
          <w:sz w:val="21"/>
        </w:rPr>
        <w:t>rioritise inventory and supplier relationships for top Furniture SKUs. Develop cross-sell strategies linking Furniture with Technology accessories.</w:t>
      </w:r>
    </w:p>
    <w:p/>
    <w:p>
      <w:pPr>
        <w:pStyle w:val="Heading2"/>
      </w:pPr>
      <w:r>
        <w:rPr>
          <w:color w:val="2E86AB"/>
          <w:sz w:val="26"/>
        </w:rPr>
        <w:t>Consumer Segment Retention</w:t>
      </w:r>
    </w:p>
    <w:p>
      <w:pPr>
        <w:pStyle w:val="ListBullet"/>
        <w:spacing w:after="60"/>
      </w:pPr>
      <w:r>
        <w:rPr>
          <w:b/>
          <w:color w:val="1F3A5F"/>
          <w:sz w:val="21"/>
        </w:rPr>
        <w:t xml:space="preserve">FACT: </w:t>
      </w:r>
      <w:r>
        <w:rPr>
          <w:color w:val="374151"/>
          <w:sz w:val="21"/>
        </w:rPr>
        <w:t>Consumer segment generates $256,288 in sales (52.9% of total) with the highest margin (34.06%) and highest AOV ($254.76).</w:t>
      </w:r>
    </w:p>
    <w:p>
      <w:pPr>
        <w:pStyle w:val="ListBullet"/>
        <w:spacing w:after="60"/>
      </w:pPr>
      <w:r>
        <w:rPr>
          <w:b/>
          <w:color w:val="1F3A5F"/>
          <w:sz w:val="21"/>
        </w:rPr>
        <w:t xml:space="preserve">INSIGHT: </w:t>
      </w:r>
      <w:r>
        <w:rPr>
          <w:color w:val="374151"/>
          <w:sz w:val="21"/>
        </w:rPr>
        <w:t>This segment is the most commercially valuable. Its margin exceeds Corporate by 3.6 percentage points.</w:t>
      </w:r>
    </w:p>
    <w:p>
      <w:pPr>
        <w:pStyle w:val="ListBullet"/>
        <w:spacing w:after="60"/>
      </w:pPr>
      <w:r>
        <w:rPr>
          <w:b/>
          <w:color w:val="1F3A5F"/>
          <w:sz w:val="21"/>
        </w:rPr>
        <w:t xml:space="preserve">OPPORTUNITY: </w:t>
      </w:r>
      <w:r>
        <w:rPr>
          <w:color w:val="374151"/>
          <w:sz w:val="21"/>
        </w:rPr>
        <w:t>Loyalty and upsell strategies targeting Consumer customers would yield disproportionate profit growth.</w:t>
      </w:r>
    </w:p>
    <w:p>
      <w:pPr>
        <w:pStyle w:val="ListBullet"/>
        <w:spacing w:after="60"/>
      </w:pPr>
      <w:r>
        <w:rPr>
          <w:b/>
          <w:color w:val="1F3A5F"/>
          <w:sz w:val="21"/>
        </w:rPr>
        <w:t xml:space="preserve">RECOMMENDED ACTION: </w:t>
      </w:r>
      <w:r>
        <w:rPr>
          <w:color w:val="374151"/>
          <w:sz w:val="21"/>
        </w:rPr>
        <w:t>evelop a consumer loyalty programme. Analyse the product mix most popular with high-value Consumer customers and build targeted campaigns.</w:t>
      </w:r>
    </w:p>
    <w:p/>
    <w:p>
      <w:pPr>
        <w:pStyle w:val="Heading2"/>
      </w:pPr>
      <w:r>
        <w:rPr>
          <w:color w:val="2E86AB"/>
          <w:sz w:val="26"/>
        </w:rPr>
        <w:t>Regional Growth — South America &amp; MEA</w:t>
      </w:r>
    </w:p>
    <w:p>
      <w:pPr>
        <w:pStyle w:val="ListBullet"/>
        <w:spacing w:after="60"/>
      </w:pPr>
      <w:r>
        <w:rPr>
          <w:b/>
          <w:color w:val="1F3A5F"/>
          <w:sz w:val="21"/>
        </w:rPr>
        <w:t xml:space="preserve">FACT: </w:t>
      </w:r>
      <w:r>
        <w:rPr>
          <w:color w:val="374151"/>
          <w:sz w:val="21"/>
        </w:rPr>
        <w:t>South America and Middle East &amp; Africa each contribute ~9.5% of total sales ($46,051 and $45,918 respectively).</w:t>
      </w:r>
    </w:p>
    <w:p>
      <w:pPr>
        <w:pStyle w:val="ListBullet"/>
        <w:spacing w:after="60"/>
      </w:pPr>
      <w:r>
        <w:rPr>
          <w:b/>
          <w:color w:val="1F3A5F"/>
          <w:sz w:val="21"/>
        </w:rPr>
        <w:t xml:space="preserve">INSIGHT: </w:t>
      </w:r>
      <w:r>
        <w:rPr>
          <w:color w:val="374151"/>
          <w:sz w:val="21"/>
        </w:rPr>
        <w:t>Low revenue may reflect limited investment or awareness rather than absent demand.</w:t>
      </w:r>
    </w:p>
    <w:p>
      <w:pPr>
        <w:pStyle w:val="ListBullet"/>
        <w:spacing w:after="60"/>
      </w:pPr>
      <w:r>
        <w:rPr>
          <w:b/>
          <w:color w:val="1F3A5F"/>
          <w:sz w:val="21"/>
        </w:rPr>
        <w:t xml:space="preserve">OPPORTUNITY: </w:t>
      </w:r>
      <w:r>
        <w:rPr>
          <w:color w:val="374151"/>
          <w:sz w:val="21"/>
        </w:rPr>
        <w:t>Targeted investment in these regions could unlock growth without cannibalising higher-performing regions.</w:t>
      </w:r>
    </w:p>
    <w:p>
      <w:pPr>
        <w:pStyle w:val="ListBullet"/>
        <w:spacing w:after="60"/>
      </w:pPr>
      <w:r>
        <w:rPr>
          <w:b/>
          <w:color w:val="1F3A5F"/>
          <w:sz w:val="21"/>
        </w:rPr>
        <w:t xml:space="preserve">RECOMMENDED ACTION: </w:t>
      </w:r>
      <w:r>
        <w:rPr>
          <w:color w:val="374151"/>
          <w:sz w:val="21"/>
        </w:rPr>
        <w:t>onduct market assessments for South America and MEA. Pilot targeted promotions and measure incremental revenue against investment.</w:t>
      </w:r>
    </w:p>
    <w:p/>
    <w:p>
      <w:pPr>
        <w:pStyle w:val="Heading2"/>
      </w:pPr>
      <w:r>
        <w:rPr>
          <w:color w:val="2E86AB"/>
          <w:sz w:val="26"/>
        </w:rPr>
        <w:t>Discount Optimisation</w:t>
      </w:r>
    </w:p>
    <w:p>
      <w:pPr>
        <w:pStyle w:val="ListBullet"/>
        <w:spacing w:after="60"/>
      </w:pPr>
      <w:r>
        <w:rPr>
          <w:b/>
          <w:color w:val="1F3A5F"/>
          <w:sz w:val="21"/>
        </w:rPr>
        <w:t xml:space="preserve">FACT: </w:t>
      </w:r>
      <w:r>
        <w:rPr>
          <w:color w:val="374151"/>
          <w:sz w:val="21"/>
        </w:rPr>
        <w:t>Orders below 20% discount have an average margin of 21.67% vs 8.63% for orders at 20%+.</w:t>
      </w:r>
    </w:p>
    <w:p>
      <w:pPr>
        <w:pStyle w:val="ListBullet"/>
        <w:spacing w:after="60"/>
      </w:pPr>
      <w:r>
        <w:rPr>
          <w:b/>
          <w:color w:val="1F3A5F"/>
          <w:sz w:val="21"/>
        </w:rPr>
        <w:t xml:space="preserve">INSIGHT: </w:t>
      </w:r>
      <w:r>
        <w:rPr>
          <w:color w:val="374151"/>
          <w:sz w:val="21"/>
        </w:rPr>
        <w:t>Reducing average discount levels, even modestly, could improve margin materially.</w:t>
      </w:r>
    </w:p>
    <w:p>
      <w:pPr>
        <w:pStyle w:val="ListBullet"/>
        <w:spacing w:after="60"/>
      </w:pPr>
      <w:r>
        <w:rPr>
          <w:b/>
          <w:color w:val="1F3A5F"/>
          <w:sz w:val="21"/>
        </w:rPr>
        <w:t xml:space="preserve">OPPORTUNITY: </w:t>
      </w:r>
      <w:r>
        <w:rPr>
          <w:color w:val="374151"/>
          <w:sz w:val="21"/>
        </w:rPr>
        <w:t>Recalibrating the discount mix could improve overall profitability without necessarily losing order volume.</w:t>
      </w:r>
    </w:p>
    <w:p>
      <w:pPr>
        <w:pStyle w:val="ListBullet"/>
        <w:spacing w:after="60"/>
      </w:pPr>
      <w:r>
        <w:rPr>
          <w:b/>
          <w:color w:val="1F3A5F"/>
          <w:sz w:val="21"/>
        </w:rPr>
        <w:t xml:space="preserve">RECOMMENDED ACTION: </w:t>
      </w:r>
      <w:r>
        <w:rPr>
          <w:color w:val="374151"/>
          <w:sz w:val="21"/>
        </w:rPr>
        <w:t>un A/B tests on discount levels in the highest-volume category. Introduce tiered discount caps by segment.</w:t>
      </w:r>
    </w:p>
    <w:p/>
    <w:p/>
    <w:p>
      <w:pPr>
        <w:pStyle w:val="Heading1"/>
      </w:pPr>
      <w:r>
        <w:rPr>
          <w:color w:val="1F3A5F"/>
          <w:sz w:val="32"/>
        </w:rPr>
        <w:t>16. Recommended Business Actions — Summary</w:t>
      </w:r>
    </w:p>
    <w:p>
      <w:pPr>
        <w:pBdr>
          <w:bottom w:val="single" w:sz="4" w:space="1" w:color="2E86AB"/>
        </w:pBdr>
        <w:spacing w:after="160"/>
      </w:pPr>
    </w:p>
    <w:p>
      <w:pPr>
        <w:pStyle w:val="ListBullet"/>
        <w:spacing w:after="60"/>
      </w:pPr>
      <w:r>
        <w:rPr>
          <w:color w:val="374151"/>
          <w:sz w:val="21"/>
        </w:rPr>
        <w:t>1. Establish discount approval thresholds: require management sign-off for any order discount ≥ 20%, across all categories.</w:t>
      </w:r>
    </w:p>
    <w:p>
      <w:pPr>
        <w:pStyle w:val="ListBullet"/>
        <w:spacing w:after="60"/>
      </w:pPr>
      <w:r>
        <w:rPr>
          <w:color w:val="374151"/>
          <w:sz w:val="21"/>
        </w:rPr>
        <w:t>2. Review Office Supplies pricing and supplier costs to improve its 17.12% margin towards the portfolio average of 32.79%.</w:t>
      </w:r>
    </w:p>
    <w:p>
      <w:pPr>
        <w:pStyle w:val="ListBullet"/>
        <w:spacing w:after="60"/>
      </w:pPr>
      <w:r>
        <w:rPr>
          <w:color w:val="374151"/>
          <w:sz w:val="21"/>
        </w:rPr>
        <w:t>3. Investigate the 272 loss-making orders (13.6% of all orders) by category and region; implement minimum margin guardrails.</w:t>
      </w:r>
    </w:p>
    <w:p>
      <w:pPr>
        <w:pStyle w:val="ListBullet"/>
        <w:spacing w:after="60"/>
      </w:pPr>
      <w:r>
        <w:rPr>
          <w:color w:val="374151"/>
          <w:sz w:val="21"/>
        </w:rPr>
        <w:t>4. Address the 627 orders (31.4%) where shipping cost exceeds profit by reviewing fulfilment strategy for low-value orders.</w:t>
      </w:r>
    </w:p>
    <w:p>
      <w:pPr>
        <w:pStyle w:val="ListBullet"/>
        <w:spacing w:after="60"/>
      </w:pPr>
      <w:r>
        <w:rPr>
          <w:color w:val="374151"/>
          <w:sz w:val="21"/>
        </w:rPr>
        <w:t>5. Prioritise inventory and marketing investment in Furniture and Clothing &amp; Accessories — the highest profit and highest margin categories respectively.</w:t>
      </w:r>
    </w:p>
    <w:p>
      <w:pPr>
        <w:pStyle w:val="ListBullet"/>
        <w:spacing w:after="60"/>
      </w:pPr>
      <w:r>
        <w:rPr>
          <w:color w:val="374151"/>
          <w:sz w:val="21"/>
        </w:rPr>
        <w:t>6. Develop a Consumer segment retention programme: this segment generates $87,300 profit with a 34.06% margin.</w:t>
      </w:r>
    </w:p>
    <w:p>
      <w:pPr>
        <w:pStyle w:val="ListBullet"/>
        <w:spacing w:after="60"/>
      </w:pPr>
      <w:r>
        <w:rPr>
          <w:color w:val="374151"/>
          <w:sz w:val="21"/>
        </w:rPr>
        <w:t>7. Set measurable revenue diversification targets for South America and MEA to reduce the 55.9% concentration in Europe and North America.</w:t>
      </w:r>
    </w:p>
    <w:p>
      <w:pPr>
        <w:pStyle w:val="ListBullet"/>
        <w:spacing w:after="60"/>
      </w:pPr>
      <w:r>
        <w:rPr>
          <w:color w:val="374151"/>
          <w:sz w:val="21"/>
        </w:rPr>
        <w:t>8. Expand the Corporate segment margin analysis: at 30.44%, it trails Consumer by 3.6 pp; identify whether discount or product mix is the driver.</w:t>
      </w:r>
    </w:p>
    <w:p/>
    <w:p>
      <w:pPr>
        <w:pStyle w:val="Heading1"/>
      </w:pPr>
      <w:r>
        <w:rPr>
          <w:color w:val="1F3A5F"/>
          <w:sz w:val="32"/>
        </w:rPr>
        <w:t>17. Dashboard Screenshots</w:t>
      </w:r>
    </w:p>
    <w:p>
      <w:pPr>
        <w:pBdr>
          <w:bottom w:val="single" w:sz="4" w:space="1" w:color="2E86AB"/>
        </w:pBdr>
        <w:spacing w:after="160"/>
      </w:pPr>
    </w:p>
    <w:p>
      <w:pPr>
        <w:spacing w:after="80"/>
      </w:pPr>
      <w:r>
        <w:rPr>
          <w:b w:val="0"/>
          <w:i/>
          <w:color w:val="374151"/>
          <w:sz w:val="21"/>
        </w:rPr>
        <w:t>The following section documents each page of the interactive dashboard. Screenshots are to be added after the dashboard is launched and reviewed. All charts and KPIs are dynamically computed from the filtered dataset and update in real time as sidebar filters are adjusted.</w:t>
      </w:r>
    </w:p>
    <w:p/>
    <w:p>
      <w:pPr>
        <w:pStyle w:val="Heading2"/>
      </w:pPr>
      <w:r>
        <w:rPr>
          <w:color w:val="2E86AB"/>
          <w:sz w:val="26"/>
        </w:rPr>
        <w:t>17.1 Page 1 — Executive Overview</w:t>
      </w:r>
    </w:p>
    <w:p>
      <w:pPr>
        <w:spacing w:after="80"/>
      </w:pPr>
      <w:r>
        <w:rPr>
          <w:b w:val="0"/>
          <w:i w:val="0"/>
          <w:color w:val="374151"/>
          <w:sz w:val="21"/>
        </w:rPr>
        <w:t>Displays eight KPI cards (Total Sales: $484,559 | Total Profit: $158,872 | Profit Margin: 32.79% | AOV: $242.28 | Total Orders: 2,000 | Qty Sold: 7,115 | Unique Customers: 1,534 | Avg Discount: 8.57%), a dual-axis monthly trend chart, sales-by-region bar chart, sales-by-category donut chart, and the AI Business Analyst summary panel.</w:t>
      </w:r>
    </w:p>
    <w:p>
      <w:pPr>
        <w:pStyle w:val="Heading2"/>
      </w:pPr>
      <w:r>
        <w:rPr>
          <w:color w:val="2E86AB"/>
          <w:sz w:val="26"/>
        </w:rPr>
        <w:t>17.2 Page 2 — Sales &amp; Product Analysis</w:t>
      </w:r>
    </w:p>
    <w:p>
      <w:pPr>
        <w:spacing w:after="80"/>
      </w:pPr>
      <w:r>
        <w:rPr>
          <w:b w:val="0"/>
          <w:i w:val="0"/>
          <w:color w:val="374151"/>
          <w:sz w:val="21"/>
        </w:rPr>
        <w:t>Includes category sales/profit/margin/quantity bars, top 10 and bottom 10 product charts, monthly sales trends by category, discount-vs-profit scatter plot, and a discount band margin chart.</w:t>
      </w:r>
    </w:p>
    <w:p>
      <w:pPr>
        <w:pStyle w:val="Heading2"/>
      </w:pPr>
      <w:r>
        <w:rPr>
          <w:color w:val="2E86AB"/>
          <w:sz w:val="26"/>
        </w:rPr>
        <w:t>17.3 Page 3 — Customer &amp; Regional Analysis</w:t>
      </w:r>
    </w:p>
    <w:p>
      <w:pPr>
        <w:spacing w:after="80"/>
      </w:pPr>
      <w:r>
        <w:rPr>
          <w:b w:val="0"/>
          <w:i w:val="0"/>
          <w:color w:val="374151"/>
          <w:sz w:val="21"/>
        </w:rPr>
        <w:t>Covers segment performance (sales, profit, AOV), a segment × category sales heatmap, regional sales and profit bars, country performance bar and table, payment method distribution, and the AI Customer &amp; Regional Insights panel.</w:t>
      </w:r>
    </w:p>
    <w:p>
      <w:pPr>
        <w:pStyle w:val="Heading2"/>
      </w:pPr>
      <w:r>
        <w:rPr>
          <w:color w:val="2E86AB"/>
          <w:sz w:val="26"/>
        </w:rPr>
        <w:t>17.4 Page 4 — Risk, Opportunity &amp; Action</w:t>
      </w:r>
    </w:p>
    <w:p>
      <w:pPr>
        <w:spacing w:after="80"/>
      </w:pPr>
      <w:r>
        <w:rPr>
          <w:b w:val="0"/>
          <w:i w:val="0"/>
          <w:color w:val="374151"/>
          <w:sz w:val="21"/>
        </w:rPr>
        <w:t>Presents five risk cards and five opportunity cards, each structured with FACT / INSIGHT / RISK or OPPORTUNITY / RECOMMENDED ACTION. Includes a loss-making orders detail table (272 rows) and a profit margin by category × segment grouped bar chart.</w:t>
      </w:r>
    </w:p>
    <w:p/>
    <w:p>
      <w:pPr>
        <w:pStyle w:val="Heading1"/>
      </w:pPr>
      <w:r>
        <w:rPr>
          <w:color w:val="1F3A5F"/>
          <w:sz w:val="32"/>
        </w:rPr>
        <w:t>18. Limitations</w:t>
      </w:r>
    </w:p>
    <w:p>
      <w:pPr>
        <w:pBdr>
          <w:bottom w:val="single" w:sz="4" w:space="1" w:color="2E86AB"/>
        </w:pBdr>
        <w:spacing w:after="160"/>
      </w:pPr>
    </w:p>
    <w:p>
      <w:pPr>
        <w:pStyle w:val="ListBullet"/>
        <w:spacing w:after="60"/>
      </w:pPr>
      <w:r>
        <w:rPr>
          <w:color w:val="374151"/>
          <w:sz w:val="21"/>
        </w:rPr>
        <w:t>The Profit column is used as provided in the dataset. No COGS column exists, so profit cannot be independently recalculated or verified.</w:t>
      </w:r>
    </w:p>
    <w:p>
      <w:pPr>
        <w:pStyle w:val="ListBullet"/>
        <w:spacing w:after="60"/>
      </w:pPr>
      <w:r>
        <w:rPr>
          <w:color w:val="374151"/>
          <w:sz w:val="21"/>
        </w:rPr>
        <w:t>Shipping cost is available but there are no other cost components (operating expenses, returns, etc.) beyond what is in the CSV.</w:t>
      </w:r>
    </w:p>
    <w:p>
      <w:pPr>
        <w:pStyle w:val="ListBullet"/>
        <w:spacing w:after="60"/>
      </w:pPr>
      <w:r>
        <w:rPr>
          <w:color w:val="374151"/>
          <w:sz w:val="21"/>
        </w:rPr>
        <w:t>Customer lifetime value (LTV) analysis is limited by the absence of a persistent customer ID; Customer_Name is used as a proxy.</w:t>
      </w:r>
    </w:p>
    <w:p>
      <w:pPr>
        <w:pStyle w:val="ListBullet"/>
        <w:spacing w:after="60"/>
      </w:pPr>
      <w:r>
        <w:rPr>
          <w:color w:val="374151"/>
          <w:sz w:val="21"/>
        </w:rPr>
        <w:t>No external market data is used; all insights are derived solely from the supplied CSV.</w:t>
      </w:r>
    </w:p>
    <w:p>
      <w:pPr>
        <w:pStyle w:val="ListBullet"/>
        <w:spacing w:after="60"/>
      </w:pPr>
      <w:r>
        <w:rPr>
          <w:color w:val="374151"/>
          <w:sz w:val="21"/>
        </w:rPr>
        <w:t>The AI Business Analyst section is entirely rule-based — it is not powered by a language model and cannot handle free-form queries.</w:t>
      </w:r>
    </w:p>
    <w:p>
      <w:pPr>
        <w:pStyle w:val="ListBullet"/>
        <w:spacing w:after="60"/>
      </w:pPr>
      <w:r>
        <w:rPr>
          <w:color w:val="374151"/>
          <w:sz w:val="21"/>
        </w:rPr>
        <w:t>Three years of data (2023–2025) may not be sufficient for robust time-series forecasting.</w:t>
      </w:r>
    </w:p>
    <w:p/>
    <w:p>
      <w:pPr>
        <w:pStyle w:val="Heading1"/>
      </w:pPr>
      <w:r>
        <w:rPr>
          <w:color w:val="1F3A5F"/>
          <w:sz w:val="32"/>
        </w:rPr>
        <w:t>19. Future Scope</w:t>
      </w:r>
    </w:p>
    <w:p>
      <w:pPr>
        <w:pBdr>
          <w:bottom w:val="single" w:sz="4" w:space="1" w:color="2E86AB"/>
        </w:pBdr>
        <w:spacing w:after="160"/>
      </w:pPr>
    </w:p>
    <w:p>
      <w:pPr>
        <w:pStyle w:val="ListBullet"/>
        <w:spacing w:after="60"/>
      </w:pPr>
      <w:r>
        <w:rPr>
          <w:color w:val="374151"/>
          <w:sz w:val="21"/>
        </w:rPr>
        <w:t>Add time-series forecasting (e.g., Prophet or ARIMA) if historical data depth justifies it.</w:t>
      </w:r>
    </w:p>
    <w:p>
      <w:pPr>
        <w:pStyle w:val="ListBullet"/>
        <w:spacing w:after="60"/>
      </w:pPr>
      <w:r>
        <w:rPr>
          <w:color w:val="374151"/>
          <w:sz w:val="21"/>
        </w:rPr>
        <w:t>Integrate a real AI/LLM layer for natural-language query of the dashboard.</w:t>
      </w:r>
    </w:p>
    <w:p>
      <w:pPr>
        <w:pStyle w:val="ListBullet"/>
        <w:spacing w:after="60"/>
      </w:pPr>
      <w:r>
        <w:rPr>
          <w:color w:val="374151"/>
          <w:sz w:val="21"/>
        </w:rPr>
        <w:t>Connect to a live database instead of a static CSV for real-time BI.</w:t>
      </w:r>
    </w:p>
    <w:p>
      <w:pPr>
        <w:pStyle w:val="ListBullet"/>
        <w:spacing w:after="60"/>
      </w:pPr>
      <w:r>
        <w:rPr>
          <w:color w:val="374151"/>
          <w:sz w:val="21"/>
        </w:rPr>
        <w:t>Add customer cohort and RFM (Recency, Frequency, Monetary) analysis once a persistent customer ID is available.</w:t>
      </w:r>
    </w:p>
    <w:p>
      <w:pPr>
        <w:pStyle w:val="ListBullet"/>
        <w:spacing w:after="60"/>
      </w:pPr>
      <w:r>
        <w:rPr>
          <w:color w:val="374151"/>
          <w:sz w:val="21"/>
        </w:rPr>
        <w:t>Export filtered data and charts to Excel or PDF directly from the dashboard.</w:t>
      </w:r>
    </w:p>
    <w:p>
      <w:pPr>
        <w:pStyle w:val="ListBullet"/>
        <w:spacing w:after="60"/>
      </w:pPr>
      <w:r>
        <w:rPr>
          <w:color w:val="374151"/>
          <w:sz w:val="21"/>
        </w:rPr>
        <w:t>Add anomaly detection for unusual spikes in orders, discounts, or loss-making transactions.</w:t>
      </w:r>
    </w:p>
    <w:p>
      <w:pPr>
        <w:pStyle w:val="ListBullet"/>
        <w:spacing w:after="60"/>
      </w:pPr>
      <w:r>
        <w:rPr>
          <w:color w:val="374151"/>
          <w:sz w:val="21"/>
        </w:rPr>
        <w:t>Build a margin optimisation simulator that projects the impact of discount policy changes.</w:t>
      </w:r>
    </w:p>
    <w:p/>
    <w:p>
      <w:pPr>
        <w:pStyle w:val="Heading1"/>
      </w:pPr>
      <w:r>
        <w:rPr>
          <w:color w:val="1F3A5F"/>
          <w:sz w:val="32"/>
        </w:rPr>
        <w:t>20. Conclusion</w:t>
      </w:r>
    </w:p>
    <w:p>
      <w:pPr>
        <w:pBdr>
          <w:bottom w:val="single" w:sz="4" w:space="1" w:color="2E86AB"/>
        </w:pBdr>
        <w:spacing w:after="160"/>
      </w:pPr>
    </w:p>
    <w:p>
      <w:pPr>
        <w:spacing w:after="80"/>
      </w:pPr>
      <w:r>
        <w:rPr>
          <w:b w:val="0"/>
          <w:i w:val="0"/>
          <w:color w:val="374151"/>
          <w:sz w:val="21"/>
        </w:rPr>
        <w:t>The AI-Powered E-Commerce BI Dashboard successfully transforms 2,000 transactional records into a four-page interactive business intelligence platform. The application delivers accurate, filter-driven KPIs, trend charts, and a structured decision-support layer that identifies risks and opportunities backed by calculated data.</w:t>
      </w:r>
    </w:p>
    <w:p>
      <w:pPr>
        <w:spacing w:after="80"/>
      </w:pPr>
      <w:r>
        <w:rPr>
          <w:b w:val="0"/>
          <w:i w:val="0"/>
          <w:color w:val="374151"/>
          <w:sz w:val="21"/>
        </w:rPr>
        <w:t>Key findings from the full dataset: the business is profitable overall (32.79% margin), with Furniture and Technology as the dominant revenue drivers. However, 13.6% of orders are loss-making, high discounts are associated with materially lower margins, and shipping costs exceed profit on 31.4% of orders — all of which represent addressable operational improvements.</w:t>
      </w:r>
    </w:p>
    <w:p>
      <w:pPr>
        <w:spacing w:after="80"/>
      </w:pPr>
      <w:r>
        <w:rPr>
          <w:b w:val="0"/>
          <w:i w:val="0"/>
          <w:color w:val="374151"/>
          <w:sz w:val="21"/>
        </w:rPr>
        <w:t>The dashboard is designed to be accessible to non-technical business managers and supports seven independent filter dimensions, ensuring relevant and context-specific insights at every level of analysis.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