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Exploratory Data Analysis (EDA) Project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Diabetes Risk Factor Analysis — Patient Health Dataset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project analyzes a patient health dataset to uncover patterns and trends related to diabetes risk. The analysis uses statistical summaries and visualizations to identify correlations and the key factors that influence whether a patient is diagnosed as diabetic, and presents the findings in a structured report.</w:t>
      </w:r>
    </w:p>
    <w:p>
      <w:pPr>
        <w:pStyle w:val="Heading1"/>
        <w:spacing w:after="150" w:before="300"/>
      </w:pPr>
      <w:r>
        <w:t xml:space="preserve">2. Dataset Overview</w:t>
      </w:r>
    </w:p>
    <w:p>
      <w:pPr>
        <w:spacing w:after="150"/>
      </w:pPr>
      <w:r>
        <w:t xml:space="preserve">The dataset contains 773 raw patient records (768 after removing duplicates) with 8 clinical features and one binary outcome: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Pregnancies — number of times pregnant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Glucose — plasma glucose concentration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BloodPressure — diastolic blood pressure (mm Hg)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SkinThickness — triceps skinfold thickness (mm)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Insulin — 2-hour serum insulin (mu U/ml)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BMI — body mass index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DiabetesPedigreeFunction — genetic diabetes risk score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— age in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Outcome — 1 = diabetic, 0 = non-diabetic (target variable)</w:t>
      </w:r>
    </w:p>
    <w:p>
      <w:pPr>
        <w:pStyle w:val="Heading1"/>
        <w:spacing w:after="150" w:before="300"/>
      </w:pPr>
      <w:r>
        <w:t xml:space="preserve">3. Data Cleaning</w:t>
      </w:r>
    </w:p>
    <w:p>
      <w:pPr>
        <w:spacing w:after="150"/>
      </w:pPr>
      <w:r>
        <w:t xml:space="preserve">Initial inspection revealed two data quality issues that needed to be addressed before 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 exact duplicate rows, removed.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Biologically implausible zero-values in Glucose (7), BloodPressure (15), SkinThickness (69), Insulin (138), and BMI (17) — a living patient cannot have a value of 0 for these measurements, so they were treated as missing data.</w:t>
      </w:r>
    </w:p>
    <w:p>
      <w:pPr>
        <w:spacing w:after="150"/>
      </w:pPr>
      <w:r>
        <w:t xml:space="preserve">Missing values were imputed using the median within each Outcome group (diabetic vs. non-diabetic) rather than a single global median, which preserves the distributional difference between the two groups instead of blurring it.</w:t>
      </w:r>
    </w:p>
    <w:p>
      <w:pPr>
        <w:pStyle w:val="Heading1"/>
        <w:spacing w:after="150" w:before="300"/>
      </w:pPr>
      <w:r>
        <w:t xml:space="preserve">4. Statistical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50%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t xml:space="preserve">Total records (after cleaning)</w:t>
            </w:r>
          </w:p>
        </w:tc>
        <w:tc>
          <w:tcPr>
            <w:tcW w:type="pct" w:w="50%"/>
          </w:tcPr>
          <w:p>
            <w:r>
              <w:t xml:space="preserve">768</w:t>
            </w:r>
          </w:p>
        </w:tc>
      </w:tr>
      <w:tr>
        <w:tc>
          <w:tcPr>
            <w:tcW w:type="pct" w:w="50%"/>
          </w:tcPr>
          <w:p>
            <w:r>
              <w:t xml:space="preserve">Features analyzed</w:t>
            </w:r>
          </w:p>
        </w:tc>
        <w:tc>
          <w:tcPr>
            <w:tcW w:type="pct" w:w="50%"/>
          </w:tcPr>
          <w:p>
            <w:r>
              <w:t xml:space="preserve">8 clinical + 1 outcome</w:t>
            </w:r>
          </w:p>
        </w:tc>
      </w:tr>
      <w:tr>
        <w:tc>
          <w:tcPr>
            <w:tcW w:type="pct" w:w="50%"/>
          </w:tcPr>
          <w:p>
            <w:r>
              <w:t xml:space="preserve">Diabetic cases</w:t>
            </w:r>
          </w:p>
        </w:tc>
        <w:tc>
          <w:tcPr>
            <w:tcW w:type="pct" w:w="50%"/>
          </w:tcPr>
          <w:p>
            <w:r>
              <w:t xml:space="preserve">46 (6.0%)</w:t>
            </w:r>
          </w:p>
        </w:tc>
      </w:tr>
      <w:tr>
        <w:tc>
          <w:tcPr>
            <w:tcW w:type="pct" w:w="50%"/>
          </w:tcPr>
          <w:p>
            <w:r>
              <w:t xml:space="preserve">Non-diabetic cases</w:t>
            </w:r>
          </w:p>
        </w:tc>
        <w:tc>
          <w:tcPr>
            <w:tcW w:type="pct" w:w="50%"/>
          </w:tcPr>
          <w:p>
            <w:r>
              <w:t xml:space="preserve">722 (94.0%)</w:t>
            </w:r>
          </w:p>
        </w:tc>
      </w:tr>
      <w:tr>
        <w:tc>
          <w:tcPr>
            <w:tcW w:type="pct" w:w="50%"/>
          </w:tcPr>
          <w:p>
            <w:r>
              <w:t xml:space="preserve">Mean Glucose</w:t>
            </w:r>
          </w:p>
        </w:tc>
        <w:tc>
          <w:tcPr>
            <w:tcW w:type="pct" w:w="50%"/>
          </w:tcPr>
          <w:p>
            <w:r>
              <w:t xml:space="preserve">116.2</w:t>
            </w:r>
          </w:p>
        </w:tc>
      </w:tr>
      <w:tr>
        <w:tc>
          <w:tcPr>
            <w:tcW w:type="pct" w:w="50%"/>
          </w:tcPr>
          <w:p>
            <w:r>
              <w:t xml:space="preserve">Mean BMI</w:t>
            </w:r>
          </w:p>
        </w:tc>
        <w:tc>
          <w:tcPr>
            <w:tcW w:type="pct" w:w="50%"/>
          </w:tcPr>
          <w:p>
            <w:r>
              <w:t xml:space="preserve">24.5</w:t>
            </w:r>
          </w:p>
        </w:tc>
      </w:tr>
      <w:tr>
        <w:tc>
          <w:tcPr>
            <w:tcW w:type="pct" w:w="50%"/>
          </w:tcPr>
          <w:p>
            <w:r>
              <w:t xml:space="preserve">Mean Age</w:t>
            </w:r>
          </w:p>
        </w:tc>
        <w:tc>
          <w:tcPr>
            <w:tcW w:type="pct" w:w="50%"/>
          </w:tcPr>
          <w:p>
            <w:r>
              <w:t xml:space="preserve">51.0 years</w:t>
            </w:r>
          </w:p>
        </w:tc>
      </w:tr>
      <w:tr>
        <w:tc>
          <w:tcPr>
            <w:tcW w:type="pct" w:w="50%"/>
          </w:tcPr>
          <w:p>
            <w:r>
              <w:t xml:space="preserve">Mean Blood Pressure</w:t>
            </w:r>
          </w:p>
        </w:tc>
        <w:tc>
          <w:tcPr>
            <w:tcW w:type="pct" w:w="50%"/>
          </w:tcPr>
          <w:p>
            <w:r>
              <w:t xml:space="preserve">79.9 mm Hg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Visual Analysis</w:t>
      </w:r>
    </w:p>
    <w:p>
      <w:pPr>
        <w:pStyle w:val="Heading2"/>
        <w:spacing w:after="150" w:before="300"/>
      </w:pPr>
      <w:r>
        <w:t xml:space="preserve">5.1 Class Balance</w:t>
      </w:r>
    </w:p>
    <w:p>
      <w:pPr>
        <w:spacing w:after="200"/>
        <w:jc w:val="center"/>
      </w:pPr>
      <w:r>
        <w:drawing>
          <wp:inline distT="0" distB="0" distL="0" distR="0">
            <wp:extent cx="3810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— The dataset is imbalanced: diabetic patients are a clear minority class.</w:t>
      </w:r>
    </w:p>
    <w:p>
      <w:pPr>
        <w:pStyle w:val="Heading2"/>
        <w:spacing w:after="150" w:before="300"/>
      </w:pPr>
      <w:r>
        <w:t xml:space="preserve">5.2 Feature Distributions</w:t>
      </w:r>
    </w:p>
    <w:p>
      <w:pPr>
        <w:spacing w:after="200"/>
        <w:jc w:val="center"/>
      </w:pPr>
      <w:r>
        <w:drawing>
          <wp:inline distT="0" distB="0" distL="0" distR="0">
            <wp:extent cx="5524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— Distribution of each health feature. Glucose, BMI, and Age approximate a normal spread; Insulin and DiabetesPedigreeFunction are right-skewed.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5.3 Outlier Check by Outcome</w:t>
      </w:r>
    </w:p>
    <w:p>
      <w:pPr>
        <w:spacing w:after="200"/>
        <w:jc w:val="center"/>
      </w:pPr>
      <w:r>
        <w:drawing>
          <wp:inline distT="0" distB="0" distL="0" distR="0">
            <wp:extent cx="5524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— Boxplots comparing each feature between diabetic and non-diabetic patients. Diabetic patients show visibly higher medians for Glucose, BMI, and Age.</w:t>
      </w:r>
    </w:p>
    <w:p>
      <w:pPr>
        <w:pStyle w:val="Heading2"/>
        <w:spacing w:after="150" w:before="300"/>
      </w:pPr>
      <w:r>
        <w:t xml:space="preserve">5.4 Correlation Matrix</w:t>
      </w:r>
    </w:p>
    <w:p>
      <w:pPr>
        <w:spacing w:after="200"/>
        <w:jc w:val="center"/>
      </w:pPr>
      <w:r>
        <w:drawing>
          <wp:inline distT="0" distB="0" distL="0" distR="0">
            <wp:extent cx="4572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— Correlation matrix across all features. Glucose and BMI show the strongest relationships with the diabetes outcome.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5.5 Ranked Correlation with Outcome</w:t>
      </w:r>
    </w:p>
    <w:p>
      <w:pPr>
        <w:spacing w:after="20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— Features ranked by strength of correlation with diabetes outcome.</w:t>
      </w:r>
    </w:p>
    <w:p>
      <w:pPr>
        <w:pStyle w:val="Heading2"/>
        <w:spacing w:after="150" w:before="300"/>
      </w:pPr>
      <w:r>
        <w:t xml:space="preserve">5.6 Glucose vs. BMI</w:t>
      </w:r>
    </w:p>
    <w:p>
      <w:pPr>
        <w:spacing w:after="200"/>
        <w:jc w:val="center"/>
      </w:pPr>
      <w:r>
        <w:drawing>
          <wp:inline distT="0" distB="0" distL="0" distR="0">
            <wp:extent cx="4381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 — Patients with both elevated glucose and elevated BMI cluster toward diabetic outcomes, suggesting a compounding effect between the two factors.</w:t>
      </w:r>
    </w:p>
    <w:p>
      <w:pPr>
        <w:pStyle w:val="Heading2"/>
        <w:spacing w:after="150" w:before="300"/>
      </w:pPr>
      <w:r>
        <w:t xml:space="preserve">5.7 Age Distribution by Outcome</w:t>
      </w:r>
    </w:p>
    <w:p>
      <w:pPr>
        <w:spacing w:after="200"/>
        <w:jc w:val="center"/>
      </w:pPr>
      <w:r>
        <w:drawing>
          <wp:inline distT="0" distB="0" distL="0" distR="0">
            <wp:extent cx="4381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 — Diabetic patients skew toward an older age distribution.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5.8 Pairwise Relationships of Top Risk Factors</w:t>
      </w:r>
    </w:p>
    <w:p>
      <w:pPr>
        <w:spacing w:after="200"/>
        <w:jc w:val="center"/>
      </w:pPr>
      <w:r>
        <w:drawing>
          <wp:inline distT="0" distB="0" distL="0" distR="0">
            <wp:extent cx="55245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8 — Pairwise scatter and density plots of the four most correlated features (Glucose, BloodPressure, Age, BMI), split by outcome.</w:t>
      </w:r>
    </w:p>
    <w:p>
      <w:pPr>
        <w:pStyle w:val="Heading1"/>
        <w:spacing w:after="150" w:before="300"/>
      </w:pPr>
      <w:r>
        <w:t xml:space="preserve">6.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Glucose is the single strongest predictor of diabetes outcome in this dataset, followed by BloodPressure, Age, and BMI.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 factors compound: patients with both high Glucose and high BMI show a markedly higher concentration of diabetic outcomes than either factor alone would suggest.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diabetic class is a minority (~6% of records) — an important consideration for any future predictive model, since plain accuracy would be a misleading evaluation metric.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DiabetesPedigreeFunction, SkinThickness, and Insulin show comparatively weak linear correlation with the outcome individually, though they may still contribute through interaction effects not captured by a simple correlation.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The exploratory analysis shows that a small set of measurable clinical indicators — glucose level, blood pressure, age, and BMI — carry most of the signal for identifying diabetes risk in this dataset. These findings support prioritizing these four measurements in any future screening tool or predictive model, while treating pedigree/genetic and insulin-related features as secondary, exploratory signals that may still matter in combination with other variables.</w:t>
      </w:r>
    </w:p>
    <w:p>
      <w:pPr>
        <w:spacing w:before="400"/>
      </w:pPr>
      <w:r>
        <w:rPr>
          <w:i/>
          <w:iCs/>
          <w:color w:val="777777"/>
          <w:sz w:val="20"/>
          <w:szCs w:val="20"/>
        </w:rPr>
        <w:t xml:space="preserve">Prepared as part of the EDA Project assignment — Thiranex Skill Development &amp; Future Tech.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eb613babcbbe03b86e6e09ce66e042d9c1289f.png"/><Relationship Id="rId8" Type="http://schemas.openxmlformats.org/officeDocument/2006/relationships/image" Target="media/761479721853b1960fbe25d2816cd95be33dbd99.png"/><Relationship Id="rId9" Type="http://schemas.openxmlformats.org/officeDocument/2006/relationships/image" Target="media/cd2d604ddcf504307c0e8ae4e524dae85cbd7494.png"/><Relationship Id="rId10" Type="http://schemas.openxmlformats.org/officeDocument/2006/relationships/image" Target="media/46b7b0b61db299a167014326b8dd782576acdc77.png"/><Relationship Id="rId11" Type="http://schemas.openxmlformats.org/officeDocument/2006/relationships/image" Target="media/cdbecc586c42e5a9d885fddd2b2b934e046c789d.png"/><Relationship Id="rId12" Type="http://schemas.openxmlformats.org/officeDocument/2006/relationships/image" Target="media/2e1af13f837a040535201ece1bf97c1fd0c12acc.png"/><Relationship Id="rId13" Type="http://schemas.openxmlformats.org/officeDocument/2006/relationships/image" Target="media/1dbf9e24a794003656637a10bcd306563dcf6012.png"/><Relationship Id="rId14" Type="http://schemas.openxmlformats.org/officeDocument/2006/relationships/image" Target="media/01944f6e20c0ae9a798d9fbd0530499e39f6dc3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2026-08-26T07:46:10.579Z</dcterms:created>
  <dcterms:modified xsi:type="dcterms:W3CDTF">2026-08-26T07:46:10.591Z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