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Real-World Data Project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Retail Sales Analysis &amp; Revenue Forecasting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applies data science techniques to a retail sales dataset spanning two years, five product categories, and five cities. It performs end-to-end analysis to uncover revenue trends, category performance, weekday and seasonal patterns, and the effect of promotions, then builds a predictive model to forecast daily revenue.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50"/>
      </w:pPr>
      <w:r>
        <w:t xml:space="preserve">The dataset contains 3,665 raw daily category-level sales records (3,650 after removing duplicates) with the following fields: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Date, Category, 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Units_Sold, Unit_Price, Revenue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Customer_Count, Avg_Customer_Age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Promotion (0/1 flag for promotional days)</w:t>
      </w:r>
    </w:p>
    <w:p>
      <w:pPr>
        <w:pStyle w:val="Heading1"/>
        <w:spacing w:after="150" w:before="300"/>
      </w:pPr>
      <w:r>
        <w:t xml:space="preserve">3. Data Cleaning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exact duplicate rows removed.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25 rows had an implausible zero Unit_Price, treated as missing and imputed with the category median; Revenue was recomputed afterward.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 rows had missing Avg_Customer_Age, imputed with the category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Month, Weekday, Is_Weekend, and Promotion_Label features for analysis.</w:t>
      </w:r>
    </w:p>
    <w:p>
      <w:pPr>
        <w:pStyle w:val="Heading1"/>
        <w:spacing w:after="150" w:before="300"/>
      </w:pPr>
      <w:r>
        <w:t xml:space="preserve">4. Statistical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Total records (cleaned)</w:t>
            </w:r>
          </w:p>
        </w:tc>
        <w:tc>
          <w:tcPr>
            <w:tcW w:type="pct" w:w="50%"/>
          </w:tcPr>
          <w:p>
            <w:r>
              <w:t xml:space="preserve">3,650</w:t>
            </w:r>
          </w:p>
        </w:tc>
      </w:tr>
      <w:tr>
        <w:tc>
          <w:tcPr>
            <w:tcW w:type="pct" w:w="50%"/>
          </w:tcPr>
          <w:p>
            <w:r>
              <w:t xml:space="preserve">Date range</w:t>
            </w:r>
          </w:p>
        </w:tc>
        <w:tc>
          <w:tcPr>
            <w:tcW w:type="pct" w:w="50%"/>
          </w:tcPr>
          <w:p>
            <w:r>
              <w:t xml:space="preserve">Jan 2024 – Dec 2025 (2 years)</w:t>
            </w:r>
          </w:p>
        </w:tc>
      </w:tr>
      <w:tr>
        <w:tc>
          <w:tcPr>
            <w:tcW w:type="pct" w:w="50%"/>
          </w:tcPr>
          <w:p>
            <w:r>
              <w:t xml:space="preserve">Categories</w:t>
            </w:r>
          </w:p>
        </w:tc>
        <w:tc>
          <w:tcPr>
            <w:tcW w:type="pct" w:w="50%"/>
          </w:tcPr>
          <w:p>
            <w:r>
              <w:t xml:space="preserve">Electronics, Clothing, Groceries, Furniture, Toys</w:t>
            </w:r>
          </w:p>
        </w:tc>
      </w:tr>
      <w:tr>
        <w:tc>
          <w:tcPr>
            <w:tcW w:type="pct" w:w="50%"/>
          </w:tcPr>
          <w:p>
            <w:r>
              <w:t xml:space="preserve">Top category by revenue</w:t>
            </w:r>
          </w:p>
        </w:tc>
        <w:tc>
          <w:tcPr>
            <w:tcW w:type="pct" w:w="50%"/>
          </w:tcPr>
          <w:p>
            <w:r>
              <w:t xml:space="preserve">Electronics (₹43.3L)</w:t>
            </w:r>
          </w:p>
        </w:tc>
      </w:tr>
      <w:tr>
        <w:tc>
          <w:tcPr>
            <w:tcW w:type="pct" w:w="50%"/>
          </w:tcPr>
          <w:p>
            <w:r>
              <w:t xml:space="preserve">Avg. revenue, no promotion</w:t>
            </w:r>
          </w:p>
        </w:tc>
        <w:tc>
          <w:tcPr>
            <w:tcW w:type="pct" w:w="50%"/>
          </w:tcPr>
          <w:p>
            <w:r>
              <w:t xml:space="preserve">₹2,753 / day</w:t>
            </w:r>
          </w:p>
        </w:tc>
      </w:tr>
      <w:tr>
        <w:tc>
          <w:tcPr>
            <w:tcW w:type="pct" w:w="50%"/>
          </w:tcPr>
          <w:p>
            <w:r>
              <w:t xml:space="preserve">Avg. revenue, with promotion</w:t>
            </w:r>
          </w:p>
        </w:tc>
        <w:tc>
          <w:tcPr>
            <w:tcW w:type="pct" w:w="50%"/>
          </w:tcPr>
          <w:p>
            <w:r>
              <w:t xml:space="preserve">₹3,624 / day (+31.6%)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Visual Analysis</w:t>
      </w:r>
    </w:p>
    <w:p>
      <w:pPr>
        <w:pStyle w:val="Heading2"/>
        <w:spacing w:after="150" w:before="300"/>
      </w:pPr>
      <w:r>
        <w:t xml:space="preserve">5.1 Revenue Trend Over Time</w:t>
      </w:r>
    </w:p>
    <w:p>
      <w:pPr>
        <w:spacing w:after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Daily revenue with a 30-day rolling average showing a steady upward trend with a sharp seasonal spike around November–December.</w:t>
      </w:r>
    </w:p>
    <w:p>
      <w:pPr>
        <w:pStyle w:val="Heading2"/>
        <w:spacing w:after="150" w:before="300"/>
      </w:pPr>
      <w:r>
        <w:t xml:space="preserve">5.2 Revenue by Category</w:t>
      </w:r>
    </w:p>
    <w:p>
      <w:pPr>
        <w:spacing w:after="20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— Electronics and Furniture dominate total revenue despite lower unit volumes, due to higher price points.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5.3 Revenue by Weekday</w:t>
      </w:r>
    </w:p>
    <w:p>
      <w:pPr>
        <w:spacing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Weekends generate noticeably higher average daily revenue than weekdays.</w:t>
      </w:r>
    </w:p>
    <w:p>
      <w:pPr>
        <w:pStyle w:val="Heading2"/>
        <w:spacing w:after="150" w:before="300"/>
      </w:pPr>
      <w:r>
        <w:t xml:space="preserve">5.4 Promotion Effect</w:t>
      </w:r>
    </w:p>
    <w:p>
      <w:pPr>
        <w:spacing w:after="200"/>
        <w:jc w:val="center"/>
      </w:pPr>
      <w:r>
        <w:drawing>
          <wp:inline distT="0" distB="0" distL="0" distR="0">
            <wp:extent cx="3810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Promotional days show a clear upward shift in the revenue distribution.</w:t>
      </w:r>
    </w:p>
    <w:p>
      <w:pPr>
        <w:pStyle w:val="Heading2"/>
        <w:spacing w:after="150" w:before="300"/>
      </w:pPr>
      <w:r>
        <w:t xml:space="preserve">5.5 Correlation Matrix</w:t>
      </w:r>
    </w:p>
    <w:p>
      <w:pPr>
        <w:spacing w:after="2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Revenue correlates most strongly with Units_Sold and Customer_Count, as expected.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5.6 Monthly Revenue</w:t>
      </w:r>
    </w:p>
    <w:p>
      <w:pPr>
        <w:spacing w:after="2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— November and December stand out clearly as the strongest months, consistent with holiday shopping season.</w:t>
      </w:r>
    </w:p>
    <w:p>
      <w:pPr>
        <w:pStyle w:val="Heading2"/>
        <w:spacing w:after="150" w:before="300"/>
      </w:pPr>
      <w:r>
        <w:t xml:space="preserve">5.7 Customers vs Revenue</w:t>
      </w:r>
    </w:p>
    <w:p>
      <w:pPr>
        <w:spacing w:after="200"/>
        <w:jc w:val="center"/>
      </w:pPr>
      <w:r>
        <w:drawing>
          <wp:inline distT="0" distB="0" distL="0" distR="0">
            <wp:extent cx="4381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 — Revenue scales with customer count, with Electronics and Furniture showing steeper slopes due to higher price points.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5.8 Category vs Weekday Heatmap</w:t>
      </w:r>
    </w:p>
    <w:p>
      <w:pPr>
        <w:spacing w:after="20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8 — Every category follows the same weekend-boost pattern, with Electronics showing the largest weekday-to-weekend swing.</w:t>
      </w:r>
    </w:p>
    <w:p>
      <w:pPr>
        <w:pStyle w:val="Heading1"/>
        <w:spacing w:after="150" w:before="300"/>
      </w:pPr>
      <w:r>
        <w:t xml:space="preserve">6. Sales Prediction Model</w:t>
      </w:r>
    </w:p>
    <w:p>
      <w:pPr>
        <w:spacing w:after="150"/>
      </w:pPr>
      <w:r>
        <w:t xml:space="preserve">A RandomForestRegressor was trained to forecast daily category-level revenue using calendar features (month, weekday, weekend flag), the promotion flag, category, and lagged revenue (previous day and previous week). The final 15% of the timeline was held out as a test set to simulate forecasting unseen future days.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Model</w:t>
            </w:r>
          </w:p>
        </w:tc>
        <w:tc>
          <w:tcPr>
            <w:tcW w:type="pct" w:w="50%"/>
          </w:tcPr>
          <w:p>
            <w:r>
              <w:t xml:space="preserve">RandomForestRegressor (300 trees, max depth 10)</w:t>
            </w:r>
          </w:p>
        </w:tc>
      </w:tr>
      <w:tr>
        <w:tc>
          <w:tcPr>
            <w:tcW w:type="pct" w:w="50%"/>
          </w:tcPr>
          <w:p>
            <w:r>
              <w:t xml:space="preserve">Train / Test split</w:t>
            </w:r>
          </w:p>
        </w:tc>
        <w:tc>
          <w:tcPr>
            <w:tcW w:type="pct" w:w="50%"/>
          </w:tcPr>
          <w:p>
            <w:r>
              <w:t xml:space="preserve">85% / 15%, time-based</w:t>
            </w:r>
          </w:p>
        </w:tc>
      </w:tr>
      <w:tr>
        <w:tc>
          <w:tcPr>
            <w:tcW w:type="pct" w:w="50%"/>
          </w:tcPr>
          <w:p>
            <w:r>
              <w:t xml:space="preserve">MAE</w:t>
            </w:r>
          </w:p>
        </w:tc>
        <w:tc>
          <w:tcPr>
            <w:tcW w:type="pct" w:w="50%"/>
          </w:tcPr>
          <w:p>
            <w:r>
              <w:t xml:space="preserve">676.56</w:t>
            </w:r>
          </w:p>
        </w:tc>
      </w:tr>
      <w:tr>
        <w:tc>
          <w:tcPr>
            <w:tcW w:type="pct" w:w="50%"/>
          </w:tcPr>
          <w:p>
            <w:r>
              <w:t xml:space="preserve">RMSE</w:t>
            </w:r>
          </w:p>
        </w:tc>
        <w:tc>
          <w:tcPr>
            <w:tcW w:type="pct" w:w="50%"/>
          </w:tcPr>
          <w:p>
            <w:r>
              <w:t xml:space="preserve">1,051.84</w:t>
            </w:r>
          </w:p>
        </w:tc>
      </w:tr>
      <w:tr>
        <w:tc>
          <w:tcPr>
            <w:tcW w:type="pct" w:w="50%"/>
          </w:tcPr>
          <w:p>
            <w:r>
              <w:t xml:space="preserve">MAPE</w:t>
            </w:r>
          </w:p>
        </w:tc>
        <w:tc>
          <w:tcPr>
            <w:tcW w:type="pct" w:w="50%"/>
          </w:tcPr>
          <w:p>
            <w:r>
              <w:t xml:space="preserve">18.75%</w:t>
            </w:r>
          </w:p>
        </w:tc>
      </w:tr>
      <w:tr>
        <w:tc>
          <w:tcPr>
            <w:tcW w:type="pct" w:w="50%"/>
          </w:tcPr>
          <w:p>
            <w:r>
              <w:t xml:space="preserve">R² Score</w:t>
            </w:r>
          </w:p>
        </w:tc>
        <w:tc>
          <w:tcPr>
            <w:tcW w:type="pct" w:w="50%"/>
          </w:tcPr>
          <w:p>
            <w:r>
              <w:t xml:space="preserve">0.8165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6.1 Feature Importance</w:t>
      </w:r>
    </w:p>
    <w:p>
      <w:pPr>
        <w:spacing w:after="200"/>
        <w:jc w:val="center"/>
      </w:pPr>
      <w:r>
        <w:drawing>
          <wp:inline distT="0" distB="0" distL="0" distR="0">
            <wp:extent cx="4381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9 — Lagged revenue (previous week and previous day) and the day-of-timeline index are the strongest predictors.</w:t>
      </w:r>
    </w:p>
    <w:p>
      <w:pPr>
        <w:pStyle w:val="Heading2"/>
        <w:spacing w:after="150" w:before="300"/>
      </w:pPr>
      <w:r>
        <w:t xml:space="preserve">6.2 Actual vs Predicted Revenue</w:t>
      </w:r>
    </w:p>
    <w:p>
      <w:pPr>
        <w:spacing w:after="2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10 — The model tracks the overall pattern well but underpredicts the sharpest holiday-season spikes, a common limitation when only two years of history are available.</w:t>
      </w:r>
    </w:p>
    <w:p>
      <w:pPr>
        <w:pStyle w:val="Heading2"/>
        <w:spacing w:after="150" w:before="300"/>
      </w:pPr>
      <w:r>
        <w:t xml:space="preserve">6.3 Prediction Accuracy Scatter</w:t>
      </w:r>
    </w:p>
    <w:p>
      <w:pPr>
        <w:spacing w:after="200"/>
        <w:jc w:val="center"/>
      </w:pPr>
      <w:r>
        <w:drawing>
          <wp:inline distT="0" distB="0" distL="0" distR="0">
            <wp:extent cx="4000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11 — Predicted vs actual revenue values cluster closely around the diagonal, confirming the R² of 0.82.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and Furniture are the top revenue-generating categories despite moderate unit volumes, due to higher average price 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Weekends consistently outperform weekdays across every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Promotions lift average daily revenue by roughly 31.6%.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November–December is the strongest seasonal window, consistent with holiday shopping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lag-based Random Forest model explains about 82% of the variance in daily revenue, but underpredicts extreme holiday-season peaks — suggesting more historical years of data would improve seasonal forecasting.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</w:pPr>
      <w:r>
        <w:t xml:space="preserve">Category mix, weekday timing, and promotions are the strongest and most consistent levers on retail revenue in this dataset. A relatively simple lag-based machine learning model captures the overall demand pattern with good accuracy (R² ≈ 0.82), making it a solid baseline for revenue forecasting, though holiday-season extremes remain the hardest period to predict precisely with only two years of history.</w:t>
      </w:r>
    </w:p>
    <w:p>
      <w:pPr>
        <w:spacing w:before="400"/>
      </w:pPr>
      <w:r>
        <w:rPr>
          <w:i/>
          <w:iCs/>
          <w:color w:val="777777"/>
          <w:sz w:val="20"/>
          <w:szCs w:val="20"/>
        </w:rPr>
        <w:t xml:space="preserve">Prepared as part of the Real-World Data Project assignment — Thiranex Skill Development &amp; Future Tech.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2478360817a843f9e8b9e88cafe16a9c96c9e3.png"/><Relationship Id="rId8" Type="http://schemas.openxmlformats.org/officeDocument/2006/relationships/image" Target="media/f8b23ab7bb8ae5213ac151bde30366f1ed7a5d25.png"/><Relationship Id="rId9" Type="http://schemas.openxmlformats.org/officeDocument/2006/relationships/image" Target="media/694bfef952f2d0e2426578c0607fe02419b7cf88.png"/><Relationship Id="rId10" Type="http://schemas.openxmlformats.org/officeDocument/2006/relationships/image" Target="media/568967636ac9ea0a00180631ad169691b75235e3.png"/><Relationship Id="rId11" Type="http://schemas.openxmlformats.org/officeDocument/2006/relationships/image" Target="media/4ba7ae66a33b2f672a4fc65ef3f374997e4f6049.png"/><Relationship Id="rId12" Type="http://schemas.openxmlformats.org/officeDocument/2006/relationships/image" Target="media/6a95687f2d9c3539140f5928fe2fe0f9bb4d6591.png"/><Relationship Id="rId13" Type="http://schemas.openxmlformats.org/officeDocument/2006/relationships/image" Target="media/3bc8897891ef7510f05b0c74d18dfcaac7b9757c.png"/><Relationship Id="rId14" Type="http://schemas.openxmlformats.org/officeDocument/2006/relationships/image" Target="media/cfa2eec0a5c62943abd024895adb63b6b01741fd.png"/><Relationship Id="rId15" Type="http://schemas.openxmlformats.org/officeDocument/2006/relationships/image" Target="media/86159274a95da728768b6cc32972f851d30b86fe.png"/><Relationship Id="rId16" Type="http://schemas.openxmlformats.org/officeDocument/2006/relationships/image" Target="media/67af99b6a5b21dcb9474b45f766899512d6b52f5.png"/><Relationship Id="rId17" Type="http://schemas.openxmlformats.org/officeDocument/2006/relationships/image" Target="media/709335c334b511619aefadbd415439306e9d576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2026-09-06T18:46:50.972Z</dcterms:created>
  <dcterms:modified xsi:type="dcterms:W3CDTF">2026-09-06T18:46:50.981Z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