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64E3B"/>
          <w:sz w:val="30"/>
        </w:rPr>
        <w:t>SOLARIQ: ADAPTIVE SOLAR &amp; EDGE-AI CANAL-AGRI FRAMEWORK</w:t>
        <w:br/>
      </w:r>
      <w:r>
        <w:rPr>
          <w:rFonts w:ascii="Calibri" w:hAnsi="Calibri"/>
          <w:b/>
          <w:color w:val="0F766E"/>
          <w:sz w:val="20"/>
        </w:rPr>
        <w:t>Judge &amp; Government Quick-Briefing  |  Field Scenario, Value Matrix &amp; Verified Economic Data</w:t>
        <w:br/>
      </w:r>
      <w:r>
        <w:rPr>
          <w:rFonts w:ascii="Calibri" w:hAnsi="Calibri"/>
          <w:i/>
          <w:color w:val="4B5563"/>
          <w:sz w:val="18"/>
        </w:rPr>
        <w:t>Testbed: Kurigram (Dharla Basin)  •  Focus: BWDB Re-Excavated Canals  •  Team SolariQ</w:t>
      </w:r>
    </w:p>
    <w:tbl>
      <w:tblPr>
        <w:tblW w:type="auto" w:w="0"/>
        <w:jc w:val="center"/>
        <w:tblLook w:firstColumn="1" w:firstRow="1" w:lastColumn="0" w:lastRow="0" w:noHBand="0" w:noVBand="1" w:val="04A0"/>
      </w:tblPr>
      <w:tblGrid>
        <w:gridCol w:w="10224"/>
      </w:tblGrid>
      <w:tr>
        <w:tc>
          <w:tcPr>
            <w:tcW w:type="dxa" w:w="10224"/>
            <w:shd w:fill="ECFDF5"/>
            <w:tcMar>
              <w:top w:w="90" w:type="dxa"/>
              <w:bottom w:w="90" w:type="dxa"/>
              <w:left w:w="130" w:type="dxa"/>
              <w:right w:w="130" w:type="dxa"/>
            </w:tcMar>
          </w:tcPr>
          <w:p>
            <w:pPr>
              <w:spacing w:before="0" w:after="0"/>
            </w:pPr>
            <w:r>
              <w:rPr>
                <w:rFonts w:ascii="Calibri" w:hAnsi="Calibri"/>
                <w:b/>
                <w:color w:val="064E3B"/>
                <w:sz w:val="19"/>
              </w:rPr>
              <w:t>★ OUR NORTH STAR MOTTO (Speaking Chunk for Judges):</w:t>
              <w:br/>
            </w:r>
            <w:r>
              <w:rPr>
                <w:rFonts w:ascii="Calibri" w:hAnsi="Calibri"/>
                <w:i/>
                <w:color w:val="111827"/>
                <w:sz w:val="19"/>
              </w:rPr>
              <w:t>"Our primary proposal is NOT merely converting natural resources into energy. We are here to show how MINIMIZING natural resource use (water, soil, pump runtimes) MAXIMIZES surplus clean electricity into the National Grid while generating rich climate returns."</w:t>
            </w:r>
          </w:p>
        </w:tc>
      </w:tr>
    </w:tbl>
    <w:p>
      <w:pPr>
        <w:keepNext/>
        <w:spacing w:before="200" w:after="40"/>
      </w:pPr>
      <w:r>
        <w:rPr>
          <w:rFonts w:ascii="Calibri" w:hAnsi="Calibri"/>
          <w:b/>
          <w:color w:val="064E3B"/>
          <w:sz w:val="24"/>
        </w:rPr>
        <w:t>1. The Real Ground Scenario</w:t>
      </w:r>
      <w:r>
        <w:rPr>
          <w:rFonts w:ascii="Calibri" w:hAnsi="Calibri"/>
          <w:i/>
          <w:color w:val="0F766E"/>
          <w:sz w:val="19"/>
        </w:rPr>
        <w:t xml:space="preserve"> — The Problem in Rural Bangladesh</w:t>
      </w:r>
    </w:p>
    <w:p>
      <w:pPr>
        <w:spacing w:before="40" w:after="80" w:line="276" w:lineRule="auto"/>
      </w:pPr>
    </w:p>
    <w:p>
      <w:pPr>
        <w:spacing w:before="20" w:after="40" w:line="264" w:lineRule="auto"/>
      </w:pPr>
      <w:r>
        <w:rPr>
          <w:rFonts w:ascii="Calibri" w:hAnsi="Calibri"/>
          <w:b/>
          <w:color w:val="B45309"/>
          <w:sz w:val="19"/>
        </w:rPr>
        <w:t xml:space="preserve">• [THE GOVERNMENT CONTEXT]: </w:t>
      </w:r>
      <w:r>
        <w:rPr>
          <w:rFonts w:ascii="Calibri" w:hAnsi="Calibri"/>
          <w:color w:val="111827"/>
          <w:sz w:val="18"/>
        </w:rPr>
        <w:t>Across Bangladesh (e.g. Kurigram), the Government has re-excavated canals through agricultural lands to supply surface water and promote solar irrigation instead of costly diesel pumps.</w:t>
      </w:r>
    </w:p>
    <w:p>
      <w:pPr>
        <w:spacing w:before="20" w:after="40" w:line="264" w:lineRule="auto"/>
      </w:pPr>
      <w:r>
        <w:rPr>
          <w:rFonts w:ascii="Calibri" w:hAnsi="Calibri"/>
          <w:b/>
          <w:color w:val="B45309"/>
          <w:sz w:val="19"/>
        </w:rPr>
        <w:t xml:space="preserve">• [THE LAND DILEMMA]: </w:t>
      </w:r>
      <w:r>
        <w:rPr>
          <w:rFonts w:ascii="Calibri" w:hAnsi="Calibri"/>
          <w:color w:val="111827"/>
          <w:sz w:val="18"/>
        </w:rPr>
        <w:t>Ground solar panels consume scarce fertile farmland. Placing panels over the canal utilizes public water rights-of-way with ZERO arable land loss while cutting water evaporation.</w:t>
      </w:r>
    </w:p>
    <w:p>
      <w:pPr>
        <w:spacing w:before="20" w:after="40" w:line="264" w:lineRule="auto"/>
      </w:pPr>
      <w:r>
        <w:rPr>
          <w:rFonts w:ascii="Calibri" w:hAnsi="Calibri"/>
          <w:b/>
          <w:color w:val="B45309"/>
          <w:sz w:val="19"/>
        </w:rPr>
        <w:t xml:space="preserve">• [THE UNSEEN BOTTLENECK]: </w:t>
      </w:r>
      <w:r>
        <w:rPr>
          <w:rFonts w:ascii="Calibri" w:hAnsi="Calibri"/>
          <w:color w:val="111827"/>
          <w:sz w:val="18"/>
        </w:rPr>
        <w:t>Farmers operate pumps blindly by habit, routinely over-pumping by 10 to 20 minutes per plot. This drowns root zones, wastes water, and robs the national grid of solar electricity.</w:t>
      </w:r>
    </w:p>
    <w:p>
      <w:pPr>
        <w:spacing w:before="20" w:after="40" w:line="264" w:lineRule="auto"/>
      </w:pPr>
      <w:r>
        <w:rPr>
          <w:rFonts w:ascii="Calibri" w:hAnsi="Calibri"/>
          <w:b/>
          <w:color w:val="B45309"/>
          <w:sz w:val="19"/>
        </w:rPr>
        <w:t xml:space="preserve">• [OUR SCENARIO INNOVATION]: </w:t>
      </w:r>
      <w:r>
        <w:rPr>
          <w:rFonts w:ascii="Calibri" w:hAnsi="Calibri"/>
          <w:color w:val="111827"/>
          <w:sz w:val="18"/>
        </w:rPr>
        <w:t>GeoAI maps each plot's AWD water deficit. It runs the pump ONLY for the required minutes (e.g., 10 min), sounds an alert, switches fields, and diverts 100% of the pump's power into the National Grid!</w:t>
      </w:r>
    </w:p>
    <w:p>
      <w:pPr>
        <w:keepNext/>
        <w:spacing w:before="200" w:after="40"/>
      </w:pPr>
      <w:r>
        <w:rPr>
          <w:rFonts w:ascii="Calibri" w:hAnsi="Calibri"/>
          <w:b/>
          <w:color w:val="064E3B"/>
          <w:sz w:val="24"/>
        </w:rPr>
        <w:t>2. Core Comparative Matrix</w:t>
      </w:r>
      <w:r>
        <w:rPr>
          <w:rFonts w:ascii="Calibri" w:hAnsi="Calibri"/>
          <w:i/>
          <w:color w:val="0F766E"/>
          <w:sz w:val="19"/>
        </w:rPr>
        <w:t xml:space="preserve"> — Two-Part Value Breakdown</w:t>
      </w:r>
    </w:p>
    <w:tbl>
      <w:tblPr>
        <w:tblW w:type="auto" w:w="0"/>
        <w:jc w:val="center"/>
        <w:tblLook w:firstColumn="1" w:firstRow="1" w:lastColumn="0" w:lastRow="0" w:noHBand="0" w:noVBand="1" w:val="04A0"/>
        <w:tblBorders>
          <w:top w:val="single" w:sz="6" w:space="0" w:color="D1D5DB"/>
          <w:bottom w:val="single" w:sz="6" w:space="0" w:color="D1D5DB"/>
          <w:left w:val="none"/>
          <w:right w:val="none"/>
          <w:insideH w:val="single" w:sz="6" w:space="0" w:color="D1D5DB"/>
          <w:insideV w:val="single" w:sz="6" w:space="0" w:color="D1D5DB"/>
        </w:tblBorders>
      </w:tblPr>
      <w:tblGrid>
        <w:gridCol w:w="5112"/>
        <w:gridCol w:w="5112"/>
      </w:tblGrid>
      <w:tr>
        <w:tc>
          <w:tcPr>
            <w:tcW w:type="dxa" w:w="4824"/>
            <w:shd w:fill="064E3B"/>
            <w:tcMar>
              <w:top w:w="100" w:type="dxa"/>
              <w:bottom w:w="100" w:type="dxa"/>
              <w:left w:w="120" w:type="dxa"/>
              <w:right w:w="120" w:type="dxa"/>
            </w:tcMar>
          </w:tcPr>
          <w:p>
            <w:r>
              <w:rPr>
                <w:rFonts w:ascii="Calibri" w:hAnsi="Calibri"/>
                <w:b/>
                <w:color w:val="FFFFFF"/>
                <w:sz w:val="19"/>
              </w:rPr>
              <w:t>WHAT WE ARE PROPOSING</w:t>
              <w:br/>
              <w:t>(Technical Framework)</w:t>
            </w:r>
          </w:p>
        </w:tc>
        <w:tc>
          <w:tcPr>
            <w:tcW w:type="dxa" w:w="5400"/>
            <w:shd w:fill="064E3B"/>
            <w:tcMar>
              <w:top w:w="100" w:type="dxa"/>
              <w:bottom w:w="100" w:type="dxa"/>
              <w:left w:w="120" w:type="dxa"/>
              <w:right w:w="120" w:type="dxa"/>
            </w:tcMar>
          </w:tcPr>
          <w:p>
            <w:r>
              <w:rPr>
                <w:rFonts w:ascii="Calibri" w:hAnsi="Calibri"/>
                <w:b/>
                <w:color w:val="FFFFFF"/>
                <w:sz w:val="19"/>
              </w:rPr>
              <w:t>WHAT IT BENEFITS (Verified Impact &amp; Ref.)</w:t>
              <w:br/>
              <w:t>(Tangible Climate &amp; Economic Gains)</w:t>
            </w:r>
          </w:p>
        </w:tc>
      </w:tr>
      <w:tr>
        <w:tc>
          <w:tcPr>
            <w:tcW w:type="dxa" w:w="4824"/>
            <w:shd w:fill="F9FAFB"/>
            <w:tcMar>
              <w:top w:w="80" w:type="dxa"/>
              <w:bottom w:w="80" w:type="dxa"/>
              <w:left w:w="110" w:type="dxa"/>
              <w:right w:w="110" w:type="dxa"/>
            </w:tcMar>
          </w:tcPr>
          <w:p>
            <w:pPr>
              <w:spacing w:line="276" w:lineRule="auto"/>
            </w:pPr>
            <w:r>
              <w:rPr>
                <w:rFonts w:ascii="Calibri" w:hAnsi="Calibri"/>
                <w:b/>
                <w:color w:val="064E3B"/>
                <w:sz w:val="18"/>
              </w:rPr>
              <w:t>1. Canal-Top Solar Canopy</w:t>
              <w:br/>
            </w:r>
            <w:r>
              <w:rPr>
                <w:rFonts w:ascii="Calibri" w:hAnsi="Calibri"/>
                <w:color w:val="111827"/>
                <w:sz w:val="17"/>
              </w:rPr>
              <w:t>• Overhead PV truss covering re-excavated public canal reaches.</w:t>
              <w:br/>
            </w:r>
            <w:r>
              <w:rPr>
                <w:rFonts w:ascii="Calibri" w:hAnsi="Calibri"/>
                <w:color w:val="111827"/>
                <w:sz w:val="17"/>
              </w:rPr>
              <w:t>• SREDA-approved Tier-1 modules (625–630 Wp).</w:t>
              <w:br/>
            </w:r>
          </w:p>
        </w:tc>
        <w:tc>
          <w:tcPr>
            <w:tcW w:type="dxa" w:w="5400"/>
            <w:shd w:fill="F9FAFB"/>
            <w:tcMar>
              <w:top w:w="80" w:type="dxa"/>
              <w:bottom w:w="80" w:type="dxa"/>
              <w:left w:w="110" w:type="dxa"/>
              <w:right w:w="110" w:type="dxa"/>
            </w:tcMar>
          </w:tcPr>
          <w:p>
            <w:pPr>
              <w:spacing w:line="276" w:lineRule="auto"/>
            </w:pPr>
            <w:r>
              <w:rPr>
                <w:rFonts w:ascii="Calibri" w:hAnsi="Calibri"/>
                <w:b/>
                <w:color w:val="0F766E"/>
                <w:sz w:val="17"/>
              </w:rPr>
              <w:t>✔ 100% Farmland Conserved: Zero agricultural land acquisition.</w:t>
              <w:br/>
            </w:r>
            <w:r>
              <w:rPr>
                <w:rFonts w:ascii="Calibri" w:hAnsi="Calibri"/>
                <w:b/>
                <w:color w:val="0F766E"/>
                <w:sz w:val="17"/>
              </w:rPr>
              <w:t>✔ Evaporation Suppressed: Shading saves ~4,658 m³ of water/yr per 100m canal (de Oliveira et al., 2024).</w:t>
              <w:br/>
            </w:r>
            <w:r>
              <w:rPr>
                <w:rFonts w:ascii="Calibri" w:hAnsi="Calibri"/>
                <w:b/>
                <w:color w:val="0F766E"/>
                <w:sz w:val="17"/>
              </w:rPr>
              <w:t>✔ PV Efficiency Boost: Canal water cooling increases solar electrical efficiency by +3.8%.</w:t>
              <w:br/>
            </w:r>
          </w:p>
        </w:tc>
      </w:tr>
      <w:tr>
        <w:tc>
          <w:tcPr>
            <w:tcW w:type="dxa" w:w="4824"/>
            <w:shd w:fill="FFFFFF"/>
            <w:tcMar>
              <w:top w:w="80" w:type="dxa"/>
              <w:bottom w:w="80" w:type="dxa"/>
              <w:left w:w="110" w:type="dxa"/>
              <w:right w:w="110" w:type="dxa"/>
            </w:tcMar>
          </w:tcPr>
          <w:p>
            <w:pPr>
              <w:spacing w:line="276" w:lineRule="auto"/>
            </w:pPr>
            <w:r>
              <w:rPr>
                <w:rFonts w:ascii="Calibri" w:hAnsi="Calibri"/>
                <w:b/>
                <w:color w:val="064E3B"/>
                <w:sz w:val="18"/>
              </w:rPr>
              <w:t>2. GeoAI &amp; Edge-IoT AWD Controller</w:t>
              <w:br/>
            </w:r>
            <w:r>
              <w:rPr>
                <w:rFonts w:ascii="Calibri" w:hAnsi="Calibri"/>
                <w:color w:val="111827"/>
                <w:sz w:val="17"/>
              </w:rPr>
              <w:t>• Real-time capacitive soil moisture + AWD tube monitoring.</w:t>
              <w:br/>
            </w:r>
            <w:r>
              <w:rPr>
                <w:rFonts w:ascii="Calibri" w:hAnsi="Calibri"/>
                <w:color w:val="111827"/>
                <w:sz w:val="17"/>
              </w:rPr>
              <w:t>• Stops pumping immediately when root-zone quota is met (e.g. 10 min for 10-decimal plot).</w:t>
              <w:br/>
            </w:r>
          </w:p>
        </w:tc>
        <w:tc>
          <w:tcPr>
            <w:tcW w:type="dxa" w:w="5400"/>
            <w:shd w:fill="FFFFFF"/>
            <w:tcMar>
              <w:top w:w="80" w:type="dxa"/>
              <w:bottom w:w="80" w:type="dxa"/>
              <w:left w:w="110" w:type="dxa"/>
              <w:right w:w="110" w:type="dxa"/>
            </w:tcMar>
          </w:tcPr>
          <w:p>
            <w:pPr>
              <w:spacing w:line="276" w:lineRule="auto"/>
            </w:pPr>
            <w:r>
              <w:rPr>
                <w:rFonts w:ascii="Calibri" w:hAnsi="Calibri"/>
                <w:b/>
                <w:color w:val="0F766E"/>
                <w:sz w:val="17"/>
              </w:rPr>
              <w:t>✔ 25–30% Water Volume Saved: Prevents deep percolation waste.</w:t>
              <w:br/>
            </w:r>
            <w:r>
              <w:rPr>
                <w:rFonts w:ascii="Calibri" w:hAnsi="Calibri"/>
                <w:b/>
                <w:color w:val="0F766E"/>
                <w:sz w:val="17"/>
              </w:rPr>
              <w:t>✔ 35–40% Rice Methane Cut: Aerobic-anaerobic cycling drastically reduces anaerobic methane emissions (BRRI, 2020).</w:t>
              <w:br/>
            </w:r>
            <w:r>
              <w:rPr>
                <w:rFonts w:ascii="Calibri" w:hAnsi="Calibri"/>
                <w:b/>
                <w:color w:val="0F766E"/>
                <w:sz w:val="17"/>
              </w:rPr>
              <w:t>✔ Eliminates 10–20 min over-pumping waste per session.</w:t>
              <w:br/>
            </w:r>
          </w:p>
        </w:tc>
      </w:tr>
      <w:tr>
        <w:tc>
          <w:tcPr>
            <w:tcW w:type="dxa" w:w="4824"/>
            <w:shd w:fill="F9FAFB"/>
            <w:tcMar>
              <w:top w:w="80" w:type="dxa"/>
              <w:bottom w:w="80" w:type="dxa"/>
              <w:left w:w="110" w:type="dxa"/>
              <w:right w:w="110" w:type="dxa"/>
            </w:tcMar>
          </w:tcPr>
          <w:p>
            <w:pPr>
              <w:spacing w:line="276" w:lineRule="auto"/>
            </w:pPr>
            <w:r>
              <w:rPr>
                <w:rFonts w:ascii="Calibri" w:hAnsi="Calibri"/>
                <w:b/>
                <w:color w:val="064E3B"/>
                <w:sz w:val="18"/>
              </w:rPr>
              <w:t>3. Automated 6-Way Valve Manifold</w:t>
              <w:br/>
            </w:r>
            <w:r>
              <w:rPr>
                <w:rFonts w:ascii="Calibri" w:hAnsi="Calibri"/>
                <w:color w:val="111827"/>
                <w:sz w:val="17"/>
              </w:rPr>
              <w:t>• 1 central solar submersible pump serving 6 smallholder plots.</w:t>
              <w:br/>
            </w:r>
            <w:r>
              <w:rPr>
                <w:rFonts w:ascii="Calibri" w:hAnsi="Calibri"/>
                <w:color w:val="111827"/>
                <w:sz w:val="17"/>
              </w:rPr>
              <w:t>• 9-minute audible chime alert + automatic solenoid valve sequencing.</w:t>
              <w:br/>
            </w:r>
          </w:p>
        </w:tc>
        <w:tc>
          <w:tcPr>
            <w:tcW w:type="dxa" w:w="5400"/>
            <w:shd w:fill="F9FAFB"/>
            <w:tcMar>
              <w:top w:w="80" w:type="dxa"/>
              <w:bottom w:w="80" w:type="dxa"/>
              <w:left w:w="110" w:type="dxa"/>
              <w:right w:w="110" w:type="dxa"/>
            </w:tcMar>
          </w:tcPr>
          <w:p>
            <w:pPr>
              <w:spacing w:line="276" w:lineRule="auto"/>
            </w:pPr>
            <w:r>
              <w:rPr>
                <w:rFonts w:ascii="Calibri" w:hAnsi="Calibri"/>
                <w:b/>
                <w:color w:val="0F766E"/>
                <w:sz w:val="17"/>
              </w:rPr>
              <w:t>✔ Solves 'Tragedy of the Commons': Delivers strictly equitable water based on crop need; ends smallholder disputes.</w:t>
              <w:br/>
            </w:r>
            <w:r>
              <w:rPr>
                <w:rFonts w:ascii="Calibri" w:hAnsi="Calibri"/>
                <w:b/>
                <w:color w:val="0F766E"/>
                <w:sz w:val="17"/>
              </w:rPr>
              <w:t>✔ Hardware Protection: Auto-cutoff protects pump from dry-run.</w:t>
              <w:br/>
            </w:r>
          </w:p>
        </w:tc>
      </w:tr>
      <w:tr>
        <w:tc>
          <w:tcPr>
            <w:tcW w:type="dxa" w:w="4824"/>
            <w:shd w:fill="FFFFFF"/>
            <w:tcMar>
              <w:top w:w="80" w:type="dxa"/>
              <w:bottom w:w="80" w:type="dxa"/>
              <w:left w:w="110" w:type="dxa"/>
              <w:right w:w="110" w:type="dxa"/>
            </w:tcMar>
          </w:tcPr>
          <w:p>
            <w:pPr>
              <w:spacing w:line="276" w:lineRule="auto"/>
            </w:pPr>
            <w:r>
              <w:rPr>
                <w:rFonts w:ascii="Calibri" w:hAnsi="Calibri"/>
                <w:b/>
                <w:color w:val="064E3B"/>
                <w:sz w:val="18"/>
              </w:rPr>
              <w:t>4. Dynamic Grid Bypass &amp; Rain-Lock Mode</w:t>
              <w:br/>
            </w:r>
            <w:r>
              <w:rPr>
                <w:rFonts w:ascii="Calibri" w:hAnsi="Calibri"/>
                <w:color w:val="111827"/>
                <w:sz w:val="17"/>
              </w:rPr>
              <w:t>• When pump shuts off, 100% of solar pump load (e.g. 4.2 kW / 5 HP) is diverted directly to the 33kV National Grid.</w:t>
              <w:br/>
            </w:r>
            <w:r>
              <w:rPr>
                <w:rFonts w:ascii="Calibri" w:hAnsi="Calibri"/>
                <w:color w:val="111827"/>
                <w:sz w:val="17"/>
              </w:rPr>
              <w:t>• Rain sensor locks pump OFF; 100% solar exported.</w:t>
              <w:br/>
            </w:r>
          </w:p>
        </w:tc>
        <w:tc>
          <w:tcPr>
            <w:tcW w:type="dxa" w:w="5400"/>
            <w:shd w:fill="FFFFFF"/>
            <w:tcMar>
              <w:top w:w="80" w:type="dxa"/>
              <w:bottom w:w="80" w:type="dxa"/>
              <w:left w:w="110" w:type="dxa"/>
              <w:right w:w="110" w:type="dxa"/>
            </w:tcMar>
          </w:tcPr>
          <w:p>
            <w:pPr>
              <w:spacing w:line="276" w:lineRule="auto"/>
            </w:pPr>
            <w:r>
              <w:rPr>
                <w:rFonts w:ascii="Calibri" w:hAnsi="Calibri"/>
                <w:b/>
                <w:color w:val="0F766E"/>
                <w:sz w:val="17"/>
              </w:rPr>
              <w:t>✔ Every Saved Minute = Clean Grid kWh: 10 min daily saved = 300 min (5 hours) of pump power to the grid monthly!</w:t>
              <w:br/>
            </w:r>
            <w:r>
              <w:rPr>
                <w:rFonts w:ascii="Calibri" w:hAnsi="Calibri"/>
                <w:b/>
                <w:color w:val="0F766E"/>
                <w:sz w:val="17"/>
              </w:rPr>
              <w:t>✔ Supports Summer Peak Loads: Injects clean electricity during high daytime urban air-conditioning demand.</w:t>
              <w:br/>
            </w:r>
            <w:r>
              <w:rPr>
                <w:rFonts w:ascii="Calibri" w:hAnsi="Calibri"/>
                <w:b/>
                <w:color w:val="0F766E"/>
                <w:sz w:val="17"/>
              </w:rPr>
              <w:t>✔ Avoids Diesel: Displaces costly diesel fuel with zero emissions.</w:t>
              <w:br/>
            </w:r>
          </w:p>
        </w:tc>
      </w:tr>
      <w:tr>
        <w:tc>
          <w:tcPr>
            <w:tcW w:type="dxa" w:w="4824"/>
            <w:shd w:fill="F9FAFB"/>
            <w:tcMar>
              <w:top w:w="80" w:type="dxa"/>
              <w:bottom w:w="80" w:type="dxa"/>
              <w:left w:w="110" w:type="dxa"/>
              <w:right w:w="110" w:type="dxa"/>
            </w:tcMar>
          </w:tcPr>
          <w:p>
            <w:pPr>
              <w:spacing w:line="276" w:lineRule="auto"/>
            </w:pPr>
            <w:r>
              <w:rPr>
                <w:rFonts w:ascii="Calibri" w:hAnsi="Calibri"/>
                <w:b/>
                <w:color w:val="064E3B"/>
                <w:sz w:val="18"/>
              </w:rPr>
              <w:t>5. Year-Round 365-Day Net-Metering</w:t>
              <w:br/>
            </w:r>
            <w:r>
              <w:rPr>
                <w:rFonts w:ascii="Calibri" w:hAnsi="Calibri"/>
                <w:color w:val="111827"/>
                <w:sz w:val="17"/>
              </w:rPr>
              <w:t>• Operates across all 4 seasons (Boro dry irrigation, monsoon grid export, winter cash-crop micro-irrigation).</w:t>
              <w:br/>
            </w:r>
            <w:r>
              <w:rPr>
                <w:rFonts w:ascii="Calibri" w:hAnsi="Calibri"/>
                <w:color w:val="111827"/>
                <w:sz w:val="17"/>
              </w:rPr>
              <w:t>• Net-metered under SREDA Guidelines 2025.</w:t>
              <w:br/>
            </w:r>
          </w:p>
        </w:tc>
        <w:tc>
          <w:tcPr>
            <w:tcW w:type="dxa" w:w="5400"/>
            <w:shd w:fill="F9FAFB"/>
            <w:tcMar>
              <w:top w:w="80" w:type="dxa"/>
              <w:bottom w:w="80" w:type="dxa"/>
              <w:left w:w="110" w:type="dxa"/>
              <w:right w:w="110" w:type="dxa"/>
            </w:tcMar>
          </w:tcPr>
          <w:p>
            <w:pPr>
              <w:spacing w:line="276" w:lineRule="auto"/>
            </w:pPr>
            <w:r>
              <w:rPr>
                <w:rFonts w:ascii="Calibri" w:hAnsi="Calibri"/>
                <w:b/>
                <w:color w:val="0F766E"/>
                <w:sz w:val="17"/>
              </w:rPr>
              <w:t>✔ 100% Asset Utilization: Traditional solar pumps sit idle 7–8 months; SolariQ generates revenue 365 days/year.</w:t>
              <w:br/>
            </w:r>
            <w:r>
              <w:rPr>
                <w:rFonts w:ascii="Calibri" w:hAnsi="Calibri"/>
                <w:b/>
                <w:color w:val="0F766E"/>
                <w:sz w:val="17"/>
              </w:rPr>
              <w:t>✔ Cooperative Income: Turns smallholders into energy entrepreneurs.</w:t>
              <w:br/>
            </w:r>
          </w:p>
        </w:tc>
      </w:tr>
    </w:tbl>
    <w:p>
      <w:pPr>
        <w:keepNext/>
        <w:spacing w:before="200" w:after="40"/>
      </w:pPr>
      <w:r>
        <w:rPr>
          <w:rFonts w:ascii="Calibri" w:hAnsi="Calibri"/>
          <w:b/>
          <w:color w:val="064E3B"/>
          <w:sz w:val="24"/>
        </w:rPr>
        <w:t>3. Overall Advantage &amp; Unique Selling Proposition (USP)</w:t>
      </w:r>
      <w:r>
        <w:rPr>
          <w:rFonts w:ascii="Calibri" w:hAnsi="Calibri"/>
          <w:i/>
          <w:color w:val="0F766E"/>
          <w:sz w:val="19"/>
        </w:rPr>
        <w:t xml:space="preserve"> — Why We Win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single" w:sz="4" w:space="0" w:color="D1D5DB"/>
        </w:tblBorders>
      </w:tblPr>
      <w:tblGrid>
        <w:gridCol w:w="3408"/>
        <w:gridCol w:w="3408"/>
        <w:gridCol w:w="3408"/>
      </w:tblGrid>
      <w:tr>
        <w:tc>
          <w:tcPr>
            <w:tcW w:type="dxa" w:w="3384"/>
            <w:shd w:fill="FFFBEB"/>
            <w:tcMar>
              <w:top w:w="80" w:type="dxa"/>
              <w:bottom w:w="80" w:type="dxa"/>
              <w:left w:w="100" w:type="dxa"/>
              <w:right w:w="100" w:type="dxa"/>
            </w:tcMar>
          </w:tcPr>
          <w:p>
            <w:pPr>
              <w:spacing w:line="276" w:lineRule="auto"/>
            </w:pPr>
            <w:r>
              <w:rPr>
                <w:rFonts w:ascii="Calibri" w:hAnsi="Calibri"/>
                <w:b/>
                <w:color w:val="B45309"/>
                <w:sz w:val="18"/>
              </w:rPr>
              <w:t>USP 1: Resource Minimization = Energy Maximization</w:t>
              <w:br/>
            </w:r>
            <w:r>
              <w:rPr>
                <w:rFonts w:ascii="Calibri" w:hAnsi="Calibri"/>
                <w:color w:val="111827"/>
                <w:sz w:val="17"/>
              </w:rPr>
              <w:t>Traditional solar irrigation only asks: 'Can we pump with solar?' SolariQ asks: 'How fast can we stop pumping so surplus solar feeds the National Grid?' Cutting 10 min daily pumping yields 300 minutes of clean grid export per month!</w:t>
            </w:r>
          </w:p>
        </w:tc>
        <w:tc>
          <w:tcPr>
            <w:tcW w:type="dxa" w:w="3384"/>
            <w:shd w:fill="FFFBEB"/>
            <w:tcMar>
              <w:top w:w="80" w:type="dxa"/>
              <w:bottom w:w="80" w:type="dxa"/>
              <w:left w:w="100" w:type="dxa"/>
              <w:right w:w="100" w:type="dxa"/>
            </w:tcMar>
          </w:tcPr>
          <w:p>
            <w:pPr>
              <w:spacing w:line="276" w:lineRule="auto"/>
            </w:pPr>
            <w:r>
              <w:rPr>
                <w:rFonts w:ascii="Calibri" w:hAnsi="Calibri"/>
                <w:b/>
                <w:color w:val="B45309"/>
                <w:sz w:val="18"/>
              </w:rPr>
              <w:t>USP 2: Zero Land Conflict in Dense Bangladesh</w:t>
              <w:br/>
            </w:r>
            <w:r>
              <w:rPr>
                <w:rFonts w:ascii="Calibri" w:hAnsi="Calibri"/>
                <w:color w:val="111827"/>
                <w:sz w:val="17"/>
              </w:rPr>
              <w:t>Bangladesh cannot afford to lose arable rice land to ground-mounted solar farms. SolariQ turns public water corridors into utility-scale clean power generators without displacing a single crop.</w:t>
            </w:r>
          </w:p>
        </w:tc>
        <w:tc>
          <w:tcPr>
            <w:tcW w:type="dxa" w:w="3456"/>
            <w:shd w:fill="FFFBEB"/>
            <w:tcMar>
              <w:top w:w="80" w:type="dxa"/>
              <w:bottom w:w="80" w:type="dxa"/>
              <w:left w:w="100" w:type="dxa"/>
              <w:right w:w="100" w:type="dxa"/>
            </w:tcMar>
          </w:tcPr>
          <w:p>
            <w:pPr>
              <w:spacing w:line="276" w:lineRule="auto"/>
            </w:pPr>
            <w:r>
              <w:rPr>
                <w:rFonts w:ascii="Calibri" w:hAnsi="Calibri"/>
                <w:b/>
                <w:color w:val="B45309"/>
                <w:sz w:val="18"/>
              </w:rPr>
              <w:t>USP 3: 365-Day Year-Round Economic Asset</w:t>
              <w:br/>
            </w:r>
            <w:r>
              <w:rPr>
                <w:rFonts w:ascii="Calibri" w:hAnsi="Calibri"/>
                <w:color w:val="111827"/>
                <w:sz w:val="17"/>
              </w:rPr>
              <w:t>Conventional solar pumps are idle 240+ days a year (terrible capital recovery). SolariQ feeds the grid continuously in monsoon and dry season alike under official SREDA Net-Metering Guidelines 2025.</w:t>
            </w:r>
          </w:p>
        </w:tc>
      </w:tr>
    </w:tbl>
    <w:p>
      <w:pPr>
        <w:keepNext/>
        <w:spacing w:before="200" w:after="40"/>
      </w:pPr>
      <w:r>
        <w:rPr>
          <w:rFonts w:ascii="Calibri" w:hAnsi="Calibri"/>
          <w:b/>
          <w:color w:val="064E3B"/>
          <w:sz w:val="24"/>
        </w:rPr>
        <w:t>4. Why Judges &amp; Government Must Take This</w:t>
      </w:r>
      <w:r>
        <w:rPr>
          <w:rFonts w:ascii="Calibri" w:hAnsi="Calibri"/>
          <w:i/>
          <w:color w:val="0F766E"/>
          <w:sz w:val="19"/>
        </w:rPr>
        <w:t xml:space="preserve"> — Verified Numbers from calculations.docx</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single" w:sz="4" w:space="0" w:color="D1D5DB"/>
        </w:tblBorders>
      </w:tblPr>
      <w:tblGrid>
        <w:gridCol w:w="3408"/>
        <w:gridCol w:w="3408"/>
        <w:gridCol w:w="3408"/>
      </w:tblGrid>
      <w:tr>
        <w:tc>
          <w:tcPr>
            <w:tcW w:type="dxa" w:w="3168"/>
            <w:shd w:fill="1E293B"/>
            <w:tcMar>
              <w:top w:w="80" w:type="dxa"/>
              <w:bottom w:w="80" w:type="dxa"/>
              <w:left w:w="100" w:type="dxa"/>
              <w:right w:w="100" w:type="dxa"/>
            </w:tcMar>
          </w:tcPr>
          <w:p>
            <w:r>
              <w:rPr>
                <w:rFonts w:ascii="Calibri" w:hAnsi="Calibri"/>
                <w:b/>
                <w:color w:val="FFFFFF"/>
                <w:sz w:val="17"/>
              </w:rPr>
              <w:t>Key Metric Parameter</w:t>
            </w:r>
          </w:p>
        </w:tc>
        <w:tc>
          <w:tcPr>
            <w:tcW w:type="dxa" w:w="3600"/>
            <w:shd w:fill="1E293B"/>
            <w:tcMar>
              <w:top w:w="80" w:type="dxa"/>
              <w:bottom w:w="80" w:type="dxa"/>
              <w:left w:w="100" w:type="dxa"/>
              <w:right w:w="100" w:type="dxa"/>
            </w:tcMar>
          </w:tcPr>
          <w:p>
            <w:r>
              <w:rPr>
                <w:rFonts w:ascii="Calibri" w:hAnsi="Calibri"/>
                <w:b/>
                <w:color w:val="FFFFFF"/>
                <w:sz w:val="17"/>
              </w:rPr>
              <w:t>Quantified Value (100m Canal Reach)</w:t>
            </w:r>
          </w:p>
        </w:tc>
        <w:tc>
          <w:tcPr>
            <w:tcW w:type="dxa" w:w="3456"/>
            <w:shd w:fill="1E293B"/>
            <w:tcMar>
              <w:top w:w="80" w:type="dxa"/>
              <w:bottom w:w="80" w:type="dxa"/>
              <w:left w:w="100" w:type="dxa"/>
              <w:right w:w="100" w:type="dxa"/>
            </w:tcMar>
          </w:tcPr>
          <w:p>
            <w:r>
              <w:rPr>
                <w:rFonts w:ascii="Calibri" w:hAnsi="Calibri"/>
                <w:b/>
                <w:color w:val="FFFFFF"/>
                <w:sz w:val="17"/>
              </w:rPr>
              <w:t>Official Government Reference</w:t>
            </w:r>
          </w:p>
        </w:tc>
      </w:tr>
      <w:tr>
        <w:tc>
          <w:tcPr>
            <w:tcW w:type="dxa" w:w="3168"/>
            <w:shd w:fill="F9FAFB"/>
            <w:tcMar>
              <w:top w:w="70" w:type="dxa"/>
              <w:bottom w:w="70" w:type="dxa"/>
              <w:left w:w="90" w:type="dxa"/>
              <w:right w:w="90" w:type="dxa"/>
            </w:tcMar>
          </w:tcPr>
          <w:p>
            <w:pPr>
              <w:spacing w:line="276" w:lineRule="auto"/>
            </w:pPr>
            <w:r>
              <w:rPr>
                <w:rFonts w:ascii="Calibri" w:hAnsi="Calibri"/>
                <w:b/>
                <w:color w:val="064E3B"/>
                <w:sz w:val="17"/>
              </w:rPr>
              <w:t>Canal Reach &amp; Plant Capacity</w:t>
            </w:r>
          </w:p>
        </w:tc>
        <w:tc>
          <w:tcPr>
            <w:tcW w:type="dxa" w:w="3600"/>
            <w:shd w:fill="F9FAFB"/>
            <w:tcMar>
              <w:top w:w="70" w:type="dxa"/>
              <w:bottom w:w="70" w:type="dxa"/>
              <w:left w:w="90" w:type="dxa"/>
              <w:right w:w="90" w:type="dxa"/>
            </w:tcMar>
          </w:tcPr>
          <w:p>
            <w:pPr>
              <w:spacing w:line="276" w:lineRule="auto"/>
            </w:pPr>
            <w:r>
              <w:rPr>
                <w:rFonts w:ascii="Calibri" w:hAnsi="Calibri"/>
                <w:b/>
                <w:color w:val="B45309"/>
                <w:sz w:val="17"/>
              </w:rPr>
              <w:t>100 m canal length × 25 m width = 2,500 m² footprint</w:t>
              <w:br/>
              <w:t>405 kWp – 462.5 kWp (648 to 740 modules @ 625Wp)</w:t>
            </w:r>
          </w:p>
        </w:tc>
        <w:tc>
          <w:tcPr>
            <w:tcW w:type="dxa" w:w="3456"/>
            <w:shd w:fill="F9FAFB"/>
            <w:tcMar>
              <w:top w:w="70" w:type="dxa"/>
              <w:bottom w:w="70" w:type="dxa"/>
              <w:left w:w="90" w:type="dxa"/>
              <w:right w:w="90" w:type="dxa"/>
            </w:tcMar>
          </w:tcPr>
          <w:p>
            <w:pPr>
              <w:spacing w:line="276" w:lineRule="auto"/>
            </w:pPr>
            <w:r>
              <w:rPr>
                <w:rFonts w:ascii="Calibri" w:hAnsi="Calibri"/>
                <w:i/>
                <w:color w:val="4B5563"/>
                <w:sz w:val="17"/>
              </w:rPr>
              <w:t>Ref: SREDA Approved Module List (BDS IEC standards; 625Wp LONGi/Trina models).</w:t>
            </w:r>
          </w:p>
        </w:tc>
      </w:tr>
      <w:tr>
        <w:tc>
          <w:tcPr>
            <w:tcW w:type="dxa" w:w="3168"/>
            <w:shd w:fill="FFFFFF"/>
            <w:tcMar>
              <w:top w:w="70" w:type="dxa"/>
              <w:bottom w:w="70" w:type="dxa"/>
              <w:left w:w="90" w:type="dxa"/>
              <w:right w:w="90" w:type="dxa"/>
            </w:tcMar>
          </w:tcPr>
          <w:p>
            <w:pPr>
              <w:spacing w:line="276" w:lineRule="auto"/>
            </w:pPr>
            <w:r>
              <w:rPr>
                <w:rFonts w:ascii="Calibri" w:hAnsi="Calibri"/>
                <w:b/>
                <w:color w:val="064E3B"/>
                <w:sz w:val="17"/>
              </w:rPr>
              <w:t>Daily Clean Solar Generation</w:t>
            </w:r>
          </w:p>
        </w:tc>
        <w:tc>
          <w:tcPr>
            <w:tcW w:type="dxa" w:w="3600"/>
            <w:shd w:fill="FFFFFF"/>
            <w:tcMar>
              <w:top w:w="70" w:type="dxa"/>
              <w:bottom w:w="70" w:type="dxa"/>
              <w:left w:w="90" w:type="dxa"/>
              <w:right w:w="90" w:type="dxa"/>
            </w:tcMar>
          </w:tcPr>
          <w:p>
            <w:pPr>
              <w:spacing w:line="276" w:lineRule="auto"/>
            </w:pPr>
            <w:r>
              <w:rPr>
                <w:rFonts w:ascii="Calibri" w:hAnsi="Calibri"/>
                <w:b/>
                <w:color w:val="B45309"/>
                <w:sz w:val="17"/>
              </w:rPr>
              <w:t>1,490 – 1,956 kWh / day</w:t>
              <w:br/>
              <w:t>(544 – 714 MWh / year)</w:t>
            </w:r>
          </w:p>
        </w:tc>
        <w:tc>
          <w:tcPr>
            <w:tcW w:type="dxa" w:w="3456"/>
            <w:shd w:fill="FFFFFF"/>
            <w:tcMar>
              <w:top w:w="70" w:type="dxa"/>
              <w:bottom w:w="70" w:type="dxa"/>
              <w:left w:w="90" w:type="dxa"/>
              <w:right w:w="90" w:type="dxa"/>
            </w:tcMar>
          </w:tcPr>
          <w:p>
            <w:pPr>
              <w:spacing w:line="276" w:lineRule="auto"/>
            </w:pPr>
            <w:r>
              <w:rPr>
                <w:rFonts w:ascii="Calibri" w:hAnsi="Calibri"/>
                <w:i/>
                <w:color w:val="4B5563"/>
                <w:sz w:val="17"/>
              </w:rPr>
              <w:t>Ref: Global Solar Atlas (World Bank) Bangladesh resource: 3.68 – 4.23 kWh/kWp/day.</w:t>
            </w:r>
          </w:p>
        </w:tc>
      </w:tr>
      <w:tr>
        <w:tc>
          <w:tcPr>
            <w:tcW w:type="dxa" w:w="3168"/>
            <w:shd w:fill="F9FAFB"/>
            <w:tcMar>
              <w:top w:w="70" w:type="dxa"/>
              <w:bottom w:w="70" w:type="dxa"/>
              <w:left w:w="90" w:type="dxa"/>
              <w:right w:w="90" w:type="dxa"/>
            </w:tcMar>
          </w:tcPr>
          <w:p>
            <w:pPr>
              <w:spacing w:line="276" w:lineRule="auto"/>
            </w:pPr>
            <w:r>
              <w:rPr>
                <w:rFonts w:ascii="Calibri" w:hAnsi="Calibri"/>
                <w:b/>
                <w:color w:val="064E3B"/>
                <w:sz w:val="17"/>
              </w:rPr>
              <w:t>Irrigation Consumption (5 HP Pump)</w:t>
            </w:r>
          </w:p>
        </w:tc>
        <w:tc>
          <w:tcPr>
            <w:tcW w:type="dxa" w:w="3600"/>
            <w:shd w:fill="F9FAFB"/>
            <w:tcMar>
              <w:top w:w="70" w:type="dxa"/>
              <w:bottom w:w="70" w:type="dxa"/>
              <w:left w:w="90" w:type="dxa"/>
              <w:right w:w="90" w:type="dxa"/>
            </w:tcMar>
          </w:tcPr>
          <w:p>
            <w:pPr>
              <w:spacing w:line="276" w:lineRule="auto"/>
            </w:pPr>
            <w:r>
              <w:rPr>
                <w:rFonts w:ascii="Calibri" w:hAnsi="Calibri"/>
                <w:b/>
                <w:color w:val="B45309"/>
                <w:sz w:val="17"/>
              </w:rPr>
              <w:t>33 – 35 kWh / day (at 8h/day pumping)</w:t>
              <w:br/>
              <w:t>(Only 12.1 – 12.8 MWh / year)</w:t>
            </w:r>
          </w:p>
        </w:tc>
        <w:tc>
          <w:tcPr>
            <w:tcW w:type="dxa" w:w="3456"/>
            <w:shd w:fill="F9FAFB"/>
            <w:tcMar>
              <w:top w:w="70" w:type="dxa"/>
              <w:bottom w:w="70" w:type="dxa"/>
              <w:left w:w="90" w:type="dxa"/>
              <w:right w:w="90" w:type="dxa"/>
            </w:tcMar>
          </w:tcPr>
          <w:p>
            <w:pPr>
              <w:spacing w:line="276" w:lineRule="auto"/>
            </w:pPr>
            <w:r>
              <w:rPr>
                <w:rFonts w:ascii="Calibri" w:hAnsi="Calibri"/>
                <w:i/>
                <w:color w:val="4B5563"/>
                <w:sz w:val="17"/>
              </w:rPr>
              <w:t>Ref: 5 HP motor (3.73 kW mech., 4.15–4.39 kW elec. @ 85–90% efficiency). Pumping uses &lt;3% of total solar!</w:t>
            </w:r>
          </w:p>
        </w:tc>
      </w:tr>
      <w:tr>
        <w:tc>
          <w:tcPr>
            <w:tcW w:type="dxa" w:w="3168"/>
            <w:shd w:fill="FFFFFF"/>
            <w:tcMar>
              <w:top w:w="70" w:type="dxa"/>
              <w:bottom w:w="70" w:type="dxa"/>
              <w:left w:w="90" w:type="dxa"/>
              <w:right w:w="90" w:type="dxa"/>
            </w:tcMar>
          </w:tcPr>
          <w:p>
            <w:pPr>
              <w:spacing w:line="276" w:lineRule="auto"/>
            </w:pPr>
            <w:r>
              <w:rPr>
                <w:rFonts w:ascii="Calibri" w:hAnsi="Calibri"/>
                <w:b/>
                <w:color w:val="064E3B"/>
                <w:sz w:val="17"/>
              </w:rPr>
              <w:t>Surplus Clean Power to National Grid</w:t>
            </w:r>
          </w:p>
        </w:tc>
        <w:tc>
          <w:tcPr>
            <w:tcW w:type="dxa" w:w="3600"/>
            <w:shd w:fill="FFFFFF"/>
            <w:tcMar>
              <w:top w:w="70" w:type="dxa"/>
              <w:bottom w:w="70" w:type="dxa"/>
              <w:left w:w="90" w:type="dxa"/>
              <w:right w:w="90" w:type="dxa"/>
            </w:tcMar>
          </w:tcPr>
          <w:p>
            <w:pPr>
              <w:spacing w:line="276" w:lineRule="auto"/>
            </w:pPr>
            <w:r>
              <w:rPr>
                <w:rFonts w:ascii="Calibri" w:hAnsi="Calibri"/>
                <w:b/>
                <w:color w:val="B45309"/>
                <w:sz w:val="17"/>
              </w:rPr>
              <w:t>1,455 – 1,923 kWh / day exported!</w:t>
              <w:br/>
              <w:t>(531 – 702 MWh / year net grid feed)</w:t>
            </w:r>
          </w:p>
        </w:tc>
        <w:tc>
          <w:tcPr>
            <w:tcW w:type="dxa" w:w="3456"/>
            <w:shd w:fill="FFFFFF"/>
            <w:tcMar>
              <w:top w:w="70" w:type="dxa"/>
              <w:bottom w:w="70" w:type="dxa"/>
              <w:left w:w="90" w:type="dxa"/>
              <w:right w:w="90" w:type="dxa"/>
            </w:tcMar>
          </w:tcPr>
          <w:p>
            <w:pPr>
              <w:spacing w:line="276" w:lineRule="auto"/>
            </w:pPr>
            <w:r>
              <w:rPr>
                <w:rFonts w:ascii="Calibri" w:hAnsi="Calibri"/>
                <w:i/>
                <w:color w:val="4B5563"/>
                <w:sz w:val="17"/>
              </w:rPr>
              <w:t>Ref: Power Division, Ministry of Power (2025) Net Metering Guideline–2025. 97% of daily output feeds grid!</w:t>
            </w:r>
          </w:p>
        </w:tc>
      </w:tr>
      <w:tr>
        <w:tc>
          <w:tcPr>
            <w:tcW w:type="dxa" w:w="3168"/>
            <w:shd w:fill="F9FAFB"/>
            <w:tcMar>
              <w:top w:w="70" w:type="dxa"/>
              <w:bottom w:w="70" w:type="dxa"/>
              <w:left w:w="90" w:type="dxa"/>
              <w:right w:w="90" w:type="dxa"/>
            </w:tcMar>
          </w:tcPr>
          <w:p>
            <w:pPr>
              <w:spacing w:line="276" w:lineRule="auto"/>
            </w:pPr>
            <w:r>
              <w:rPr>
                <w:rFonts w:ascii="Calibri" w:hAnsi="Calibri"/>
                <w:b/>
                <w:color w:val="064E3B"/>
                <w:sz w:val="17"/>
              </w:rPr>
              <w:t>Financial Revenue &amp; Fuel Savings</w:t>
            </w:r>
          </w:p>
        </w:tc>
        <w:tc>
          <w:tcPr>
            <w:tcW w:type="dxa" w:w="3600"/>
            <w:shd w:fill="F9FAFB"/>
            <w:tcMar>
              <w:top w:w="70" w:type="dxa"/>
              <w:bottom w:w="70" w:type="dxa"/>
              <w:left w:w="90" w:type="dxa"/>
              <w:right w:w="90" w:type="dxa"/>
            </w:tcMar>
          </w:tcPr>
          <w:p>
            <w:pPr>
              <w:spacing w:line="276" w:lineRule="auto"/>
            </w:pPr>
            <w:r>
              <w:rPr>
                <w:rFonts w:ascii="Calibri" w:hAnsi="Calibri"/>
                <w:b/>
                <w:color w:val="B45309"/>
                <w:sz w:val="17"/>
              </w:rPr>
              <w:t>BDT 1,250,000+ / year (~12.5 Lakh BDT/yr revenue)</w:t>
              <w:br/>
              <w:t>+ BDT 5,820/season diesel savings per 6-plot cluster</w:t>
            </w:r>
          </w:p>
        </w:tc>
        <w:tc>
          <w:tcPr>
            <w:tcW w:type="dxa" w:w="3456"/>
            <w:shd w:fill="F9FAFB"/>
            <w:tcMar>
              <w:top w:w="70" w:type="dxa"/>
              <w:bottom w:w="70" w:type="dxa"/>
              <w:left w:w="90" w:type="dxa"/>
              <w:right w:w="90" w:type="dxa"/>
            </w:tcMar>
          </w:tcPr>
          <w:p>
            <w:pPr>
              <w:spacing w:line="276" w:lineRule="auto"/>
            </w:pPr>
            <w:r>
              <w:rPr>
                <w:rFonts w:ascii="Calibri" w:hAnsi="Calibri"/>
                <w:i/>
                <w:color w:val="4B5563"/>
                <w:sz w:val="17"/>
              </w:rPr>
              <w:t>Ref: SREDA / BERC bulk feed-in tariff credit + avoided diesel fuel expenses.</w:t>
            </w:r>
          </w:p>
        </w:tc>
      </w:tr>
      <w:tr>
        <w:tc>
          <w:tcPr>
            <w:tcW w:type="dxa" w:w="3168"/>
            <w:shd w:fill="FFFFFF"/>
            <w:tcMar>
              <w:top w:w="70" w:type="dxa"/>
              <w:bottom w:w="70" w:type="dxa"/>
              <w:left w:w="90" w:type="dxa"/>
              <w:right w:w="90" w:type="dxa"/>
            </w:tcMar>
          </w:tcPr>
          <w:p>
            <w:pPr>
              <w:spacing w:line="276" w:lineRule="auto"/>
            </w:pPr>
            <w:r>
              <w:rPr>
                <w:rFonts w:ascii="Calibri" w:hAnsi="Calibri"/>
                <w:b/>
                <w:color w:val="064E3B"/>
                <w:sz w:val="17"/>
              </w:rPr>
              <w:t>Avoided Carbon &amp; Climate Credits</w:t>
            </w:r>
          </w:p>
        </w:tc>
        <w:tc>
          <w:tcPr>
            <w:tcW w:type="dxa" w:w="3600"/>
            <w:shd w:fill="FFFFFF"/>
            <w:tcMar>
              <w:top w:w="70" w:type="dxa"/>
              <w:bottom w:w="70" w:type="dxa"/>
              <w:left w:w="90" w:type="dxa"/>
              <w:right w:w="90" w:type="dxa"/>
            </w:tcMar>
          </w:tcPr>
          <w:p>
            <w:pPr>
              <w:spacing w:line="276" w:lineRule="auto"/>
            </w:pPr>
            <w:r>
              <w:rPr>
                <w:rFonts w:ascii="Calibri" w:hAnsi="Calibri"/>
                <w:b/>
                <w:color w:val="B45309"/>
                <w:sz w:val="17"/>
              </w:rPr>
              <w:t>329 – 443 Metric Tonnes CO2e / year avoided!</w:t>
              <w:br/>
              <w:t>+ 35% reduction in rice field methane (CH4)</w:t>
            </w:r>
          </w:p>
        </w:tc>
        <w:tc>
          <w:tcPr>
            <w:tcW w:type="dxa" w:w="3456"/>
            <w:shd w:fill="FFFFFF"/>
            <w:tcMar>
              <w:top w:w="70" w:type="dxa"/>
              <w:bottom w:w="70" w:type="dxa"/>
              <w:left w:w="90" w:type="dxa"/>
              <w:right w:w="90" w:type="dxa"/>
            </w:tcMar>
          </w:tcPr>
          <w:p>
            <w:pPr>
              <w:spacing w:line="276" w:lineRule="auto"/>
            </w:pPr>
            <w:r>
              <w:rPr>
                <w:rFonts w:ascii="Calibri" w:hAnsi="Calibri"/>
                <w:i/>
                <w:color w:val="4B5563"/>
                <w:sz w:val="17"/>
              </w:rPr>
              <w:t>Ref: Official Department of Environment GEF = 0.62 tCO2/MWh (Jan 23, 2025); BRRI (2020) AWD GHG data.</w:t>
            </w:r>
          </w:p>
        </w:tc>
      </w:tr>
    </w:tbl>
    <w:p>
      <w:pPr>
        <w:spacing w:before="160" w:after="40" w:line="276" w:lineRule="auto"/>
      </w:pPr>
      <w:r>
        <w:rPr>
          <w:rFonts w:ascii="Calibri" w:hAnsi="Calibri"/>
          <w:b/>
          <w:color w:val="064E3B"/>
          <w:sz w:val="19"/>
        </w:rPr>
        <w:t xml:space="preserve">THE 30-SECOND ELEVATOR PITCH FOR JUDGES: </w:t>
      </w:r>
      <w:r>
        <w:rPr>
          <w:rFonts w:ascii="Calibri" w:hAnsi="Calibri"/>
          <w:i/>
          <w:color w:val="111827"/>
          <w:sz w:val="18"/>
        </w:rPr>
        <w:t>"Government dug the canals; SolariQ powers them. Instead of letting solar pumps run blindly and waste water, our GeoAI runs the pump for the exact minutes needed, cuts 35% rice methane, and instantly diverts 97% of the clean electricity into the National Grid. It turns public canals into continuous BDT 1.25 Million annual revenue streams without taking a single inch of fertile farmland."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7"/>
      </w:rPr>
      <w:t xml:space="preserve">SolariQ: Adaptive Solar &amp; Edge-AI Canal-Agri Framework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SolariQ | Competition Pitch &amp; Executive Briefing Handout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