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5D1" w:rsidRDefault="003E45D1">
      <w:pPr>
        <w:spacing w:after="300"/>
      </w:pPr>
      <w:bookmarkStart w:id="0" w:name="_GoBack"/>
      <w:bookmarkEnd w:id="0"/>
    </w:p>
    <w:p w:rsidR="003E45D1" w:rsidRDefault="00310CD4">
      <w:pPr>
        <w:jc w:val="center"/>
      </w:pPr>
      <w:r>
        <w:rPr>
          <w:noProof/>
        </w:rPr>
        <w:drawing>
          <wp:inline distT="0" distB="0" distL="0" distR="0" wp14:anchorId="0BBF3C71" wp14:editId="427E7EB6">
            <wp:extent cx="2286000" cy="1957191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D4" w:rsidRDefault="00310CD4">
      <w:pPr>
        <w:jc w:val="center"/>
      </w:pPr>
    </w:p>
    <w:p w:rsidR="003E45D1" w:rsidRDefault="002232D7">
      <w:pPr>
        <w:jc w:val="center"/>
      </w:pPr>
      <w:r>
        <w:rPr>
          <w:b/>
          <w:bCs/>
          <w:color w:val="2E2E2E"/>
          <w:sz w:val="24"/>
          <w:szCs w:val="24"/>
        </w:rPr>
        <w:t>VOLUME – 15</w:t>
      </w:r>
    </w:p>
    <w:p w:rsidR="003E45D1" w:rsidRDefault="003E45D1">
      <w:pPr>
        <w:spacing w:after="120"/>
      </w:pPr>
    </w:p>
    <w:p w:rsidR="003E45D1" w:rsidRDefault="002232D7">
      <w:pPr>
        <w:jc w:val="center"/>
      </w:pPr>
      <w:r>
        <w:rPr>
          <w:b/>
          <w:bCs/>
          <w:color w:val="7A6023"/>
          <w:sz w:val="40"/>
          <w:szCs w:val="40"/>
        </w:rPr>
        <w:t>AUDIT &amp; COMPLIANCE</w:t>
      </w:r>
    </w:p>
    <w:p w:rsidR="003E45D1" w:rsidRDefault="002232D7">
      <w:pPr>
        <w:spacing w:before="100" w:after="400"/>
        <w:jc w:val="center"/>
      </w:pPr>
      <w:r>
        <w:rPr>
          <w:b/>
          <w:bCs/>
          <w:color w:val="2E2E2E"/>
          <w:sz w:val="34"/>
          <w:szCs w:val="34"/>
        </w:rPr>
        <w:t>MASTER GUIDE</w:t>
      </w:r>
    </w:p>
    <w:p w:rsidR="003E45D1" w:rsidRDefault="002232D7">
      <w:pPr>
        <w:spacing w:after="60"/>
        <w:jc w:val="center"/>
      </w:pPr>
      <w:r>
        <w:rPr>
          <w:i/>
          <w:iCs/>
          <w:color w:val="2E2E2E"/>
          <w:sz w:val="20"/>
          <w:szCs w:val="20"/>
        </w:rPr>
        <w:t>Internal · External · Buyer · Customs ·</w:t>
      </w:r>
    </w:p>
    <w:p w:rsidR="003E45D1" w:rsidRDefault="002232D7">
      <w:pPr>
        <w:spacing w:after="500"/>
        <w:jc w:val="center"/>
      </w:pPr>
      <w:r>
        <w:rPr>
          <w:i/>
          <w:iCs/>
          <w:color w:val="2E2E2E"/>
          <w:sz w:val="20"/>
          <w:szCs w:val="20"/>
        </w:rPr>
        <w:t>BEPZA · Bangladesh Bank Audit ও Document Filing</w:t>
      </w:r>
    </w:p>
    <w:p w:rsidR="003E45D1" w:rsidRDefault="003E45D1">
      <w:pPr>
        <w:spacing w:after="900"/>
      </w:pPr>
    </w:p>
    <w:p w:rsidR="004B2D97" w:rsidRDefault="00310CD4" w:rsidP="004B2D97">
      <w:pPr>
        <w:spacing w:after="1400"/>
        <w:jc w:val="center"/>
        <w:rPr>
          <w:b/>
          <w:color w:val="2E2E2E"/>
          <w:sz w:val="21"/>
          <w:szCs w:val="21"/>
        </w:rPr>
      </w:pPr>
      <w:r w:rsidRPr="00504C48">
        <w:rPr>
          <w:color w:val="2E2E2E"/>
          <w:sz w:val="21"/>
          <w:szCs w:val="21"/>
        </w:rPr>
        <w:t>Commercial Department-</w:t>
      </w:r>
      <w:r w:rsidRPr="00504C48">
        <w:rPr>
          <w:b/>
          <w:color w:val="2E2E2E"/>
          <w:sz w:val="21"/>
          <w:szCs w:val="21"/>
        </w:rPr>
        <w:t xml:space="preserve">এর </w:t>
      </w:r>
      <w:r w:rsidR="00592450">
        <w:rPr>
          <w:b/>
          <w:bCs/>
          <w:color w:val="2E2E2E"/>
          <w:sz w:val="21"/>
          <w:szCs w:val="21"/>
        </w:rPr>
        <w:t xml:space="preserve">Audit Readiness ও Compliance </w:t>
      </w:r>
      <w:r w:rsidRPr="009A5429">
        <w:rPr>
          <w:color w:val="2E2E2E"/>
          <w:sz w:val="21"/>
          <w:szCs w:val="21"/>
        </w:rPr>
        <w:t>সম্পূর্ণ হাতে-কলমে শেখার গাইডলাইন ও</w:t>
      </w:r>
      <w:r w:rsidRPr="007C0903">
        <w:rPr>
          <w:b/>
          <w:color w:val="2E2E2E"/>
          <w:sz w:val="21"/>
          <w:szCs w:val="21"/>
        </w:rPr>
        <w:t xml:space="preserve"> </w:t>
      </w:r>
      <w:r w:rsidRPr="009A5429">
        <w:rPr>
          <w:b/>
          <w:color w:val="2E2E2E"/>
          <w:sz w:val="21"/>
          <w:szCs w:val="21"/>
        </w:rPr>
        <w:t>SOP</w:t>
      </w:r>
      <w:r w:rsidRPr="007C0903">
        <w:rPr>
          <w:b/>
          <w:color w:val="2E2E2E"/>
          <w:sz w:val="21"/>
          <w:szCs w:val="21"/>
        </w:rPr>
        <w:t xml:space="preserve"> </w:t>
      </w:r>
      <w:r w:rsidRPr="009A5429">
        <w:rPr>
          <w:color w:val="2E2E2E"/>
          <w:sz w:val="21"/>
          <w:szCs w:val="21"/>
        </w:rPr>
        <w:t>ম্যানুয়াল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7A6023"/>
          <w:sz w:val="30"/>
          <w:szCs w:val="30"/>
        </w:rPr>
        <w:lastRenderedPageBreak/>
        <w:t>সূচিপত্র (Table of Contents)</w:t>
      </w:r>
    </w:p>
    <w:p w:rsidR="003E45D1" w:rsidRDefault="003E45D1">
      <w:pPr>
        <w:spacing w:after="16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১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ভূমিকা — এই ভলিউম কীভাবে ব্যবহার করবেন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২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Audit &amp; Compliance — Theory ও Overview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৩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Internal Audit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৪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External Audit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৫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Buyer Audit (Social/Ethical Compliance)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৬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Customs Audit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৭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BEPZA Audit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৮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Bangladesh Bank Audit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৯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Document Filing System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১০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Compliance Checklist — সম্পূর্ণ কাঠামো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১১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Audit Document Master Matrix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১২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বাস্তব অফিসের ইমেইল টেমপ্লেট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১৩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সাধারণ ভুল ও Best Practices</w:t>
            </w:r>
          </w:p>
        </w:tc>
      </w:tr>
    </w:tbl>
    <w:p w:rsidR="003E45D1" w:rsidRDefault="003E45D1">
      <w:pPr>
        <w:spacing w:after="70"/>
      </w:pPr>
    </w:p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44"/>
      </w:tblGrid>
      <w:tr w:rsidR="003E45D1">
        <w:tc>
          <w:tcPr>
            <w:tcW w:w="700" w:type="dxa"/>
          </w:tcPr>
          <w:p w:rsidR="003E45D1" w:rsidRDefault="002232D7">
            <w:r>
              <w:rPr>
                <w:b/>
                <w:bCs/>
                <w:color w:val="9A7B2F"/>
                <w:sz w:val="21"/>
                <w:szCs w:val="21"/>
              </w:rPr>
              <w:t>১৪</w:t>
            </w:r>
          </w:p>
        </w:tc>
        <w:tc>
          <w:tcPr>
            <w:tcW w:w="8100" w:type="dxa"/>
          </w:tcPr>
          <w:p w:rsidR="003E45D1" w:rsidRDefault="002232D7">
            <w:pPr>
              <w:pBdr>
                <w:bottom w:val="dotted" w:sz="4" w:space="4" w:color="D9D9D9"/>
              </w:pBdr>
            </w:pPr>
            <w:r>
              <w:rPr>
                <w:color w:val="2E2E2E"/>
                <w:sz w:val="21"/>
                <w:szCs w:val="21"/>
              </w:rPr>
              <w:t>Checklist, গ্লসারি ও প্রস্তুতকারক তথ্য</w:t>
            </w:r>
          </w:p>
        </w:tc>
      </w:tr>
    </w:tbl>
    <w:p w:rsidR="003E45D1" w:rsidRDefault="003E45D1">
      <w:pPr>
        <w:spacing w:after="70"/>
      </w:pP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১.   </w:t>
      </w:r>
      <w:r>
        <w:rPr>
          <w:b/>
          <w:bCs/>
          <w:color w:val="7A6023"/>
          <w:sz w:val="30"/>
          <w:szCs w:val="30"/>
        </w:rPr>
        <w:t>ভূমিকা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এই ভলিউমের উদ্দেশ্য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Import, Export, Banking ও BEPZA-সংক্রান্ত প্রতিটি প্রক্রিয়ার পেছনে একটি সাধারণ সূত্র কাজ করে — যা সঠিকভাবে ডকুমেন্টেড ও Compliant, তা Audit-এ টিকে থাকে। এই Volume-15-এ আমরা দেখব বিভিন্ন ধরনের Audit (Internal, External, Buyer, Customs, BEPZA, Bangladesh Bank) কীভাবে কাজ করে এবং কীভাবে সবসময় 'Audit-Ready' থাকা যায়।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এই ভলিউম থেকে যা শেখা যাবে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প্রতিটি ধরনের Audit-এর উদ্দেশ্য, প্রক্রিয়া ও প্রস্তুতির পদ্ধতি।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একটি কার্যকর Document Filing System গড়ে তোলার উপায়।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একটি সম্পূর্ণ Compliance Checklist, যা প্রতিদিনের কাজে Audit ঝুঁকি কমায়।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নোট: </w:t>
      </w:r>
      <w:r>
        <w:rPr>
          <w:i/>
          <w:iCs/>
          <w:color w:val="2E2E2E"/>
          <w:sz w:val="21"/>
          <w:szCs w:val="21"/>
        </w:rPr>
        <w:t>এই ভলিউমে বর্ণিত Audit প্রক্রিয়া সাধারণ কাঠামো হিসেবে দেওয়া — প্রতিটি Buyer/Authority-র নির্দিষ্ট Checklist ও মানদণ্ড ভিন্ন হতে পারে, তাই বাস্তব Audit-এর আগে সংশ্লিষ্ট প্রতিষ্ঠানের সর্বশেষ Requirement যাচাই করে নেওয়া উচিত।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২.   </w:t>
      </w:r>
      <w:r>
        <w:rPr>
          <w:b/>
          <w:bCs/>
          <w:color w:val="7A6023"/>
          <w:sz w:val="30"/>
          <w:szCs w:val="30"/>
        </w:rPr>
        <w:t>Audit &amp; Compliance — Theory ও Overview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Audit হলো একটি স্বতন্ত্র বা Internal পরীক্ষা প্রক্রিয়া, যার মাধ্যমে যাচাই করা হয় যে কোম্পানির কার্যক্রম নির্ধারিত নিয়ম, নীতি ও চুক্তির সাথে সামঞ্জস্যপূর্ণ কিনা। Commercial Department-এর জন্য Audit Readiness মানে হলো এমনভাবে কাজ করা যাতে যেকোনো সময় Auditor আসলে সব ডকুমেন্ট প্রস্তুত ও সুসংগঠিত থাকে।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Yunusco-তে সাধারণত যে ধরনের Audit হয়</w:t>
      </w:r>
    </w:p>
    <w:tbl>
      <w:tblPr>
        <w:tblW w:w="950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3E45D1">
        <w:trPr>
          <w:tblHeader/>
        </w:trPr>
        <w:tc>
          <w:tcPr>
            <w:tcW w:w="28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Audit Type</w:t>
            </w:r>
          </w:p>
        </w:tc>
        <w:tc>
          <w:tcPr>
            <w:tcW w:w="67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উদ্দেশ্য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Internal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নিজেদের প্রক্রিয়ার Self-check ও Continuous Improvement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External Audit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স্বতন্ত্র Auditor দ্বারা আর্থিক/প্রক্রিয়াগত যাচাই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Buyer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Social Compliance, Ethical Sourcing ও Quality Standard যাচাই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Customs Audit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Import/Export Duty ও HS Code সঠিকতা যাচাই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BEPZA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Bond Utilization ও EPZ Regulation সামঞ্জস্য যাচাই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Bangladesh Bank Audit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Foreign Exchange Regulation সামঞ্জস্য যাচাই</w:t>
            </w:r>
          </w:p>
        </w:tc>
      </w:tr>
    </w:tbl>
    <w:p w:rsidR="003E45D1" w:rsidRDefault="003E45D1">
      <w:pPr>
        <w:spacing w:after="160"/>
      </w:pP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সবচেয়ে কার্যকর Audit প্রস্তুতির কৌশল হলো — Audit আসার আগে প্রস্তুতি শুরু না করে, প্রতিদিনের কাজকেই এমনভাবে সংগঠিত রাখা যাতে যেকোনো সময় Audit-Ready থাকা যায়।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৩.   </w:t>
      </w:r>
      <w:r>
        <w:rPr>
          <w:b/>
          <w:bCs/>
          <w:color w:val="7A6023"/>
          <w:sz w:val="30"/>
          <w:szCs w:val="30"/>
        </w:rPr>
        <w:t>Internal Audit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Internal Audit হলো কোম্পানির নিজস্ব টিম (বা নিয়োজিত Internal Audit Department) দ্বারা পরিচালিত একটি নিয়মিত Self-check প্রক্রিয়া, যার উদ্দেশ্য সমস্যা External Audit বা সরকারি পরিদর্শনের আগেই চিহ্নিত করে সমাধান করা।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Step-by-Step Workflow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Internal Audit Team একটি নির্দিষ্ট সময়সূচি (সাধারণত ত্রৈমাসিক) অনুযায়ী Commercial Department-এর ফাইল পর্যালোচনা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LC Register, Import/Export Register, Bond Register-এর সাথে প্রকৃত ডকুমেন্টের সামঞ্জস্য যাচাই করা হয়।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কোনো Gap/Discrepancy পাওয়া গেলে একটি Audit Finding Report তৈরি করা হয়।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Commercial Department Finding-এর ভিত্তিতে একটি Corrective Action Plan প্রস্তুত করে।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Required Documents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সকল Register, LC/BOE/PRC Copy, পূর্ববর্তী Audit Report।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Internal Audit Team, Commercial Department (Documentation Support)।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Internal Audit-কে 'Punishment' না ভেবে বরং একটি Learning Opportunity হিসেবে দেখা উচিত — এটি External Audit-এর আগে সমস্যা সমাধানের সবচেয়ে সাশ্রয়ী সুযোগ।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৪.   </w:t>
      </w:r>
      <w:r>
        <w:rPr>
          <w:b/>
          <w:bCs/>
          <w:color w:val="7A6023"/>
          <w:sz w:val="30"/>
          <w:szCs w:val="30"/>
        </w:rPr>
        <w:t>External Audit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External Audit একটি স্বতন্ত্র, বহিরাগত Audit Firm দ্বারা পরিচালিত হয়, যা কোম্পানির Financial Statement, Tax Compliance এবং কখনো কখনো Operational Process-এর একটি নিরপেক্ষ মূল্যায়ন প্রদান করে।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Step-by-Step Workflow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External Auditor একটি Audit Plan ও Document Request List প্রদান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Commercial Department Finance-এর সাথে সমন্বয় করে চাহিত সকল ডকুমেন্ট (LC, Import/Export Register, Bank Statement) প্রস্তুত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Auditor Sample-ভিত্তিক Transaction যাচাই করে (যেমন এলোমেলোভাবে নির্বাচিত ১০টি LC-র সম্পূর্ণ Documentation চেক করা)।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Auditor একটি Audit Report ও Management Letter (কোনো Weakness থাকলে) প্রদান করে।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Finance Department (মূল সমন্বয়), Commercial Department (Transaction-specific Documentation)।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External Auditor সাধারণত Sample-ভিত্তিক Transaction যাচাই করে — তাই প্রতিটি Transaction-এর ডকুমেন্টেশন সমানভাবে ভালো রাখা উচিত, কারণ কোনটি Sample-এ পড়বে তা আগে থেকে জানা যায় না।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৫.   </w:t>
      </w:r>
      <w:r>
        <w:rPr>
          <w:b/>
          <w:bCs/>
          <w:color w:val="7A6023"/>
          <w:sz w:val="30"/>
          <w:szCs w:val="30"/>
        </w:rPr>
        <w:t>Buyer Audit (Social/Ethical Compliance)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অধিকাংশ আন্তর্জাতিক Buyer (H&amp;M, Zara, Walmart ইত্যাদি) নিজস্ব Social/Ethical Compliance Audit পরিচালনা করে বা Third-party Auditor (BSCI, WRAP, SEDEX ইত্যাদি) নিয়োগ করে, যাতে নিশ্চিত হওয়া যায় যে কারখানা শ্রম আইন, নিরাপত্তা মান ও নৈতিক Sourcing Standard মেনে চলছে।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Step-by-Step Workflow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Buyer/Third-party Auditor একটি Audit Schedule জানায় (কখনো কখনো Unannounced/Surprise Audit-ও হয়)।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Auditor কারখানা পরিদর্শন করে — Working Condition, Fire Safety, Worker Record, Overtime Log ইত্যাদি যাচাই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Commercial/HR/Compliance Department প্রয়োজনীয় ডকুমেন্ট (Wage Sheet, Attendance, Trade License ইত্যাদি) সরবরাহ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 শেষে একটি Score/Rating ও Corrective Action Plan (CAP) প্রদান করা হয়, যা নির্দিষ্ট সময়ের মধ্যে বাস্তবায়ন করতে হয়।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Required Documents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Trade License, Fire Safety Certificate, Wage Sheet, Attendance Record, Worker Grievance Log, পূর্ববর্তী Audit Report ও CAP।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HR/Compliance Department (প্রধান দায়িত্ব), Commercial Department (Buyer Communication ও Coordination)।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Common Errors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পূর্ববর্তী Audit-এর CAP সময়মতো বাস্তবায়ন না করা, যা পরবর্তী Audit-এ Repeat Finding হিসেবে গণ্য হয় এবং Score কমিয়ে দেয়।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Commercial Department-এর জন্য গুরুত্বপূর্ণ হলো Buyer Audit Score/Rating Order Volume-কে প্রভাবিত করতে পারে — তাই HR/Compliance-এর সাথে নিয়মিত যোগাযোগ রেখে Audit Readiness পর্যবেক্ষণ করা উচিত।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৬.   </w:t>
      </w:r>
      <w:r>
        <w:rPr>
          <w:b/>
          <w:bCs/>
          <w:color w:val="7A6023"/>
          <w:sz w:val="30"/>
          <w:szCs w:val="30"/>
        </w:rPr>
        <w:t>Customs Audit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Customs কর্তৃপক্ষ (National Board of Revenue) মাঝে মাঝে Post-Clearance Audit পরিচালনা করে, যেখানে পূর্ববর্তী কয়েক বছরের Import/Export BOE-র HS Code, Valuation ও Duty Payment-এর যথার্থতা পুনরায় যাচাই করা হয়।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Step-by-Step Workflow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Customs Audit Team একটি নির্দিষ্ট সময়কালের (যেমন গত ২ বছর) BOE তালিকা চেয়ে পাঠায়।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Commercial Department C&amp;F Agent-এর সহায়তায় সংশ্লিষ্ট সকল BOE, Invoice, Packing List সংগ্রহ করে জমা দেয়।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 Team HS Code Classification ও Declared Value-এর সঠিকতা যাচাই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কোনো অসামঞ্জস্য পাওয়া গেলে Additional Duty/Penalty দাবি করা হতে পারে, যা আপত্তি বা আলোচনার মাধ্যমে সমাধান করা যায়।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Required Documents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নির্দিষ্ট সময়কালের সকল BOE, Invoice, Packing List, IP/EXP Copy, HS Code Justification Document।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Commercial Department (Document Coordination), C&amp;F Agent (Technical Support), Finance Department (Penalty Negotiation, প্রয়োজনে)।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Volume-10-এ উল্লেখিত অভ্যাস — প্রতিটি BOE-র Digital Backup রাখা — এই ধরনের Retrospective Audit-এর সময় সবচেয়ে বেশি কাজে আসে, কারণ কয়েক বছর আগের Physical Document খুঁজে বের করা কঠিন হতে পারে।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৭.   </w:t>
      </w:r>
      <w:r>
        <w:rPr>
          <w:b/>
          <w:bCs/>
          <w:color w:val="7A6023"/>
          <w:sz w:val="30"/>
          <w:szCs w:val="30"/>
        </w:rPr>
        <w:t>BEPZA Audit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BEPZA প্রতি বছর EPZ-ভুক্ত প্রতিষ্ঠানের Bond Utilization, Import Permission (IP) ও Utilization Declaration (UD)-এর মধ্যে সামঞ্জস্য যাচাই করতে একটি Annual Reconciliation Audit পরিচালনা করে (বিস্তারিত: Volume-5)।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Step-by-Step Workflow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BEPZA একটি নির্দিষ্ট সময়সূচি জানিয়ে সম্পূর্ণ Bond Register ও সহায়ক ডকুমেন্ট চেয়ে পাঠায়।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Commercial Department সম্পূর্ণ বছরের সকল IP, Import BOE, UD, Export BOE একত্র করে জমা দেয়।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BEPZA Team প্রতিটি Item-এর Total Import vs Total Export Consumption মিলিয়ে দেখে (Wastage Norms বিবেচনায়)।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কোনো Unexplained Shortage থাকলে Commercial Department-কে ব্যাখ্যা দিতে হয় (দেখুন Volume-5, Volume-6 কেস স্টাডি ১৮)।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Required Documents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সম্পূর্ণ বছরের Bond Register, সকল IP/UD Copy, Import/Export BOE, Consumption Norms Documentation।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Commercial Department (প্রধান দায়িত্ব), Production Department (Consumption Data সমর্থন)।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BEPZA Audit-এর আগে একটি Self-Audit (Volume-5-এ উল্লেখিত) পরিচালনা করলে বেশিরভাগ সমস্যা আগে থেকেই ধরা পড়ে ও সমাধান করা যায়।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৮.   </w:t>
      </w:r>
      <w:r>
        <w:rPr>
          <w:b/>
          <w:bCs/>
          <w:color w:val="7A6023"/>
          <w:sz w:val="30"/>
          <w:szCs w:val="30"/>
        </w:rPr>
        <w:t>Bangladesh Bank Audit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Bangladesh Bank সরাসরি অথবা AD Bank-এর মাধ্যমে প্রতিষ্ঠানের Foreign Exchange Transaction (EXP Realization, Import Payment) সংক্রান্ত Compliance যাচাই করে, বিশেষত Overdue Export বা কোনো অস্বাভাবিক লেনদেন প্যাটার্ন থাকলে (বিস্তারিত: Volume-4)।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Step-by-Step Workflow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Bangladesh Bank (সাধারণত AD Bank-এর মাধ্যমে) নির্দিষ্ট EXP/Import LC-র বিপরীতে Explanation চায়।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Commercial Department সংশ্লিষ্ট EXP/LC-র সম্পূর্ণ History (Shipment, Document Negotiation, Realization/Payment Timeline) প্রস্তুত করে।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Overdue-এর ক্ষেত্রে Buyer Communication History ও Payment Plan Documentation জমা দেওয়া হয় (দেখুন Volume-6, কেস স্টাডি ১৭)।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Bank/Bangladesh Bank প্রদত্ত ব্যাখ্যা পর্যালোচনা করে বিষয়টি Close করে অথবা আরও তথ্য চায়।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Commercial Department (Documentation ও Explanation), Finance Department (Payment History Support)।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Volume-4-এ উল্লেখিত Internal Tracker ও Alert System ব্যবহার করে Overdue প্রতিরোধ করাই Bangladesh Bank Audit-এর সবচেয়ে ভালো প্রস্তুতি — কারণ প্রতিরোধ সবসময় প্রতিকারের চেয়ে সহজ।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৯.   </w:t>
      </w:r>
      <w:r>
        <w:rPr>
          <w:b/>
          <w:bCs/>
          <w:color w:val="7A6023"/>
          <w:sz w:val="30"/>
          <w:szCs w:val="30"/>
        </w:rPr>
        <w:t>Document Filing System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Theory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যেকোনো Audit-এর সাফল্য অনেকাংশে নির্ভর করে কত দ্রুত সঠিক ডকুমেন্ট খুঁজে বের করা যায় তার উপর। একটি সুসংগঠিত Filing System (Physical ও Digital উভয়) Audit Readiness-এর মূল ভিত্তি।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প্রস্তাবিত Filing কাঠামো</w:t>
      </w:r>
    </w:p>
    <w:tbl>
      <w:tblPr>
        <w:tblW w:w="950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3E45D1">
        <w:trPr>
          <w:tblHeader/>
        </w:trPr>
        <w:tc>
          <w:tcPr>
            <w:tcW w:w="28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ফাইল/ফোল্ডার</w:t>
            </w:r>
          </w:p>
        </w:tc>
        <w:tc>
          <w:tcPr>
            <w:tcW w:w="67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বিষয়বস্তু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LC-wise Folder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একটি LC-র PI থেকে BOE/PRC পর্যন্ত সকল ডকুমেন্ট এক জায়গায়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Bond Register Folder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বার্ষিক Bond Reconciliation-এর সকল সহায়ক ডকুমেন্ট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Audit History Folder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পূর্ববর্তী সকল Audit Report ও CAP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Buyer-wise Folder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প্রতিটি Buyer-এর Order History, Communication ও Compliance Record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Bank Correspondence Folder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সকল Bank-সংক্রান্ত চিঠি/ইমেইল ও Charge Statement</w:t>
            </w:r>
          </w:p>
        </w:tc>
      </w:tr>
    </w:tbl>
    <w:p w:rsidR="003E45D1" w:rsidRDefault="003E45D1">
      <w:pPr>
        <w:spacing w:after="160"/>
      </w:pP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Physical vs Digital Filing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Physical Filing — Original Document (LC, BOE, PRC) সংরক্ষণের জন্য, ক্রমিক নম্বর ও লেবেল অনুযায়ী সংগঠিত।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Digital Filing — প্রতিটি Physical Document-এর একটি Scanned Copy, ফোল্ডার কাঠামো Physical System-এর সাথে সামঞ্জস্যপূর্ণ রাখা।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Responsible Department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Commercial Department (দৈনিক Filing), Senior Executive (System Design ও Periodic Review)।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Tips &amp; Best Practices</w:t>
      </w: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প্রতিটি Document-এর Digital Copy তৈরি করার অভ্যাস (Volume-1 ও Volume-6-এ উল্লেখিত 'Missing BOE' কেস স্টাডি থেকে শেখা শিক্ষা) Filing System-এর একটি অপরিহার্য অংশ হওয়া উচিত।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১০.   </w:t>
      </w:r>
      <w:r>
        <w:rPr>
          <w:b/>
          <w:bCs/>
          <w:color w:val="7A6023"/>
          <w:sz w:val="30"/>
          <w:szCs w:val="30"/>
        </w:rPr>
        <w:t>Compliance Checklist — সম্পূর্ণ কাঠামো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দৈনিক Compliance অভ্যাস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প্রতিটি নতুন Transaction-এর ডকুমেন্ট সাথে সাথে Register-এ এন্ট্রি ও ফাইল করা।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Discrepancy বা অসামঞ্জস্য পাওয়া গেলে সাথে সাথে নোট করে সমাধান শুরু করা।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সাপ্তাহিক Compliance অভ্যাস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Volume-4-এর Internal Tracker Alert System পর্যালোচনা করা।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Pending BOE/EXP Submission-এর তালিকা যাচাই করা।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মাসিক Compliance অভ্যাস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Bond Register, LC Register, Import/Export Register Reconciliation।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Bank-এর সাথে Outstanding Statement Reconcile করা।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বার্ষিক Compliance অভ্যাস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BEPZA Bond Self-Audit।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পূর্ববর্তী সকল Audit-এর CAP Status পর্যালোচনা।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Filing System পর্যালোচনা ও প্রয়োজনে পুনর্গঠন।</w:t>
      </w:r>
    </w:p>
    <w:p w:rsidR="003E45D1" w:rsidRDefault="003E45D1">
      <w:pPr>
        <w:spacing w:after="120"/>
      </w:pP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সামগ্রিক পরামর্শ: </w:t>
      </w:r>
      <w:r>
        <w:rPr>
          <w:i/>
          <w:iCs/>
          <w:color w:val="2E2E2E"/>
          <w:sz w:val="21"/>
          <w:szCs w:val="21"/>
        </w:rPr>
        <w:t>Compliance কোনো এককালীন কাজ নয় — এটি একটি ধারাবাহিক অভ্যাস, যা দৈনিক থেকে বার্ষিক পর্যায় পর্যন্ত প্রতিটি স্তরে সমানভাবে গুরুত্বপূর্ণ।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১১.   </w:t>
      </w:r>
      <w:r>
        <w:rPr>
          <w:b/>
          <w:bCs/>
          <w:color w:val="7A6023"/>
          <w:sz w:val="30"/>
          <w:szCs w:val="30"/>
        </w:rPr>
        <w:t>Audit Document Master Matrix</w:t>
      </w:r>
    </w:p>
    <w:p w:rsidR="003E45D1" w:rsidRDefault="002232D7">
      <w:pPr>
        <w:spacing w:after="160" w:line="300" w:lineRule="auto"/>
        <w:jc w:val="both"/>
      </w:pPr>
      <w:r>
        <w:rPr>
          <w:color w:val="2E2E2E"/>
        </w:rPr>
        <w:t>নিচের টেবিলে বিভিন্ন Audit Type-এর জন্য প্রয়োজনীয় মূল ডকুমেন্টের একটি সারসংক্ষেপ দেওয়া হলো।</w:t>
      </w:r>
    </w:p>
    <w:p w:rsidR="003E45D1" w:rsidRDefault="003E45D1">
      <w:pPr>
        <w:spacing w:after="120"/>
      </w:pPr>
    </w:p>
    <w:tbl>
      <w:tblPr>
        <w:tblW w:w="950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3E45D1">
        <w:trPr>
          <w:tblHeader/>
        </w:trPr>
        <w:tc>
          <w:tcPr>
            <w:tcW w:w="28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Audit Type</w:t>
            </w:r>
          </w:p>
        </w:tc>
        <w:tc>
          <w:tcPr>
            <w:tcW w:w="67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মূল প্রয়োজনীয় ডকুমেন্ট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Internal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সকল Register, LC/BOE/PRC Copy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External Audit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Financial Statement, Bank Statement, LC/Import/Export Register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Buyer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Trade License, Fire Safety Certificate, Wage/Attendance Record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Customs Audit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নির্দিষ্ট সময়কালের BOE, Invoice, Packing List, HS Code Justification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BEPZA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Bond Register, IP/UD Copy, Import/Export BOE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Bangladesh Bank Audit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EXP/LC History, Realization/Payment Timeline, Buyer Communication</w:t>
            </w:r>
          </w:p>
        </w:tc>
      </w:tr>
    </w:tbl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১২.   </w:t>
      </w:r>
      <w:r>
        <w:rPr>
          <w:b/>
          <w:bCs/>
          <w:color w:val="7A6023"/>
          <w:sz w:val="30"/>
          <w:szCs w:val="30"/>
        </w:rPr>
        <w:t>বাস্তব অফিসের ইমেইল টেমপ্লেট</w:t>
      </w:r>
    </w:p>
    <w:p w:rsidR="003E45D1" w:rsidRDefault="002232D7">
      <w:pPr>
        <w:pStyle w:val="Heading3"/>
        <w:spacing w:before="180" w:after="100"/>
      </w:pPr>
      <w:r>
        <w:rPr>
          <w:b/>
          <w:bCs/>
          <w:color w:val="9A7B2F"/>
          <w:sz w:val="22"/>
          <w:szCs w:val="22"/>
        </w:rPr>
        <w:t>১. Audit Document Request-এর জবাব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45D1">
        <w:tc>
          <w:tcPr>
            <w:tcW w:w="9500" w:type="dxa"/>
            <w:tcBorders>
              <w:top w:val="single" w:sz="6" w:space="0" w:color="CFCFCF"/>
              <w:left w:val="single" w:sz="16" w:space="0" w:color="9A7B2F"/>
              <w:bottom w:val="single" w:sz="6" w:space="0" w:color="CFCFCF"/>
              <w:right w:val="single" w:sz="6" w:space="0" w:color="CFCFCF"/>
            </w:tcBorders>
            <w:shd w:val="clear" w:color="auto" w:fill="FAFAF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3E45D1" w:rsidRDefault="002232D7">
            <w:pPr>
              <w:spacing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To: </w:t>
            </w:r>
            <w:r>
              <w:rPr>
                <w:color w:val="2E2E2E"/>
                <w:sz w:val="19"/>
                <w:szCs w:val="19"/>
              </w:rPr>
              <w:t>BEPZA Audit Team</w:t>
            </w:r>
          </w:p>
          <w:p w:rsidR="003E45D1" w:rsidRDefault="002232D7">
            <w:pPr>
              <w:pBdr>
                <w:bottom w:val="single" w:sz="4" w:space="4" w:color="CFCFCF"/>
              </w:pBdr>
              <w:spacing w:after="12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Subject: </w:t>
            </w:r>
            <w:r>
              <w:rPr>
                <w:b/>
                <w:bCs/>
                <w:color w:val="7A6023"/>
                <w:sz w:val="19"/>
                <w:szCs w:val="19"/>
              </w:rPr>
              <w:t>Requested Documents — BEPZA Annual Bond Audit 2026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Dear Sir/Madam,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আপনাদের চাহিত ২০২৫ সালের সম্পূর্ণ Bond Register, সকল IP/UD Copy ও Import/Export BOE সংযুক্ত করা হলো।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কোনো অতিরিক্ত তথ্য বা স্পষ্টীকরণ প্রয়োজন হলে অনুগ্রহ করে জানাবেন।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ধন্যবাদান্তে, Sayful Islam | Executive, Commercial | Yunusco T&amp;A (BD) Limited</w:t>
            </w:r>
          </w:p>
        </w:tc>
      </w:tr>
    </w:tbl>
    <w:p w:rsidR="003E45D1" w:rsidRDefault="003E45D1">
      <w:pPr>
        <w:spacing w:after="200"/>
      </w:pPr>
    </w:p>
    <w:p w:rsidR="003E45D1" w:rsidRDefault="002232D7">
      <w:pPr>
        <w:pStyle w:val="Heading3"/>
        <w:spacing w:before="180" w:after="100"/>
      </w:pPr>
      <w:r>
        <w:rPr>
          <w:b/>
          <w:bCs/>
          <w:color w:val="9A7B2F"/>
          <w:sz w:val="22"/>
          <w:szCs w:val="22"/>
        </w:rPr>
        <w:t>২. Audit Finding-এর ব্যাখ্যা (Explanation Letter)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45D1">
        <w:tc>
          <w:tcPr>
            <w:tcW w:w="9500" w:type="dxa"/>
            <w:tcBorders>
              <w:top w:val="single" w:sz="6" w:space="0" w:color="CFCFCF"/>
              <w:left w:val="single" w:sz="16" w:space="0" w:color="9A7B2F"/>
              <w:bottom w:val="single" w:sz="6" w:space="0" w:color="CFCFCF"/>
              <w:right w:val="single" w:sz="6" w:space="0" w:color="CFCFCF"/>
            </w:tcBorders>
            <w:shd w:val="clear" w:color="auto" w:fill="FAFAF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3E45D1" w:rsidRDefault="002232D7">
            <w:pPr>
              <w:spacing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To: </w:t>
            </w:r>
            <w:r>
              <w:rPr>
                <w:color w:val="2E2E2E"/>
                <w:sz w:val="19"/>
                <w:szCs w:val="19"/>
              </w:rPr>
              <w:t>BEPZA Audit Team</w:t>
            </w:r>
          </w:p>
          <w:p w:rsidR="003E45D1" w:rsidRDefault="002232D7">
            <w:pPr>
              <w:pBdr>
                <w:bottom w:val="single" w:sz="4" w:space="4" w:color="CFCFCF"/>
              </w:pBdr>
              <w:spacing w:after="12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Subject: </w:t>
            </w:r>
            <w:r>
              <w:rPr>
                <w:b/>
                <w:bCs/>
                <w:color w:val="7A6023"/>
                <w:sz w:val="19"/>
                <w:szCs w:val="19"/>
              </w:rPr>
              <w:t>Explanation: Bond Balance Variance — Item Ref. TRM-2211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Dear Sir/Madam,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উপরোক্ত Item-এ চিহ্নিত ৩% Variance-এর কারণ পর্যালোচনা করে আমরা দেখেছি এটি একটি নির্দিষ্ট Style-এর Cutting Pattern-জনিত অতিরিক্ত Wastage থেকে হয়েছে (বিস্তারিত ব্যাখ্যা ও Production Report সংযুক্ত)।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ভবিষ্যতে এই ধরনের ঘটনা প্রতিরোধে আমরা একটি অতিরিক্ত Internal Review ধাপ যুক্ত করেছি।</w:t>
            </w:r>
          </w:p>
          <w:p w:rsidR="003E45D1" w:rsidRDefault="002232D7">
            <w:pPr>
              <w:spacing w:after="100" w:line="270" w:lineRule="auto"/>
            </w:pPr>
            <w:r>
              <w:rPr>
                <w:color w:val="2E2E2E"/>
                <w:sz w:val="19"/>
                <w:szCs w:val="19"/>
              </w:rPr>
              <w:t>ধন্যবাদান্তে, Sayful Islam | Executive, Commercial | Yunusco T&amp;A (BD) Limited</w:t>
            </w:r>
          </w:p>
        </w:tc>
      </w:tr>
    </w:tbl>
    <w:p w:rsidR="003E45D1" w:rsidRDefault="003E45D1">
      <w:pPr>
        <w:spacing w:after="200"/>
      </w:pP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টিপস: </w:t>
      </w:r>
      <w:r>
        <w:rPr>
          <w:i/>
          <w:iCs/>
          <w:color w:val="2E2E2E"/>
          <w:sz w:val="21"/>
          <w:szCs w:val="21"/>
        </w:rPr>
        <w:t>প্রতিটি ইমেইল টেমপ্লেট ব্যবহার করার সময় প্রকৃত তথ্য দিয়ে প্রতিস্থাপন করে নিতে হবে — এখানে দেওয়া তথ্য শুধুমাত্র শেখার উদ্দেশ্যে কাল্পনিক।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১৩.   </w:t>
      </w:r>
      <w:r>
        <w:rPr>
          <w:b/>
          <w:bCs/>
          <w:color w:val="7A6023"/>
          <w:sz w:val="30"/>
          <w:szCs w:val="30"/>
        </w:rPr>
        <w:t>সাধারণ ভুল ও Best Practices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সাধারণ ভুল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 আসার ঠিক আগে তাড়াহুড়ো করে ডকুমেন্ট গোছানো, নিয়মিত অভ্যাস না রাখা।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পূর্ববর্তী Audit-এর CAP (Corrective Action Plan) সময়মতো বাস্তবায়ন না করা।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Physical ও Digital Filing System-এর মধ্যে অসামঞ্জস্য থাকা।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 Finding-কে ব্যক্তিগত সমালোচনা হিসেবে নিয়ে Defensive হয়ে যাওয়া, সমাধানের দিকে মনোযোগ না দেওয়া।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Best Practices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Audit-Ready থাকাকে একটি দৈনন্দিন অভ্যাস বানানো, বার্ষিক ইভেন্ট নয়।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প্রতিটি Audit শেষে একটি Lessons-Learned Summary তৈরি করে টিমের সাথে শেয়ার করা।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Digital Backup সিস্টেম নিয়মিত আপডেট রাখা।</w:t>
      </w:r>
    </w:p>
    <w:p w:rsidR="003E45D1" w:rsidRDefault="003E45D1">
      <w:pPr>
        <w:spacing w:after="120"/>
      </w:pPr>
    </w:p>
    <w:p w:rsidR="003E45D1" w:rsidRDefault="002232D7">
      <w:pPr>
        <w:pBdr>
          <w:left w:val="single" w:sz="18" w:space="8" w:color="9A7B2F"/>
        </w:pBdr>
        <w:shd w:val="clear" w:color="auto" w:fill="F3EBD6"/>
        <w:spacing w:before="80" w:after="160"/>
        <w:ind w:left="100"/>
      </w:pPr>
      <w:r>
        <w:rPr>
          <w:b/>
          <w:bCs/>
          <w:color w:val="7A6023"/>
          <w:sz w:val="21"/>
          <w:szCs w:val="21"/>
        </w:rPr>
        <w:t xml:space="preserve">সামগ্রিক পরামর্শ: </w:t>
      </w:r>
      <w:r>
        <w:rPr>
          <w:i/>
          <w:iCs/>
          <w:color w:val="2E2E2E"/>
          <w:sz w:val="21"/>
          <w:szCs w:val="21"/>
        </w:rPr>
        <w:t>একটি প্রতিষ্ঠান যত বেশি 'সবসময় Audit-Ready' থাকার সংস্কৃতি গড়ে তুলতে পারে, ততই Audit তাদের জন্য কম চাপের এবং বেশি Value-Adding একটি প্রক্রিয়া হয়ে ওঠে।</w:t>
      </w:r>
    </w:p>
    <w:p w:rsidR="003E45D1" w:rsidRDefault="002232D7">
      <w:pPr>
        <w:pStyle w:val="Heading1"/>
        <w:pageBreakBefore/>
        <w:pBdr>
          <w:bottom w:val="single" w:sz="12" w:space="6" w:color="9A7B2F"/>
        </w:pBdr>
        <w:spacing w:after="240"/>
      </w:pPr>
      <w:r>
        <w:rPr>
          <w:b/>
          <w:bCs/>
          <w:color w:val="9A7B2F"/>
          <w:sz w:val="30"/>
          <w:szCs w:val="30"/>
        </w:rPr>
        <w:lastRenderedPageBreak/>
        <w:t xml:space="preserve">১৪.   </w:t>
      </w:r>
      <w:r>
        <w:rPr>
          <w:b/>
          <w:bCs/>
          <w:color w:val="7A6023"/>
          <w:sz w:val="30"/>
          <w:szCs w:val="30"/>
        </w:rPr>
        <w:t>Checklist, গ্লসারি ও প্রস্তুতকারক তথ্য</w:t>
      </w: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Audit Readiness — সংক্ষিপ্ত চেকলিস্ট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সকল Register হালনাগাদ ও প্রকৃত ডকুমেন্টের সাথে সামঞ্জস্যপূর্ণ কিনা।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Physical ও Digital Filing System সংগঠিত ও সহজে অনুসন্ধানযোগ্য কিনা।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পূর্ববর্তী সকল Audit-এর CAP বাস্তবায়িত হয়েছে কিনা।</w:t>
      </w:r>
    </w:p>
    <w:p w:rsidR="003E45D1" w:rsidRDefault="002232D7">
      <w:pPr>
        <w:spacing w:after="70" w:line="280" w:lineRule="auto"/>
        <w:ind w:left="260"/>
      </w:pPr>
      <w:r>
        <w:rPr>
          <w:b/>
          <w:bCs/>
          <w:color w:val="9A7B2F"/>
        </w:rPr>
        <w:t xml:space="preserve">✓  </w:t>
      </w:r>
      <w:r>
        <w:rPr>
          <w:color w:val="2E2E2E"/>
        </w:rPr>
        <w:t>Overdue/Discrepancy History-র স্পষ্ট ও ডকুমেন্টেড ব্যাখ্যা প্রস্তুত আছে কিনা।</w:t>
      </w:r>
    </w:p>
    <w:p w:rsidR="003E45D1" w:rsidRDefault="003E45D1">
      <w:pPr>
        <w:spacing w:after="160"/>
      </w:pPr>
    </w:p>
    <w:p w:rsidR="003E45D1" w:rsidRDefault="002232D7">
      <w:pPr>
        <w:pStyle w:val="Heading2"/>
        <w:spacing w:before="260" w:after="140"/>
      </w:pPr>
      <w:r>
        <w:rPr>
          <w:b/>
          <w:bCs/>
          <w:color w:val="7A6023"/>
          <w:sz w:val="25"/>
          <w:szCs w:val="25"/>
        </w:rPr>
        <w:t>গুরুত্বপূর্ণ শব্দ ও সংক্ষেপ</w:t>
      </w:r>
    </w:p>
    <w:tbl>
      <w:tblPr>
        <w:tblW w:w="950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3E45D1">
        <w:trPr>
          <w:tblHeader/>
        </w:trPr>
        <w:tc>
          <w:tcPr>
            <w:tcW w:w="28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শব্দ/সংক্ষেপ</w:t>
            </w:r>
          </w:p>
        </w:tc>
        <w:tc>
          <w:tcPr>
            <w:tcW w:w="6700" w:type="dxa"/>
            <w:shd w:val="clear" w:color="auto" w:fill="7A60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E45D1" w:rsidRDefault="00223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অর্থ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CAP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Corrective Action Plan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BSCI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Business Social Compliance Initiative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WRAP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Worldwide Responsible Accredited Production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SEDEX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Supplier Ethical Data Exchange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Post-Clearance Audit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Customs কর্তৃক পূর্ববর্তী Import/Export-এর Retrospective যাচাই</w:t>
            </w:r>
          </w:p>
        </w:tc>
      </w:tr>
      <w:tr w:rsidR="003E45D1">
        <w:tc>
          <w:tcPr>
            <w:tcW w:w="28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Audit Finding</w:t>
            </w:r>
          </w:p>
        </w:tc>
        <w:tc>
          <w:tcPr>
            <w:tcW w:w="6700" w:type="dxa"/>
            <w:shd w:val="clear" w:color="auto" w:fill="FBF6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Audit-এ চিহ্নিত অসামঞ্জস্য বা ত্রুটি</w:t>
            </w:r>
          </w:p>
        </w:tc>
      </w:tr>
      <w:tr w:rsidR="003E45D1"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Audit-Ready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E45D1" w:rsidRDefault="002232D7">
            <w:pPr>
              <w:spacing w:line="260" w:lineRule="auto"/>
            </w:pPr>
            <w:r>
              <w:rPr>
                <w:color w:val="2E2E2E"/>
                <w:sz w:val="20"/>
                <w:szCs w:val="20"/>
              </w:rPr>
              <w:t>যেকোনো সময় Audit-এর জন্য প্রস্তুত অবস্থা</w:t>
            </w:r>
          </w:p>
        </w:tc>
      </w:tr>
    </w:tbl>
    <w:p w:rsidR="003E45D1" w:rsidRDefault="003E45D1">
      <w:pPr>
        <w:spacing w:after="200"/>
      </w:pPr>
    </w:p>
    <w:p w:rsidR="00F06EE8" w:rsidRDefault="00F06EE8" w:rsidP="00F06EE8">
      <w:pPr>
        <w:spacing w:after="160" w:line="300" w:lineRule="auto"/>
        <w:jc w:val="both"/>
        <w:rPr>
          <w:color w:val="2E2E2E"/>
        </w:rPr>
      </w:pPr>
      <w:r>
        <w:rPr>
          <w:color w:val="2E2E2E"/>
        </w:rPr>
        <w:t xml:space="preserve">এই ডকুমেন্টটি </w:t>
      </w:r>
      <w:r w:rsidRPr="00756D5C">
        <w:rPr>
          <w:b/>
          <w:color w:val="2E2E2E"/>
        </w:rPr>
        <w:t>Commercial Department-</w:t>
      </w:r>
      <w:r>
        <w:rPr>
          <w:color w:val="2E2E2E"/>
        </w:rPr>
        <w:t>এর ব্যবহারের জন্য প্রস্তুত করা হয়েছে । কোনো সংযোজন, সংশোধন বা প্রশ্নের জন্য নিচের যোগাযোগ তথ্য ব্যবহার করা যেতে পারে ।</w:t>
      </w:r>
    </w:p>
    <w:p w:rsidR="00F06EE8" w:rsidRDefault="00F06EE8" w:rsidP="00F06EE8">
      <w:pPr>
        <w:spacing w:after="160" w:line="300" w:lineRule="auto"/>
        <w:jc w:val="both"/>
      </w:pPr>
    </w:p>
    <w:tbl>
      <w:tblPr>
        <w:tblW w:w="9504" w:type="dxa"/>
        <w:tblBorders>
          <w:top w:val="single" w:sz="10" w:space="0" w:color="9A7B2F"/>
          <w:left w:val="single" w:sz="10" w:space="0" w:color="9A7B2F"/>
          <w:bottom w:val="single" w:sz="10" w:space="0" w:color="9A7B2F"/>
          <w:right w:val="single" w:sz="10" w:space="0" w:color="9A7B2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4"/>
      </w:tblGrid>
      <w:tr w:rsidR="00F06EE8" w:rsidTr="00D111FA">
        <w:tc>
          <w:tcPr>
            <w:tcW w:w="9504" w:type="dxa"/>
            <w:shd w:val="clear" w:color="auto" w:fill="FBF6E9"/>
            <w:tcMar>
              <w:top w:w="260" w:type="dxa"/>
              <w:left w:w="300" w:type="dxa"/>
              <w:bottom w:w="260" w:type="dxa"/>
              <w:right w:w="300" w:type="dxa"/>
            </w:tcMar>
            <w:vAlign w:val="center"/>
          </w:tcPr>
          <w:p w:rsidR="00F06EE8" w:rsidRDefault="00F06EE8" w:rsidP="00D111FA">
            <w:pPr>
              <w:spacing w:after="80"/>
              <w:jc w:val="center"/>
            </w:pPr>
            <w:r>
              <w:rPr>
                <w:b/>
                <w:bCs/>
                <w:color w:val="7A6023"/>
                <w:sz w:val="27"/>
                <w:szCs w:val="27"/>
              </w:rPr>
              <w:t>Sayful Islam</w:t>
            </w:r>
          </w:p>
          <w:p w:rsidR="00F06EE8" w:rsidRDefault="00F06EE8" w:rsidP="00D111FA">
            <w:pPr>
              <w:spacing w:after="40"/>
              <w:jc w:val="center"/>
            </w:pPr>
            <w:r>
              <w:rPr>
                <w:i/>
                <w:iCs/>
                <w:color w:val="2E2E2E"/>
                <w:sz w:val="21"/>
                <w:szCs w:val="21"/>
              </w:rPr>
              <w:t>Executive | Commercial</w:t>
            </w:r>
          </w:p>
          <w:p w:rsidR="00F06EE8" w:rsidRDefault="00F06EE8" w:rsidP="00D111FA">
            <w:pPr>
              <w:spacing w:after="160"/>
              <w:jc w:val="center"/>
            </w:pPr>
            <w:r>
              <w:rPr>
                <w:b/>
                <w:bCs/>
                <w:color w:val="2E2E2E"/>
                <w:sz w:val="23"/>
                <w:szCs w:val="23"/>
              </w:rPr>
              <w:t>Yunusco T&amp;A (BD) Limited</w:t>
            </w:r>
          </w:p>
          <w:p w:rsidR="00F06EE8" w:rsidRDefault="00F06EE8" w:rsidP="00D111FA">
            <w:pPr>
              <w:spacing w:after="40"/>
              <w:jc w:val="center"/>
            </w:pPr>
            <w:r>
              <w:rPr>
                <w:color w:val="2E2E2E"/>
                <w:sz w:val="20"/>
                <w:szCs w:val="20"/>
              </w:rPr>
              <w:t>Cell: +88 01730051331</w:t>
            </w:r>
          </w:p>
          <w:p w:rsidR="00F06EE8" w:rsidRDefault="00F06EE8" w:rsidP="00D111FA">
            <w:pPr>
              <w:spacing w:after="40"/>
              <w:jc w:val="center"/>
            </w:pPr>
            <w:r>
              <w:rPr>
                <w:color w:val="2E2E2E"/>
                <w:sz w:val="20"/>
                <w:szCs w:val="20"/>
              </w:rPr>
              <w:t>Phone: +88 02 8878735, 37-40   |   Fax: +88 02 8878736</w:t>
            </w:r>
          </w:p>
          <w:p w:rsidR="00F06EE8" w:rsidRDefault="00F06EE8" w:rsidP="00D111FA">
            <w:pPr>
              <w:spacing w:after="40"/>
              <w:jc w:val="center"/>
            </w:pPr>
            <w:r>
              <w:rPr>
                <w:color w:val="2E2E2E"/>
                <w:sz w:val="20"/>
                <w:szCs w:val="20"/>
              </w:rPr>
              <w:t>Email: commercial1@dhk.yunusco.com</w:t>
            </w:r>
          </w:p>
          <w:p w:rsidR="00F06EE8" w:rsidRDefault="00F06EE8" w:rsidP="00D111FA">
            <w:pPr>
              <w:spacing w:after="40"/>
              <w:jc w:val="center"/>
            </w:pPr>
            <w:r>
              <w:rPr>
                <w:color w:val="9A7B2F"/>
                <w:sz w:val="20"/>
                <w:szCs w:val="20"/>
              </w:rPr>
              <w:t>www.yunusco.com</w:t>
            </w:r>
          </w:p>
          <w:p w:rsidR="00F06EE8" w:rsidRDefault="00F06EE8" w:rsidP="00D111FA">
            <w:pPr>
              <w:jc w:val="center"/>
            </w:pPr>
            <w:r>
              <w:rPr>
                <w:color w:val="2E2E2E"/>
                <w:sz w:val="19"/>
                <w:szCs w:val="19"/>
              </w:rPr>
              <w:t>Shanta Western Tower (9th Floor, #901), 186 Tejgaon I/A, Gulshan Link Road, Dhaka-1208, Bangladesh</w:t>
            </w:r>
          </w:p>
        </w:tc>
      </w:tr>
    </w:tbl>
    <w:p w:rsidR="00F06EE8" w:rsidRPr="00C12A7F" w:rsidRDefault="00F06EE8" w:rsidP="00F06EE8">
      <w:pPr>
        <w:spacing w:after="160" w:line="300" w:lineRule="auto"/>
        <w:jc w:val="center"/>
        <w:rPr>
          <w:b/>
          <w:i/>
          <w:iCs/>
          <w:color w:val="2E2E2E"/>
          <w:szCs w:val="20"/>
        </w:rPr>
      </w:pPr>
    </w:p>
    <w:p w:rsidR="00F06EE8" w:rsidRPr="00020473" w:rsidRDefault="00F06EE8" w:rsidP="00F06EE8">
      <w:pPr>
        <w:spacing w:after="160" w:line="300" w:lineRule="auto"/>
        <w:jc w:val="center"/>
        <w:rPr>
          <w:b/>
        </w:rPr>
      </w:pPr>
      <w:r w:rsidRPr="00020473">
        <w:rPr>
          <w:b/>
          <w:i/>
          <w:iCs/>
          <w:color w:val="2E2E2E"/>
          <w:sz w:val="20"/>
          <w:szCs w:val="20"/>
        </w:rPr>
        <w:t>— ডকুমেন্ট সমাপ্ত (End of Volume-</w:t>
      </w:r>
      <w:r>
        <w:rPr>
          <w:b/>
          <w:i/>
          <w:iCs/>
          <w:color w:val="2E2E2E"/>
          <w:sz w:val="20"/>
          <w:szCs w:val="20"/>
        </w:rPr>
        <w:t>15</w:t>
      </w:r>
      <w:r w:rsidRPr="00020473">
        <w:rPr>
          <w:b/>
          <w:i/>
          <w:iCs/>
          <w:color w:val="2E2E2E"/>
          <w:sz w:val="20"/>
          <w:szCs w:val="20"/>
        </w:rPr>
        <w:t>) —</w:t>
      </w:r>
    </w:p>
    <w:p w:rsidR="003E45D1" w:rsidRDefault="003E45D1" w:rsidP="00F06EE8">
      <w:pPr>
        <w:spacing w:after="160" w:line="300" w:lineRule="auto"/>
        <w:jc w:val="both"/>
      </w:pPr>
    </w:p>
    <w:sectPr w:rsidR="003E45D1" w:rsidSect="002478BD">
      <w:headerReference w:type="default" r:id="rId8"/>
      <w:footerReference w:type="default" r:id="rId9"/>
      <w:pgSz w:w="11907" w:h="16840"/>
      <w:pgMar w:top="1300" w:right="1000" w:bottom="1200" w:left="1000" w:header="708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054" w:rsidRDefault="00AE4054">
      <w:r>
        <w:separator/>
      </w:r>
    </w:p>
  </w:endnote>
  <w:endnote w:type="continuationSeparator" w:id="0">
    <w:p w:rsidR="00AE4054" w:rsidRDefault="00AE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5D1" w:rsidRDefault="002232D7">
    <w:pPr>
      <w:pBdr>
        <w:top w:val="single" w:sz="4" w:space="4" w:color="CFCFCF"/>
      </w:pBdr>
      <w:spacing w:before="40" w:after="20"/>
      <w:jc w:val="center"/>
    </w:pPr>
    <w:r>
      <w:rPr>
        <w:color w:val="2E2E2E"/>
        <w:sz w:val="14"/>
        <w:szCs w:val="14"/>
      </w:rPr>
      <w:t>Sayful Islam | Executive, Commercial | Yunusco T&amp;A (BD) Limited | Cell: +88 01730051331 | Email: commercial1@dhk.yunusco.com</w:t>
    </w:r>
  </w:p>
  <w:p w:rsidR="003E45D1" w:rsidRDefault="002232D7">
    <w:pPr>
      <w:jc w:val="center"/>
      <w:rPr>
        <w:color w:val="2E2E2E"/>
        <w:sz w:val="13"/>
        <w:szCs w:val="13"/>
      </w:rPr>
    </w:pPr>
    <w:r>
      <w:rPr>
        <w:color w:val="2E2E2E"/>
        <w:sz w:val="13"/>
        <w:szCs w:val="13"/>
      </w:rPr>
      <w:t>Shanta Western Tower (9th Floor, #901), 186 Tejgaon I/A, Gulshan Lin</w:t>
    </w:r>
    <w:r w:rsidR="00461579">
      <w:rPr>
        <w:color w:val="2E2E2E"/>
        <w:sz w:val="13"/>
        <w:szCs w:val="13"/>
      </w:rPr>
      <w:t xml:space="preserve">k Road, Dhaka-1208, Bangladesh </w:t>
    </w:r>
    <w:r>
      <w:rPr>
        <w:color w:val="2E2E2E"/>
        <w:sz w:val="13"/>
        <w:szCs w:val="13"/>
      </w:rPr>
      <w:t xml:space="preserve">| Phone: +88 02 8878735, 37-40 | Fax: +88 02 8878736 | </w:t>
    </w:r>
    <w:hyperlink r:id="rId1" w:history="1">
      <w:r w:rsidR="00461579" w:rsidRPr="00120225">
        <w:rPr>
          <w:rStyle w:val="Hyperlink"/>
          <w:sz w:val="13"/>
          <w:szCs w:val="13"/>
        </w:rPr>
        <w:t>www.yunusco.com</w:t>
      </w:r>
    </w:hyperlink>
  </w:p>
  <w:p w:rsidR="003E45D1" w:rsidRDefault="002232D7">
    <w:pPr>
      <w:spacing w:before="40"/>
      <w:jc w:val="center"/>
    </w:pPr>
    <w:r>
      <w:rPr>
        <w:color w:val="2E2E2E"/>
        <w:sz w:val="13"/>
        <w:szCs w:val="13"/>
      </w:rPr>
      <w:t xml:space="preserve">Page </w:t>
    </w:r>
    <w:r>
      <w:rPr>
        <w:color w:val="2E2E2E"/>
        <w:sz w:val="13"/>
        <w:szCs w:val="13"/>
      </w:rPr>
      <w:fldChar w:fldCharType="begin"/>
    </w:r>
    <w:r>
      <w:rPr>
        <w:color w:val="2E2E2E"/>
        <w:sz w:val="13"/>
        <w:szCs w:val="13"/>
      </w:rPr>
      <w:instrText>PAGE</w:instrText>
    </w:r>
    <w:r>
      <w:rPr>
        <w:color w:val="2E2E2E"/>
        <w:sz w:val="13"/>
        <w:szCs w:val="13"/>
      </w:rPr>
      <w:fldChar w:fldCharType="separate"/>
    </w:r>
    <w:r w:rsidR="006C7B8B">
      <w:rPr>
        <w:noProof/>
        <w:color w:val="2E2E2E"/>
        <w:sz w:val="13"/>
        <w:szCs w:val="13"/>
      </w:rPr>
      <w:t>16</w:t>
    </w:r>
    <w:r>
      <w:rPr>
        <w:color w:val="2E2E2E"/>
        <w:sz w:val="13"/>
        <w:szCs w:val="13"/>
      </w:rPr>
      <w:fldChar w:fldCharType="end"/>
    </w:r>
    <w:r>
      <w:rPr>
        <w:color w:val="2E2E2E"/>
        <w:sz w:val="13"/>
        <w:szCs w:val="13"/>
      </w:rPr>
      <w:t xml:space="preserve"> / </w:t>
    </w:r>
    <w:r>
      <w:rPr>
        <w:color w:val="2E2E2E"/>
        <w:sz w:val="13"/>
        <w:szCs w:val="13"/>
      </w:rPr>
      <w:fldChar w:fldCharType="begin"/>
    </w:r>
    <w:r>
      <w:rPr>
        <w:color w:val="2E2E2E"/>
        <w:sz w:val="13"/>
        <w:szCs w:val="13"/>
      </w:rPr>
      <w:instrText>NUMPAGES</w:instrText>
    </w:r>
    <w:r>
      <w:rPr>
        <w:color w:val="2E2E2E"/>
        <w:sz w:val="13"/>
        <w:szCs w:val="13"/>
      </w:rPr>
      <w:fldChar w:fldCharType="separate"/>
    </w:r>
    <w:r w:rsidR="006C7B8B">
      <w:rPr>
        <w:noProof/>
        <w:color w:val="2E2E2E"/>
        <w:sz w:val="13"/>
        <w:szCs w:val="13"/>
      </w:rPr>
      <w:t>16</w:t>
    </w:r>
    <w:r>
      <w:rPr>
        <w:color w:val="2E2E2E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054" w:rsidRDefault="00AE4054">
      <w:r>
        <w:separator/>
      </w:r>
    </w:p>
  </w:footnote>
  <w:footnote w:type="continuationSeparator" w:id="0">
    <w:p w:rsidR="00AE4054" w:rsidRDefault="00AE4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5D1" w:rsidRDefault="007D27E9" w:rsidP="006329D6">
    <w:pPr>
      <w:pBdr>
        <w:bottom w:val="single" w:sz="8" w:space="4" w:color="9A7B2F"/>
      </w:pBdr>
      <w:tabs>
        <w:tab w:val="right" w:pos="9900"/>
      </w:tabs>
    </w:pPr>
    <w:r>
      <w:rPr>
        <w:b/>
        <w:bCs/>
        <w:noProof/>
        <w:color w:val="7A6023"/>
        <w:sz w:val="16"/>
        <w:szCs w:val="16"/>
      </w:rPr>
      <w:drawing>
        <wp:inline distT="0" distB="0" distL="0" distR="0" wp14:anchorId="07F3BF99" wp14:editId="2D09F4EC">
          <wp:extent cx="365760" cy="313151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760" cy="313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232D7">
      <w:rPr>
        <w:b/>
        <w:bCs/>
        <w:color w:val="7A6023"/>
        <w:sz w:val="16"/>
        <w:szCs w:val="16"/>
      </w:rPr>
      <w:t xml:space="preserve">   COMMERCIAL BIBLE</w:t>
    </w:r>
    <w:r w:rsidR="002232D7">
      <w:tab/>
    </w:r>
    <w:r w:rsidR="002232D7">
      <w:rPr>
        <w:i/>
        <w:iCs/>
        <w:color w:val="2E2E2E"/>
        <w:sz w:val="16"/>
        <w:szCs w:val="16"/>
      </w:rPr>
      <w:t>Volume-</w:t>
    </w:r>
    <w:r w:rsidR="00ED764C">
      <w:rPr>
        <w:i/>
        <w:iCs/>
        <w:color w:val="2E2E2E"/>
        <w:sz w:val="16"/>
        <w:szCs w:val="16"/>
      </w:rPr>
      <w:t>15:</w:t>
    </w:r>
    <w:r w:rsidR="002232D7">
      <w:rPr>
        <w:i/>
        <w:iCs/>
        <w:color w:val="2E2E2E"/>
        <w:sz w:val="16"/>
        <w:szCs w:val="16"/>
      </w:rPr>
      <w:t xml:space="preserve"> Audit &amp; Compliance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3793D"/>
    <w:multiLevelType w:val="hybridMultilevel"/>
    <w:tmpl w:val="EA3A567E"/>
    <w:lvl w:ilvl="0" w:tplc="B052E11E">
      <w:start w:val="1"/>
      <w:numFmt w:val="bullet"/>
      <w:lvlText w:val="●"/>
      <w:lvlJc w:val="left"/>
      <w:pPr>
        <w:ind w:left="720" w:hanging="360"/>
      </w:pPr>
    </w:lvl>
    <w:lvl w:ilvl="1" w:tplc="E29C0582">
      <w:start w:val="1"/>
      <w:numFmt w:val="bullet"/>
      <w:lvlText w:val="○"/>
      <w:lvlJc w:val="left"/>
      <w:pPr>
        <w:ind w:left="1440" w:hanging="360"/>
      </w:pPr>
    </w:lvl>
    <w:lvl w:ilvl="2" w:tplc="927AB6CE">
      <w:start w:val="1"/>
      <w:numFmt w:val="bullet"/>
      <w:lvlText w:val="■"/>
      <w:lvlJc w:val="left"/>
      <w:pPr>
        <w:ind w:left="2160" w:hanging="360"/>
      </w:pPr>
    </w:lvl>
    <w:lvl w:ilvl="3" w:tplc="7AD271A8">
      <w:start w:val="1"/>
      <w:numFmt w:val="bullet"/>
      <w:lvlText w:val="●"/>
      <w:lvlJc w:val="left"/>
      <w:pPr>
        <w:ind w:left="2880" w:hanging="360"/>
      </w:pPr>
    </w:lvl>
    <w:lvl w:ilvl="4" w:tplc="9ADC538A">
      <w:start w:val="1"/>
      <w:numFmt w:val="bullet"/>
      <w:lvlText w:val="○"/>
      <w:lvlJc w:val="left"/>
      <w:pPr>
        <w:ind w:left="3600" w:hanging="360"/>
      </w:pPr>
    </w:lvl>
    <w:lvl w:ilvl="5" w:tplc="606ECA4E">
      <w:start w:val="1"/>
      <w:numFmt w:val="bullet"/>
      <w:lvlText w:val="■"/>
      <w:lvlJc w:val="left"/>
      <w:pPr>
        <w:ind w:left="4320" w:hanging="360"/>
      </w:pPr>
    </w:lvl>
    <w:lvl w:ilvl="6" w:tplc="A7D88E4E">
      <w:start w:val="1"/>
      <w:numFmt w:val="bullet"/>
      <w:lvlText w:val="●"/>
      <w:lvlJc w:val="left"/>
      <w:pPr>
        <w:ind w:left="5040" w:hanging="360"/>
      </w:pPr>
    </w:lvl>
    <w:lvl w:ilvl="7" w:tplc="AB60EFAE">
      <w:start w:val="1"/>
      <w:numFmt w:val="bullet"/>
      <w:lvlText w:val="●"/>
      <w:lvlJc w:val="left"/>
      <w:pPr>
        <w:ind w:left="5760" w:hanging="360"/>
      </w:pPr>
    </w:lvl>
    <w:lvl w:ilvl="8" w:tplc="6590D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F879F1"/>
    <w:multiLevelType w:val="hybridMultilevel"/>
    <w:tmpl w:val="DB362DFC"/>
    <w:lvl w:ilvl="0" w:tplc="8A600C02">
      <w:start w:val="1"/>
      <w:numFmt w:val="bullet"/>
      <w:lvlText w:val="•"/>
      <w:lvlJc w:val="left"/>
      <w:pPr>
        <w:ind w:left="360" w:hanging="260"/>
      </w:pPr>
    </w:lvl>
    <w:lvl w:ilvl="1" w:tplc="F32EE890">
      <w:numFmt w:val="decimal"/>
      <w:lvlText w:val=""/>
      <w:lvlJc w:val="left"/>
    </w:lvl>
    <w:lvl w:ilvl="2" w:tplc="67DAA094">
      <w:numFmt w:val="decimal"/>
      <w:lvlText w:val=""/>
      <w:lvlJc w:val="left"/>
    </w:lvl>
    <w:lvl w:ilvl="3" w:tplc="BC0CB312">
      <w:numFmt w:val="decimal"/>
      <w:lvlText w:val=""/>
      <w:lvlJc w:val="left"/>
    </w:lvl>
    <w:lvl w:ilvl="4" w:tplc="569C08DA">
      <w:numFmt w:val="decimal"/>
      <w:lvlText w:val=""/>
      <w:lvlJc w:val="left"/>
    </w:lvl>
    <w:lvl w:ilvl="5" w:tplc="D87CA5D4">
      <w:numFmt w:val="decimal"/>
      <w:lvlText w:val=""/>
      <w:lvlJc w:val="left"/>
    </w:lvl>
    <w:lvl w:ilvl="6" w:tplc="46E070E6">
      <w:numFmt w:val="decimal"/>
      <w:lvlText w:val=""/>
      <w:lvlJc w:val="left"/>
    </w:lvl>
    <w:lvl w:ilvl="7" w:tplc="B4FEFEF8">
      <w:numFmt w:val="decimal"/>
      <w:lvlText w:val=""/>
      <w:lvlJc w:val="left"/>
    </w:lvl>
    <w:lvl w:ilvl="8" w:tplc="0A8E3E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5D1"/>
    <w:rsid w:val="000F2F06"/>
    <w:rsid w:val="000F30F0"/>
    <w:rsid w:val="00126439"/>
    <w:rsid w:val="00184A7F"/>
    <w:rsid w:val="002232D7"/>
    <w:rsid w:val="002478BD"/>
    <w:rsid w:val="00310CD4"/>
    <w:rsid w:val="003666D8"/>
    <w:rsid w:val="003E45D1"/>
    <w:rsid w:val="00445DB4"/>
    <w:rsid w:val="00461579"/>
    <w:rsid w:val="004B2D97"/>
    <w:rsid w:val="0056117C"/>
    <w:rsid w:val="00592450"/>
    <w:rsid w:val="006042D1"/>
    <w:rsid w:val="006329D6"/>
    <w:rsid w:val="006C7B8B"/>
    <w:rsid w:val="007D27E9"/>
    <w:rsid w:val="007F7E12"/>
    <w:rsid w:val="009A5429"/>
    <w:rsid w:val="009E3556"/>
    <w:rsid w:val="00AE4054"/>
    <w:rsid w:val="00ED764C"/>
    <w:rsid w:val="00F0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AB7720-EF0E-40ED-B6B5-59D3954E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irmala UI" w:eastAsia="Nirmala UI" w:hAnsi="Nirmala U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6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EE8"/>
  </w:style>
  <w:style w:type="paragraph" w:styleId="Footer">
    <w:name w:val="footer"/>
    <w:basedOn w:val="Normal"/>
    <w:link w:val="FooterChar"/>
    <w:uiPriority w:val="99"/>
    <w:unhideWhenUsed/>
    <w:rsid w:val="00F06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unusc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2230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&amp; Compliance (Volume 15)</dc:title>
  <dc:creator>Yunusco T&amp;A (BD) Limited - Commercial Department</dc:creator>
  <cp:lastModifiedBy>Commercial1</cp:lastModifiedBy>
  <cp:revision>21</cp:revision>
  <cp:lastPrinted>2026-08-11T09:03:00Z</cp:lastPrinted>
  <dcterms:created xsi:type="dcterms:W3CDTF">2026-08-04T03:55:00Z</dcterms:created>
  <dcterms:modified xsi:type="dcterms:W3CDTF">2026-10-22T05:08:00Z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469915f8-3a70-45eb-a0bb-8c399d823935</vt:lpwstr>
  </property>
</Properties>
</file>