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50BC" w14:textId="6F7FE8B4" w:rsidR="001B6928" w:rsidRPr="00C35735" w:rsidRDefault="00C35735" w:rsidP="00C35735">
      <w:pPr>
        <w:jc w:val="center"/>
        <w:rPr>
          <w:rFonts w:ascii="Times New Roman" w:eastAsia="宋体" w:hAnsi="Times New Roman" w:cs="Times New Roman"/>
          <w:b/>
          <w:sz w:val="40"/>
        </w:rPr>
      </w:pPr>
      <w:r w:rsidRPr="00C35735">
        <w:rPr>
          <w:rFonts w:ascii="Times New Roman" w:eastAsia="宋体" w:hAnsi="Times New Roman" w:cs="Times New Roman"/>
          <w:b/>
          <w:sz w:val="40"/>
        </w:rPr>
        <w:t>TSCDY210123</w:t>
      </w:r>
    </w:p>
    <w:p w14:paraId="190F36E2" w14:textId="58DE86A8" w:rsidR="00C35735" w:rsidRDefault="00C35735" w:rsidP="00C35735">
      <w:pPr>
        <w:jc w:val="center"/>
        <w:rPr>
          <w:rFonts w:ascii="Times New Roman" w:eastAsia="宋体" w:hAnsi="Times New Roman" w:cs="Times New Roman"/>
          <w:b/>
          <w:sz w:val="40"/>
        </w:rPr>
      </w:pPr>
      <w:r w:rsidRPr="00C35735">
        <w:rPr>
          <w:rFonts w:ascii="Times New Roman" w:eastAsia="宋体" w:hAnsi="Times New Roman" w:cs="Times New Roman" w:hint="eastAsia"/>
          <w:b/>
          <w:sz w:val="40"/>
        </w:rPr>
        <w:t>单细胞分析报告</w:t>
      </w:r>
    </w:p>
    <w:p w14:paraId="1E7B7D78" w14:textId="77777777" w:rsidR="001B0DCC" w:rsidRDefault="001B0DCC" w:rsidP="001B0DC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6BE0AD73" w14:textId="20029785" w:rsidR="00C35735" w:rsidRPr="001B0DCC" w:rsidRDefault="001B6928" w:rsidP="001B0DC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方法：</w:t>
      </w:r>
    </w:p>
    <w:p w14:paraId="71DBCD22" w14:textId="02892842" w:rsidR="001B6928" w:rsidRPr="001B0DCC" w:rsidRDefault="001B0DCC" w:rsidP="001B0DC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单细胞</w:t>
      </w: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R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NA</w:t>
      </w: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-seq</w:t>
      </w: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分析</w:t>
      </w:r>
    </w:p>
    <w:p w14:paraId="3374A90B" w14:textId="545A89EA" w:rsidR="001B0DCC" w:rsidRDefault="001B0DCC" w:rsidP="001B0DCC">
      <w:pPr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</w:pP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“Seurat” R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包（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4.0.2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版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）用于进行单细胞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RNA-seq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分析。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质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量控制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(QC)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基于以下标准：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</w:t>
      </w:r>
      <w:r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(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1</w:t>
      </w:r>
      <w:r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)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排除在少于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3 </w:t>
      </w:r>
      <w:proofErr w:type="gramStart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个</w:t>
      </w:r>
      <w:proofErr w:type="gramEnd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细胞中检测到的基因；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(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2) </w:t>
      </w:r>
      <w:proofErr w:type="gramStart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排除总</w:t>
      </w:r>
      <w:proofErr w:type="gramEnd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检测基因少于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200 </w:t>
      </w:r>
      <w:proofErr w:type="gramStart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个</w:t>
      </w:r>
      <w:proofErr w:type="gramEnd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的细胞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；（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3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）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排除含有至少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20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%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线粒体基因的细胞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 xml:space="preserve"> </w:t>
      </w:r>
      <w:hyperlink r:id="rId6" w:history="1">
        <w:r>
          <w:rPr>
            <w:rStyle w:val="a7"/>
            <w:rFonts w:ascii="Georgia" w:hAnsi="Georgia"/>
            <w:color w:val="D54449"/>
            <w:sz w:val="23"/>
            <w:szCs w:val="23"/>
            <w:shd w:val="clear" w:color="auto" w:fill="FFFFFF"/>
          </w:rPr>
          <w:t>https://doi.org/10.3389/fimmu.2022.798583</w:t>
        </w:r>
      </w:hyperlink>
    </w:p>
    <w:p w14:paraId="654EEDB8" w14:textId="543F5B3C" w:rsidR="001B0DCC" w:rsidRDefault="001B0DCC" w:rsidP="001B0DCC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/>
          <w:color w:val="FF0000"/>
          <w:sz w:val="28"/>
          <w:szCs w:val="28"/>
        </w:rPr>
        <w:t>Quality control (QC) was based on following standards: (1) genes detected in fewer than 3 cells were excluded; (2) cells with fewer than 200 total detected genes were excluded;</w:t>
      </w:r>
      <w:r w:rsidRPr="001B0DCC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（</w:t>
      </w:r>
      <w:r w:rsidRPr="001B0DCC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3</w:t>
      </w:r>
      <w:r w:rsidRPr="001B0DCC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）</w:t>
      </w:r>
      <w:r w:rsidRPr="001B0DCC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cells with at least </w:t>
      </w:r>
      <w:r w:rsidRPr="001B0DCC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20</w:t>
      </w:r>
      <w:r w:rsidRPr="001B0DCC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% of mitochondrial genes were excluded</w:t>
      </w:r>
    </w:p>
    <w:p w14:paraId="5D04E217" w14:textId="2DF0E099" w:rsidR="001B0DCC" w:rsidRPr="001B0DCC" w:rsidRDefault="001B0DCC" w:rsidP="001B0DCC">
      <w:pPr>
        <w:ind w:firstLineChars="200" w:firstLine="560"/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使用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Seurat “</w:t>
      </w:r>
      <w:proofErr w:type="spellStart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scTransform</w:t>
      </w:r>
      <w:proofErr w:type="spellEnd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”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函数对数据集进行标准化，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使用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Harmony (v1.0) R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包</w:t>
      </w:r>
      <w:r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的</w:t>
      </w:r>
      <w:proofErr w:type="spellStart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RunHarmony</w:t>
      </w:r>
      <w:proofErr w:type="spellEnd"/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 xml:space="preserve"> 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函数纠正了两个合并复制之间的批次效应。</w:t>
      </w:r>
      <w:r w:rsidRPr="001B0DCC">
        <w:rPr>
          <w:rFonts w:ascii="Segoe UI" w:hAnsi="Segoe UI" w:cs="Segoe UI"/>
          <w:b/>
          <w:color w:val="222222"/>
          <w:shd w:val="clear" w:color="auto" w:fill="FFFFFF"/>
        </w:rPr>
        <w:t>https://doi.org/10.1038/s41467-020-18231-z</w:t>
      </w:r>
    </w:p>
    <w:p w14:paraId="0F4D72C6" w14:textId="0CE52567" w:rsid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Datasets were 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normalised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using Seurat “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scTransform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” function, and Batch effects between two pooled replicates were corrected by using the 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RunHarmony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function of the harmony (v1.0) R package.</w:t>
      </w:r>
    </w:p>
    <w:p w14:paraId="66AB6EC1" w14:textId="77777777" w:rsid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FF0000"/>
          <w:sz w:val="28"/>
          <w:szCs w:val="28"/>
        </w:rPr>
        <w:br w:type="page"/>
      </w:r>
    </w:p>
    <w:p w14:paraId="4DD88F66" w14:textId="5F093314" w:rsidR="001B0DCC" w:rsidRP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/>
          <w:b/>
          <w:sz w:val="28"/>
          <w:szCs w:val="28"/>
        </w:rPr>
        <w:lastRenderedPageBreak/>
        <w:t xml:space="preserve">Seurat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中的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FindAllMarkers</w:t>
      </w:r>
      <w:proofErr w:type="spellEnd"/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函数用于执行差异表达分析。</w:t>
      </w:r>
      <w:proofErr w:type="spell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FindAllMarkers</w:t>
      </w:r>
      <w:proofErr w:type="spellEnd"/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中使用了基于模型的单细胞</w:t>
      </w:r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转录组</w:t>
      </w:r>
      <w:proofErr w:type="gram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分析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(MAST)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包。</w:t>
      </w:r>
      <w:proofErr w:type="spellStart"/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DOI:https</w:t>
      </w:r>
      <w:proofErr w:type="spell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://doi.org/10.1128/jvi.00057-22</w:t>
      </w:r>
      <w:proofErr w:type="gramEnd"/>
    </w:p>
    <w:p w14:paraId="6ACE4B7C" w14:textId="5F0D97BD" w:rsidR="001B0DCC" w:rsidRDefault="001B0DCC" w:rsidP="001B0DCC">
      <w:pPr>
        <w:ind w:firstLineChars="200" w:firstLine="600"/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</w:pPr>
      <w:r w:rsidRPr="001B0DCC"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  <w:t xml:space="preserve">The </w:t>
      </w:r>
      <w:proofErr w:type="spellStart"/>
      <w:r w:rsidRPr="001B0DCC"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  <w:t>FindAllMarkers</w:t>
      </w:r>
      <w:proofErr w:type="spellEnd"/>
      <w:r w:rsidRPr="001B0DCC"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  <w:t xml:space="preserve"> function in Seurat was used to perform the differential expression analysis. The Model-Based Analysis of Single Cell Transcriptomics (MAST) package was used in </w:t>
      </w:r>
      <w:proofErr w:type="spellStart"/>
      <w:r w:rsidRPr="001B0DCC"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  <w:t>FindAllMarkers</w:t>
      </w:r>
      <w:proofErr w:type="spellEnd"/>
      <w:r w:rsidRPr="001B0DCC">
        <w:rPr>
          <w:rFonts w:ascii="Times New Roman" w:hAnsi="Times New Roman" w:cs="Times New Roman"/>
          <w:color w:val="FF0000"/>
          <w:sz w:val="30"/>
          <w:szCs w:val="30"/>
          <w:shd w:val="clear" w:color="auto" w:fill="FAFAFA"/>
        </w:rPr>
        <w:t>.</w:t>
      </w:r>
    </w:p>
    <w:p w14:paraId="5D6FF344" w14:textId="77777777" w:rsidR="001B0DCC" w:rsidRP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伪时间</w:t>
      </w:r>
      <w:proofErr w:type="gramEnd"/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分析</w:t>
      </w:r>
    </w:p>
    <w:p w14:paraId="435E15A6" w14:textId="241F954A" w:rsidR="001B0DCC" w:rsidRP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/>
          <w:b/>
          <w:sz w:val="28"/>
          <w:szCs w:val="28"/>
        </w:rPr>
        <w:t>Monocle3 v0.2.0 37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用于进行</w:t>
      </w:r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伪时间</w:t>
      </w:r>
      <w:proofErr w:type="gram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分析，以识别分化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Hepatic stellate cell (HSC)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中基因表达的差异，其中主要节点和轨迹节点是根据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RNA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速度分析的轨迹来识别的，基因被用于</w:t>
      </w:r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伪时间</w:t>
      </w:r>
      <w:proofErr w:type="gram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作图是根据</w:t>
      </w:r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伪时间细胞级</w:t>
      </w:r>
      <w:proofErr w:type="gram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的高变异基因确定的，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q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值小于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0.001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。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https://doi.org/10.1038/s41467-020-18231-z</w:t>
      </w:r>
    </w:p>
    <w:p w14:paraId="6A5B6558" w14:textId="77777777" w:rsidR="001B0DCC" w:rsidRP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Pseudotime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analysis</w:t>
      </w:r>
    </w:p>
    <w:p w14:paraId="2F589502" w14:textId="50B821DF" w:rsid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Monocle3 v0.2.037 was used to perform 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pseudotime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analysis to identify differences in gene expression in differentiating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Hepatic stellate cell (HSC)</w:t>
      </w:r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where the principal and trajectory nodes were identified based on trajectories from RNA velocity analysis, and genes were used for 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pseudotime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plotting was identified based on high-variance genes on the order of cells in </w:t>
      </w:r>
      <w:proofErr w:type="spellStart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pseudotime</w:t>
      </w:r>
      <w:proofErr w:type="spellEnd"/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with q value less than 0.001.</w:t>
      </w:r>
    </w:p>
    <w:p w14:paraId="42F84DEA" w14:textId="714CCB6F" w:rsidR="001B0DCC" w:rsidRDefault="001B0DCC" w:rsidP="001B0DCC">
      <w:pPr>
        <w:ind w:firstLineChars="200" w:firstLine="562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FF0000"/>
          <w:sz w:val="28"/>
          <w:szCs w:val="28"/>
        </w:rPr>
        <w:br w:type="page"/>
      </w:r>
    </w:p>
    <w:p w14:paraId="2A254581" w14:textId="0C0C9AE6" w:rsidR="001B0DCC" w:rsidRP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结果</w:t>
      </w:r>
    </w:p>
    <w:p w14:paraId="5A9F2785" w14:textId="39160C1A" w:rsidR="001B0DCC" w:rsidRPr="001B0DCC" w:rsidRDefault="001B0DCC" w:rsidP="001B0DCC">
      <w:pPr>
        <w:rPr>
          <w:rFonts w:ascii="Times New Roman" w:eastAsia="宋体" w:hAnsi="Times New Roman" w:cs="Times New Roman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sz w:val="28"/>
          <w:szCs w:val="28"/>
        </w:rPr>
        <w:t>按照方法的标准进行质控</w:t>
      </w:r>
    </w:p>
    <w:p w14:paraId="1DDB0449" w14:textId="21DBF122" w:rsidR="001B0DCC" w:rsidRDefault="001B0DCC" w:rsidP="001B0DCC">
      <w:pPr>
        <w:rPr>
          <w:rFonts w:ascii="Times New Roman" w:eastAsia="宋体" w:hAnsi="Times New Roman" w:cs="Times New Roman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sz w:val="28"/>
          <w:szCs w:val="28"/>
        </w:rPr>
        <w:t>不写入文章中</w:t>
      </w:r>
    </w:p>
    <w:p w14:paraId="0DBE784D" w14:textId="502C6E64" w:rsidR="001B0DCC" w:rsidRPr="001B0DCC" w:rsidRDefault="001B0DCC" w:rsidP="001B0DCC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质控前：</w:t>
      </w:r>
    </w:p>
    <w:p w14:paraId="6C892B1A" w14:textId="5393DDD9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3C57162A" wp14:editId="62A39849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nplot_before_q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C0C5" w14:textId="3FB2F15C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质控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后</w:t>
      </w:r>
    </w:p>
    <w:p w14:paraId="1E3721EA" w14:textId="4E361FF8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5E0F3E82" wp14:editId="1F0998C2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nplot_after_q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5C1A" w14:textId="3A008DA7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FF0000"/>
          <w:sz w:val="28"/>
          <w:szCs w:val="28"/>
        </w:rPr>
        <w:br w:type="page"/>
      </w:r>
    </w:p>
    <w:p w14:paraId="7F0B564E" w14:textId="258B9594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lastRenderedPageBreak/>
        <w:t>正文：</w:t>
      </w:r>
    </w:p>
    <w:p w14:paraId="42470FC4" w14:textId="63F5AFF9" w:rsidR="001B0DCC" w:rsidRPr="001B0DCC" w:rsidRDefault="001B0DCC" w:rsidP="001B0DC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cc</w:t>
      </w:r>
      <w:r w:rsidRPr="001B0DCC">
        <w:rPr>
          <w:rFonts w:ascii="Times New Roman" w:eastAsia="宋体" w:hAnsi="Times New Roman" w:cs="Times New Roman"/>
          <w:sz w:val="28"/>
          <w:szCs w:val="28"/>
        </w:rPr>
        <w:t>l4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和健康小鼠两个单细胞样本中获取了</w:t>
      </w:r>
      <w:r w:rsidRPr="001B0DCC">
        <w:rPr>
          <w:rFonts w:ascii="Times New Roman" w:eastAsia="宋体" w:hAnsi="Times New Roman" w:cs="Times New Roman"/>
          <w:sz w:val="28"/>
          <w:szCs w:val="28"/>
        </w:rPr>
        <w:t>7227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个细胞，质控后保留了</w:t>
      </w:r>
      <w:r w:rsidRPr="001B0DCC">
        <w:rPr>
          <w:rFonts w:ascii="Times New Roman" w:eastAsia="宋体" w:hAnsi="Times New Roman" w:cs="Times New Roman"/>
          <w:sz w:val="28"/>
          <w:szCs w:val="28"/>
        </w:rPr>
        <w:t>4071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个细胞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。我们采用了</w:t>
      </w:r>
      <w:r w:rsidRPr="001B0DCC">
        <w:rPr>
          <w:rFonts w:ascii="Times New Roman" w:eastAsia="宋体" w:hAnsi="Times New Roman" w:cs="Times New Roman"/>
          <w:sz w:val="28"/>
          <w:szCs w:val="28"/>
        </w:rPr>
        <w:t>UMAP</w:t>
      </w:r>
      <w:r w:rsidRPr="001B0DCC">
        <w:rPr>
          <w:rFonts w:ascii="Times New Roman" w:eastAsia="宋体" w:hAnsi="Times New Roman" w:cs="Times New Roman"/>
          <w:sz w:val="28"/>
          <w:szCs w:val="28"/>
        </w:rPr>
        <w:t>算法来降低这些数据集的维数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使用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Harmony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去除两个样本的</w:t>
      </w:r>
      <w:r w:rsidRPr="001B0DCC">
        <w:rPr>
          <w:rFonts w:ascii="Times New Roman" w:eastAsia="宋体" w:hAnsi="Times New Roman"/>
          <w:color w:val="3E3D40"/>
          <w:sz w:val="28"/>
          <w:szCs w:val="27"/>
          <w:shd w:val="clear" w:color="auto" w:fill="FFFFFF"/>
        </w:rPr>
        <w:t>批次效应</w:t>
      </w:r>
      <w:r w:rsidRPr="001B0DCC">
        <w:rPr>
          <w:rFonts w:ascii="Times New Roman" w:eastAsia="宋体" w:hAnsi="Times New Roman" w:hint="eastAsia"/>
          <w:color w:val="3E3D40"/>
          <w:sz w:val="28"/>
          <w:szCs w:val="27"/>
          <w:shd w:val="clear" w:color="auto" w:fill="FFFFFF"/>
        </w:rPr>
        <w:t>得到下图。</w:t>
      </w:r>
    </w:p>
    <w:p w14:paraId="49737003" w14:textId="5D5D3880" w:rsidR="001B0DCC" w:rsidRDefault="001B0DCC" w:rsidP="001B0DCC">
      <w:pPr>
        <w:jc w:val="center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185F6446" wp14:editId="53D45CD8">
            <wp:extent cx="4929484" cy="32861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ony_x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806" cy="3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7997" w14:textId="64CBBEFA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同时提供的批次对照图，没有整合前严重的批次效应</w:t>
      </w:r>
    </w:p>
    <w:p w14:paraId="34A24059" w14:textId="3EC7FA59" w:rsidR="001B0DCC" w:rsidRDefault="001B0DCC" w:rsidP="001B0DCC">
      <w:pPr>
        <w:jc w:val="center"/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18DBF523" wp14:editId="23725B75">
            <wp:extent cx="4472258" cy="29813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mony_bef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76" cy="29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E1A" w14:textId="752B6248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14:paraId="1C6648A3" w14:textId="606A5C02" w:rsidR="001B0DCC" w:rsidRPr="001B0DCC" w:rsidRDefault="001B0DCC" w:rsidP="001B0DCC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根据先前的报道和</w:t>
      </w:r>
      <w:r w:rsidRPr="001B0DCC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1B0DCC">
        <w:rPr>
          <w:rFonts w:ascii="Times New Roman" w:eastAsia="宋体" w:hAnsi="Times New Roman" w:cs="Times New Roman"/>
          <w:sz w:val="28"/>
          <w:szCs w:val="28"/>
        </w:rPr>
        <w:t>CellMarker</w:t>
      </w:r>
      <w:proofErr w:type="spellEnd"/>
      <w:r w:rsidRPr="001B0DC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B0DCC">
        <w:rPr>
          <w:rFonts w:ascii="Times New Roman" w:eastAsia="宋体" w:hAnsi="Times New Roman" w:cs="Times New Roman"/>
          <w:sz w:val="28"/>
          <w:szCs w:val="28"/>
        </w:rPr>
        <w:t>中标记的表达模式，我们将这些</w:t>
      </w:r>
      <w:proofErr w:type="gramStart"/>
      <w:r w:rsidRPr="001B0DCC">
        <w:rPr>
          <w:rFonts w:ascii="Times New Roman" w:eastAsia="宋体" w:hAnsi="Times New Roman" w:cs="Times New Roman"/>
          <w:sz w:val="28"/>
          <w:szCs w:val="28"/>
        </w:rPr>
        <w:t>簇</w:t>
      </w:r>
      <w:proofErr w:type="gramEnd"/>
      <w:r w:rsidRPr="001B0DCC">
        <w:rPr>
          <w:rFonts w:ascii="Times New Roman" w:eastAsia="宋体" w:hAnsi="Times New Roman" w:cs="Times New Roman"/>
          <w:sz w:val="28"/>
          <w:szCs w:val="28"/>
        </w:rPr>
        <w:t>手动注释为以下</w:t>
      </w:r>
      <w:r w:rsidRPr="001B0DC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Pr="001B0DCC">
        <w:rPr>
          <w:rFonts w:ascii="Times New Roman" w:eastAsia="宋体" w:hAnsi="Times New Roman" w:cs="Times New Roman"/>
          <w:sz w:val="28"/>
          <w:szCs w:val="28"/>
        </w:rPr>
        <w:t>种细胞类型</w:t>
      </w:r>
      <w:r w:rsidRPr="001B0DCC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B0DCC">
        <w:rPr>
          <w:rFonts w:ascii="Georgia" w:hAnsi="Georgia"/>
          <w:sz w:val="27"/>
          <w:szCs w:val="27"/>
          <w:shd w:val="clear" w:color="auto" w:fill="FFFFFF"/>
        </w:rPr>
        <w:t>巨噬细胞</w:t>
      </w:r>
      <w:r w:rsidRPr="001B0DCC">
        <w:rPr>
          <w:rFonts w:ascii="Georgia" w:hAnsi="Georgia" w:hint="eastAsia"/>
          <w:sz w:val="27"/>
          <w:szCs w:val="27"/>
          <w:shd w:val="clear" w:color="auto" w:fill="FFFFFF"/>
        </w:rPr>
        <w:t>（</w:t>
      </w:r>
      <w:r w:rsidRPr="001B0DCC">
        <w:rPr>
          <w:rFonts w:ascii="Georgia" w:hAnsi="Georgia"/>
          <w:sz w:val="27"/>
          <w:szCs w:val="27"/>
          <w:shd w:val="clear" w:color="auto" w:fill="FFFFFF"/>
        </w:rPr>
        <w:t>C</w:t>
      </w:r>
      <w:r w:rsidRPr="001B0DCC">
        <w:rPr>
          <w:rFonts w:ascii="Georgia" w:hAnsi="Georgia" w:hint="eastAsia"/>
          <w:sz w:val="27"/>
          <w:szCs w:val="27"/>
          <w:shd w:val="clear" w:color="auto" w:fill="FFFFFF"/>
        </w:rPr>
        <w:t>d</w:t>
      </w:r>
      <w:r w:rsidRPr="001B0DCC">
        <w:rPr>
          <w:rFonts w:ascii="Georgia" w:hAnsi="Georgia"/>
          <w:sz w:val="27"/>
          <w:szCs w:val="27"/>
          <w:shd w:val="clear" w:color="auto" w:fill="FFFFFF"/>
        </w:rPr>
        <w:t>68</w:t>
      </w:r>
      <w:r w:rsidRPr="001B0DCC">
        <w:rPr>
          <w:rFonts w:ascii="Georgia" w:hAnsi="Georgia" w:hint="eastAsia"/>
          <w:sz w:val="27"/>
          <w:szCs w:val="27"/>
          <w:shd w:val="clear" w:color="auto" w:fill="FFFFFF"/>
        </w:rPr>
        <w:t>）按下图进行依次描述。</w:t>
      </w:r>
    </w:p>
    <w:p w14:paraId="4428DD78" w14:textId="71E954ED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A8E577" wp14:editId="2D16539A">
            <wp:extent cx="5274310" cy="1201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EA08" w14:textId="14DE31F1" w:rsidR="001B0DCC" w:rsidRDefault="001B0DCC" w:rsidP="001B0DCC">
      <w:pP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此图为细胞类型图放入文章</w:t>
      </w:r>
    </w:p>
    <w:p w14:paraId="41CD4166" w14:textId="2B2EAAB1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05730041" wp14:editId="162704A1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ll_typ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E5C" w14:textId="78BFE704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以及这种展示图也要放</w:t>
      </w:r>
    </w:p>
    <w:p w14:paraId="673CF551" w14:textId="1873BAC1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2E2145EF" wp14:editId="7B7F88B7">
            <wp:extent cx="2419350" cy="161280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ll_DotPlo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48" cy="16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2F561626" wp14:editId="4C68668D">
            <wp:extent cx="2295525" cy="17217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ll_mark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180" cy="17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75C" w14:textId="7D015362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</w:p>
    <w:p w14:paraId="36E8E198" w14:textId="22D1DA8E" w:rsidR="001B0DCC" w:rsidRPr="001B0DCC" w:rsidRDefault="001B0DCC" w:rsidP="001B0DCC">
      <w:pPr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lastRenderedPageBreak/>
        <w:t>我也比较了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个小鼠间各种细胞类型的占比，需根据文献进行描述细胞数目减少的源于增加内容充实度。</w:t>
      </w:r>
    </w:p>
    <w:p w14:paraId="4A79A1F7" w14:textId="67BA4BDB" w:rsidR="001B0DCC" w:rsidRDefault="001B0DCC" w:rsidP="001B0DCC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0C81C5C0" wp14:editId="17E071A0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ll_b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61CF" w14:textId="0FDEB37E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FF0000"/>
          <w:sz w:val="28"/>
          <w:szCs w:val="28"/>
        </w:rPr>
        <w:br w:type="page"/>
      </w:r>
      <w:proofErr w:type="gramStart"/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伪时间</w:t>
      </w:r>
      <w:proofErr w:type="gramEnd"/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分析</w:t>
      </w:r>
    </w:p>
    <w:p w14:paraId="6D989774" w14:textId="6BD57305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可以借鉴</w:t>
      </w:r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https://doi.org/10.1038/s41598-022-08561-x</w:t>
      </w:r>
    </w:p>
    <w:p w14:paraId="526A6CB5" w14:textId="667B19A8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为了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了解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H</w:t>
      </w:r>
      <w:r>
        <w:rPr>
          <w:rFonts w:ascii="Times New Roman" w:eastAsia="宋体" w:hAnsi="Times New Roman" w:cs="Times New Roman"/>
          <w:b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ccl4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和健康小鼠间的差异，</w:t>
      </w:r>
      <w:r w:rsidRPr="001B0DCC">
        <w:rPr>
          <w:rFonts w:ascii="Times New Roman" w:eastAsia="宋体" w:hAnsi="Times New Roman" w:cs="Times New Roman" w:hint="eastAsia"/>
          <w:b/>
          <w:sz w:val="28"/>
          <w:szCs w:val="28"/>
        </w:rPr>
        <w:t>我们使用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 xml:space="preserve"> monocle 3 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对</w:t>
      </w:r>
      <w:r>
        <w:rPr>
          <w:rFonts w:ascii="Times New Roman" w:eastAsia="宋体" w:hAnsi="Times New Roman" w:cs="Times New Roman"/>
          <w:b/>
          <w:sz w:val="28"/>
          <w:szCs w:val="28"/>
        </w:rPr>
        <w:t>HSC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细胞</w:t>
      </w:r>
      <w:r w:rsidRPr="001B0DCC">
        <w:rPr>
          <w:rFonts w:ascii="Times New Roman" w:eastAsia="宋体" w:hAnsi="Times New Roman" w:cs="Times New Roman"/>
          <w:b/>
          <w:sz w:val="28"/>
          <w:szCs w:val="28"/>
        </w:rPr>
        <w:t>群进行</w:t>
      </w:r>
      <w:proofErr w:type="gramStart"/>
      <w:r w:rsidRPr="001B0DCC">
        <w:rPr>
          <w:rFonts w:ascii="Times New Roman" w:eastAsia="宋体" w:hAnsi="Times New Roman" w:cs="Times New Roman"/>
          <w:b/>
          <w:sz w:val="28"/>
          <w:szCs w:val="28"/>
        </w:rPr>
        <w:t>伪时间</w:t>
      </w:r>
      <w:proofErr w:type="gramEnd"/>
      <w:r w:rsidRPr="001B0DCC">
        <w:rPr>
          <w:rFonts w:ascii="Times New Roman" w:eastAsia="宋体" w:hAnsi="Times New Roman" w:cs="Times New Roman"/>
          <w:b/>
          <w:sz w:val="28"/>
          <w:szCs w:val="28"/>
        </w:rPr>
        <w:t>轨迹分析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，我们根据分化特征发现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ccl4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中的</w:t>
      </w:r>
      <w:r>
        <w:rPr>
          <w:rFonts w:ascii="Times New Roman" w:eastAsia="宋体" w:hAnsi="Times New Roman" w:cs="Times New Roman"/>
          <w:b/>
          <w:sz w:val="28"/>
          <w:szCs w:val="28"/>
        </w:rPr>
        <w:t>HSC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在不断分化</w:t>
      </w:r>
    </w:p>
    <w:p w14:paraId="7353FFEA" w14:textId="53753476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这张图是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H</w:t>
      </w:r>
      <w:r>
        <w:rPr>
          <w:rFonts w:ascii="Times New Roman" w:eastAsia="宋体" w:hAnsi="Times New Roman" w:cs="Times New Roman"/>
          <w:b/>
          <w:color w:val="FF0000"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umap</w:t>
      </w:r>
      <w:proofErr w:type="spellEnd"/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图</w:t>
      </w:r>
    </w:p>
    <w:p w14:paraId="2364B997" w14:textId="494CA45D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00DC9A91" wp14:editId="3FEB0A5F">
            <wp:extent cx="3957876" cy="263842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l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64" cy="26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57DB" w14:textId="3BF32A50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这样是</w:t>
      </w:r>
      <w:r w:rsidRPr="001B0DC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Monocle3</w:t>
      </w:r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的</w:t>
      </w:r>
      <w:proofErr w:type="gramStart"/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伪时间</w:t>
      </w:r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图</w:t>
      </w:r>
      <w:proofErr w:type="gramEnd"/>
    </w:p>
    <w:p w14:paraId="77081CBC" w14:textId="4926B559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1CF67B0D" wp14:editId="2BE69E1E">
            <wp:extent cx="4124325" cy="30934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82" cy="30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E1F5" w14:textId="6C7C358D" w:rsidR="001B0DCC" w:rsidRDefault="001B0DCC" w:rsidP="001B0DCC">
      <w:pPr>
        <w:rPr>
          <w:rFonts w:ascii="Times New Roman" w:eastAsia="宋体" w:hAnsi="Times New Roman" w:cs="Times New Roman" w:hint="eastAsia"/>
          <w:b/>
          <w:noProof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lastRenderedPageBreak/>
        <w:t>为了研究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Gata3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ccl4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和健康样本的异质性，我们可视化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Gata3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ccl4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和健康样本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的分化表达状况，发现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H</w: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细胞中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Gata3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在</w: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t>CC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l4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小鼠中随着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H</w: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的不断分化表达。同时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Hm</w: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t>gb1</w:t>
      </w: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t>也有同样的趋势</w:t>
      </w:r>
    </w:p>
    <w:p w14:paraId="76B2766B" w14:textId="3D5A61D3" w:rsidR="001B0DCC" w:rsidRDefault="001B0DCC" w:rsidP="001B0DCC">
      <w:pP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  <w:t>描述可参考：</w:t>
      </w:r>
    </w:p>
    <w:p w14:paraId="65518D29" w14:textId="5D794862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noProof/>
          <w:color w:val="FF0000"/>
          <w:sz w:val="28"/>
          <w:szCs w:val="28"/>
        </w:rPr>
      </w:pPr>
      <w:r w:rsidRPr="001B0DCC">
        <w:rPr>
          <w:rFonts w:ascii="Times New Roman" w:eastAsia="宋体" w:hAnsi="Times New Roman" w:cs="Times New Roman"/>
          <w:b/>
          <w:noProof/>
          <w:color w:val="FF0000"/>
          <w:sz w:val="28"/>
          <w:szCs w:val="28"/>
        </w:rPr>
        <w:t>https://cancerci.biomedcentral.com/articles/10.1186/s12935-021-02154-w</w:t>
      </w:r>
    </w:p>
    <w:p w14:paraId="1B760355" w14:textId="7C6CEBE7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70D61AB1" wp14:editId="54A42573">
            <wp:extent cx="3619209" cy="271462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eudotime_Gata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3" cy="27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7AF" w14:textId="741F4BB8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E4C1CE6" wp14:editId="54D2894A">
            <wp:extent cx="3867150" cy="290059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eudotime_Hmgb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03" cy="29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C874" w14:textId="49792FB1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14:paraId="492775D7" w14:textId="17DD5E21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</w:pPr>
      <w:bookmarkStart w:id="0" w:name="_GoBack"/>
      <w:r w:rsidRPr="001B0DCC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lastRenderedPageBreak/>
        <w:t>自噬基因的趋势，根据上面的方式在结果的对应的章节插入描述</w:t>
      </w:r>
    </w:p>
    <w:bookmarkEnd w:id="0"/>
    <w:p w14:paraId="0F6925B5" w14:textId="1BB44AA2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321AE038" wp14:editId="2C8E3649">
            <wp:extent cx="5105400" cy="38293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seudotime_Atg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17" cy="38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D2FF" w14:textId="77777777" w:rsidR="001B0DCC" w:rsidRDefault="001B0DCC" w:rsidP="001B0DCC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6E9FFCC5" w14:textId="216A2C00" w:rsidR="001B0DCC" w:rsidRPr="001B0DCC" w:rsidRDefault="001B0DCC" w:rsidP="001B0DCC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78D1B23C" wp14:editId="68E7D884">
            <wp:extent cx="4914506" cy="368617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seudotime_Pte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21" cy="36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CC" w:rsidRPr="001B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035AC" w14:textId="77777777" w:rsidR="00C014BB" w:rsidRDefault="00C014BB" w:rsidP="00C35735">
      <w:r>
        <w:separator/>
      </w:r>
    </w:p>
  </w:endnote>
  <w:endnote w:type="continuationSeparator" w:id="0">
    <w:p w14:paraId="1B47C4C7" w14:textId="77777777" w:rsidR="00C014BB" w:rsidRDefault="00C014BB" w:rsidP="00C3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CE38A" w14:textId="77777777" w:rsidR="00C014BB" w:rsidRDefault="00C014BB" w:rsidP="00C35735">
      <w:r>
        <w:separator/>
      </w:r>
    </w:p>
  </w:footnote>
  <w:footnote w:type="continuationSeparator" w:id="0">
    <w:p w14:paraId="1496864E" w14:textId="77777777" w:rsidR="00C014BB" w:rsidRDefault="00C014BB" w:rsidP="00C35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8C"/>
    <w:rsid w:val="0007391A"/>
    <w:rsid w:val="001B0DCC"/>
    <w:rsid w:val="001B6928"/>
    <w:rsid w:val="0028047A"/>
    <w:rsid w:val="00452E8C"/>
    <w:rsid w:val="00C014BB"/>
    <w:rsid w:val="00C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EE0BA"/>
  <w15:chartTrackingRefBased/>
  <w15:docId w15:val="{78004AB2-86F1-4910-A68F-8BA499A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73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B0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doi.org/10.3389/fimmu.2022.79858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</dc:creator>
  <cp:keywords/>
  <dc:description/>
  <cp:lastModifiedBy>scholar</cp:lastModifiedBy>
  <cp:revision>1</cp:revision>
  <dcterms:created xsi:type="dcterms:W3CDTF">2022-04-28T09:37:00Z</dcterms:created>
  <dcterms:modified xsi:type="dcterms:W3CDTF">2022-04-29T03:21:00Z</dcterms:modified>
</cp:coreProperties>
</file>