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93" w:type="dxa"/>
        <w:tblBorders>
          <w:top w:val="nil"/>
          <w:left w:val="nil"/>
          <w:bottom w:val="nil"/>
          <w:insideH w:val="nil"/>
          <w:right w:val="nil"/>
          <w:insideV w:val="nil"/>
        </w:tblBorders>
        <w:tblCellMar>
          <w:top w:w="0" w:type="dxa"/>
          <w:left w:w="108" w:type="dxa"/>
          <w:bottom w:w="0" w:type="dxa"/>
          <w:right w:w="108" w:type="dxa"/>
        </w:tblCellMar>
      </w:tblPr>
      <w:tblGrid>
        <w:gridCol w:w="1031"/>
        <w:gridCol w:w="1290"/>
        <w:gridCol w:w="1187"/>
        <w:gridCol w:w="1991"/>
      </w:tblGrid>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n</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CPU</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GPU</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Speed-up (CPU/GPU)</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1.31E-05</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0.00255489</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0.005132511</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256</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9.68E-05</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0.00492215</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0.019665776</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512</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0.000121117</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0.00494409</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0.024497329</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1024</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0.000178814</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0.00496101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0.03604387</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2048</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0.000295877</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0.00506306</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0.058438375</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4096</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0.000552893</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0.00513697</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0.107630179</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8192</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0.00109696</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0.0055871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0.196337993</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16384</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0.00227213</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0.00665188</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0.341577118</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32768</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0.00476503</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0.0115521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0.412481713</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65536</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0.0100169</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0.024091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0.41579428</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131072</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0.020997</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0.0319879</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0.656404453</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262144</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0.0442622</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0.0485239</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0.912173177</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524288</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0.0932498</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0.0844591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1.104082331</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1048576</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0.195943</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0.158831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1.233657158</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2097152</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0.413011</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0.288534</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1.431411896</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4194304</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0.86497</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0.551512</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1.56836116</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8388608</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1.8062</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1.07787</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1.675712284</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16777216</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3.76676</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2.28211</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1.650560227</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33554432</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7.85666</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4.54696</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1.727892922</w:t>
            </w:r>
          </w:p>
        </w:tc>
      </w:tr>
      <w:tr>
        <w:trPr>
          <w:trHeight w:val="300" w:hRule="atLeast"/>
          <w:cantSplit w:val="false"/>
        </w:trPr>
        <w:tc>
          <w:tcPr>
            <w:tcW w:w="10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67108864</w:t>
            </w:r>
          </w:p>
        </w:tc>
        <w:tc>
          <w:tcPr>
            <w:tcW w:w="129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16.4712</w:t>
            </w:r>
          </w:p>
        </w:tc>
        <w:tc>
          <w:tcPr>
            <w:tcW w:w="1187"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9.06419</w:t>
            </w:r>
          </w:p>
        </w:tc>
        <w:tc>
          <w:tcPr>
            <w:tcW w:w="199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1.817172853</w:t>
            </w:r>
          </w:p>
        </w:tc>
      </w:tr>
    </w:tbl>
    <w:p>
      <w:pPr>
        <w:pStyle w:val="Normal"/>
        <w:rPr/>
      </w:pPr>
      <w:r>
        <w:rPr/>
      </w:r>
    </w:p>
    <w:p>
      <w:pPr>
        <w:pStyle w:val="Normal"/>
        <w:rPr/>
      </w:pPr>
      <w:r>
        <w:rPr/>
        <w:drawing>
          <wp:inline distT="0" distB="0" distL="0" distR="0">
            <wp:extent cx="5943600" cy="360616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drawing>
          <wp:inline distT="0" distB="0" distL="0" distR="0">
            <wp:extent cx="5943600" cy="360616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t>A speed up on the GPU compared to a CPU sort algorithm occurs on array sizes approximately larger than 400000. This is an array size of about 1.5MB. The GPU speed up gradually increases as the array size gets larger. At smaller array sizes, the kernel execution overhead requires much more computational time compared to the sorting computation and takes up most of the time in the entire process. Compared to the CPU execution overhead, the GPU kernel execution overhead takes much more time. However for larger arrays, the GPU is able to do much more computation in a shorter amount of time due to having more SIMD vectors compared to the CPU. The amount of calculation for sorting takes over the overhead time and computation.</w:t>
      </w:r>
    </w:p>
    <w:sectPr>
      <w:headerReference w:type="default" r:id="rId4"/>
      <w:type w:val="nextPage"/>
      <w:pgSz w:w="12240" w:h="15840"/>
      <w:pgMar w:left="1440" w:right="1440" w:header="1440" w:top="2473"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Sriharsha Ayinala</w:t>
    </w:r>
  </w:p>
  <w:p>
    <w:pPr>
      <w:pStyle w:val="Header"/>
      <w:jc w:val="right"/>
      <w:rPr/>
    </w:pPr>
    <w:r>
      <w:rPr/>
      <w:t>1378833</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c48fe"/>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0c48fe"/>
    <w:basedOn w:val="Normal"/>
    <w:pPr>
      <w:spacing w:lineRule="auto" w:line="240" w:before="0" w:after="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Sorting Times of CPU (Quicksort) vs GPU (Radixsort)</a:t>
            </a:r>
          </a:p>
        </c:rich>
      </c:tx>
      <c:layout/>
    </c:title>
    <c:plotArea>
      <c:layout/>
      <c:lineChart>
        <c:grouping val="standard"/>
        <c:ser>
          <c:idx val="0"/>
          <c:order val="0"/>
          <c:tx>
            <c:strRef>
              <c:f>label 0</c:f>
              <c:strCache>
                <c:ptCount val="1"/>
                <c:pt idx="0">
                  <c:v>CPU</c:v>
                </c:pt>
              </c:strCache>
            </c:strRef>
          </c:tx>
          <c:spPr>
            <a:solidFill>
              <a:srgbClr val="98b855"/>
            </a:solidFill>
            <a:ln w="28440">
              <a:solidFill>
                <a:srgbClr val="98b855"/>
              </a:solidFill>
              <a:round/>
            </a:ln>
          </c:spPr>
          <c:marker>
            <c:symbol val="none"/>
          </c:marker>
          <c:dLbls>
            <c:showLegendKey val="0"/>
            <c:showVal val="0"/>
            <c:showCatName val="0"/>
            <c:showSerName val="0"/>
            <c:showPercent val="0"/>
          </c:dLbls>
          <c:cat>
            <c:strRef>
              <c:f>categories</c:f>
              <c:strCache>
                <c:ptCount val="20"/>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33554432</c:v>
                </c:pt>
                <c:pt idx="19">
                  <c:v>67108864</c:v>
                </c:pt>
              </c:strCache>
            </c:strRef>
          </c:cat>
          <c:val>
            <c:numRef>
              <c:f>0</c:f>
              <c:numCache>
                <c:formatCode>General</c:formatCode>
                <c:ptCount val="20"/>
                <c:pt idx="0">
                  <c:v>1.3113E-005</c:v>
                </c:pt>
                <c:pt idx="1">
                  <c:v>9.67979E-005</c:v>
                </c:pt>
                <c:pt idx="2">
                  <c:v>0.000121117</c:v>
                </c:pt>
                <c:pt idx="3">
                  <c:v>0.000178814</c:v>
                </c:pt>
                <c:pt idx="4">
                  <c:v>0.000295877</c:v>
                </c:pt>
                <c:pt idx="5">
                  <c:v>0.000552893</c:v>
                </c:pt>
                <c:pt idx="6">
                  <c:v>0.00109696</c:v>
                </c:pt>
                <c:pt idx="7">
                  <c:v>0.00227213</c:v>
                </c:pt>
                <c:pt idx="8">
                  <c:v>0.00476503</c:v>
                </c:pt>
                <c:pt idx="9">
                  <c:v>0.0100169</c:v>
                </c:pt>
                <c:pt idx="10">
                  <c:v>0.020997</c:v>
                </c:pt>
                <c:pt idx="11">
                  <c:v>0.0442622</c:v>
                </c:pt>
                <c:pt idx="12">
                  <c:v>0.0932498</c:v>
                </c:pt>
                <c:pt idx="13">
                  <c:v>0.195943</c:v>
                </c:pt>
                <c:pt idx="14">
                  <c:v>0.413011</c:v>
                </c:pt>
                <c:pt idx="15">
                  <c:v>0.86497</c:v>
                </c:pt>
                <c:pt idx="16">
                  <c:v>1.8062</c:v>
                </c:pt>
                <c:pt idx="17">
                  <c:v>3.76676</c:v>
                </c:pt>
                <c:pt idx="18">
                  <c:v>7.85666</c:v>
                </c:pt>
                <c:pt idx="19">
                  <c:v>16.4712</c:v>
                </c:pt>
              </c:numCache>
            </c:numRef>
          </c:val>
        </c:ser>
        <c:ser>
          <c:idx val="1"/>
          <c:order val="1"/>
          <c:tx>
            <c:strRef>
              <c:f>label 1</c:f>
              <c:strCache>
                <c:ptCount val="1"/>
                <c:pt idx="0">
                  <c:v>GPU</c:v>
                </c:pt>
              </c:strCache>
            </c:strRef>
          </c:tx>
          <c:spPr>
            <a:solidFill>
              <a:srgbClr val="7d5fa0"/>
            </a:solidFill>
            <a:ln w="28440">
              <a:solidFill>
                <a:srgbClr val="7d5fa0"/>
              </a:solidFill>
              <a:round/>
            </a:ln>
          </c:spPr>
          <c:marker>
            <c:symbol val="none"/>
          </c:marker>
          <c:dLbls>
            <c:showLegendKey val="0"/>
            <c:showVal val="0"/>
            <c:showCatName val="0"/>
            <c:showSerName val="0"/>
            <c:showPercent val="0"/>
          </c:dLbls>
          <c:cat>
            <c:strRef>
              <c:f>categories</c:f>
              <c:strCache>
                <c:ptCount val="20"/>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33554432</c:v>
                </c:pt>
                <c:pt idx="19">
                  <c:v>67108864</c:v>
                </c:pt>
              </c:strCache>
            </c:strRef>
          </c:cat>
          <c:val>
            <c:numRef>
              <c:f>1</c:f>
              <c:numCache>
                <c:formatCode>General</c:formatCode>
                <c:ptCount val="20"/>
                <c:pt idx="0">
                  <c:v>0.00255489</c:v>
                </c:pt>
                <c:pt idx="1">
                  <c:v>0.00492215</c:v>
                </c:pt>
                <c:pt idx="2">
                  <c:v>0.00494409</c:v>
                </c:pt>
                <c:pt idx="3">
                  <c:v>0.00496101</c:v>
                </c:pt>
                <c:pt idx="4">
                  <c:v>0.00506306</c:v>
                </c:pt>
                <c:pt idx="5">
                  <c:v>0.00513697</c:v>
                </c:pt>
                <c:pt idx="6">
                  <c:v>0.0055871</c:v>
                </c:pt>
                <c:pt idx="7">
                  <c:v>0.00665188</c:v>
                </c:pt>
                <c:pt idx="8">
                  <c:v>0.0115521</c:v>
                </c:pt>
                <c:pt idx="9">
                  <c:v>0.024091</c:v>
                </c:pt>
                <c:pt idx="10">
                  <c:v>0.0319879</c:v>
                </c:pt>
                <c:pt idx="11">
                  <c:v>0.0485239</c:v>
                </c:pt>
                <c:pt idx="12">
                  <c:v>0.0844591</c:v>
                </c:pt>
                <c:pt idx="13">
                  <c:v>0.158831</c:v>
                </c:pt>
                <c:pt idx="14">
                  <c:v>0.288534</c:v>
                </c:pt>
                <c:pt idx="15">
                  <c:v>0.551512</c:v>
                </c:pt>
                <c:pt idx="16">
                  <c:v>1.07787</c:v>
                </c:pt>
                <c:pt idx="17">
                  <c:v>2.28211</c:v>
                </c:pt>
                <c:pt idx="18">
                  <c:v>4.54696</c:v>
                </c:pt>
                <c:pt idx="19">
                  <c:v>9.06419</c:v>
                </c:pt>
              </c:numCache>
            </c:numRef>
          </c:val>
        </c:ser>
        <c:marker val="0"/>
        <c:axId val="75602680"/>
        <c:axId val="9941094"/>
      </c:lineChart>
      <c:catAx>
        <c:axId val="75602680"/>
        <c:scaling>
          <c:orientation val="minMax"/>
        </c:scaling>
        <c:delete val="0"/>
        <c:axPos val="b"/>
        <c:title>
          <c:tx>
            <c:rich>
              <a:bodyPr/>
              <a:lstStyle/>
              <a:p>
                <a:pPr>
                  <a:defRPr/>
                </a:pPr>
                <a:r>
                  <a:rPr b="1" sz="1000">
                    <a:solidFill>
                      <a:srgbClr val="000000"/>
                    </a:solidFill>
                    <a:latin typeface="Calibri"/>
                  </a:rPr>
                  <a:t>n-sized Array</a:t>
                </a:r>
              </a:p>
            </c:rich>
          </c:tx>
          <c:layout/>
        </c:title>
        <c:majorTickMark val="out"/>
        <c:minorTickMark val="none"/>
        <c:tickLblPos val="nextTo"/>
        <c:spPr>
          <a:ln w="9360">
            <a:solidFill>
              <a:srgbClr val="878787"/>
            </a:solidFill>
            <a:round/>
          </a:ln>
        </c:spPr>
        <c:crossAx val="9941094"/>
        <c:crossesAt val="0"/>
        <c:auto val="1"/>
        <c:lblAlgn val="ctr"/>
        <c:lblOffset val="100"/>
      </c:catAx>
      <c:valAx>
        <c:axId val="9941094"/>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(secs)</a:t>
                </a:r>
              </a:p>
            </c:rich>
          </c:tx>
          <c:layout/>
        </c:title>
        <c:majorTickMark val="out"/>
        <c:minorTickMark val="none"/>
        <c:tickLblPos val="nextTo"/>
        <c:spPr>
          <a:ln w="9360">
            <a:solidFill>
              <a:srgbClr val="878787"/>
            </a:solidFill>
            <a:round/>
          </a:ln>
        </c:spPr>
        <c:crossAx val="75602680"/>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Sorting Speed-up of CPU (Quicksort)/GPU (Radixsort)</a:t>
            </a:r>
          </a:p>
        </c:rich>
      </c:tx>
      <c:layout/>
    </c:title>
    <c:plotArea>
      <c:layout/>
      <c:lineChart>
        <c:grouping val="standard"/>
        <c:ser>
          <c:idx val="0"/>
          <c:order val="0"/>
          <c:tx>
            <c:strRef>
              <c:f>label 0</c:f>
              <c:strCache>
                <c:ptCount val="1"/>
                <c:pt idx="0">
                  <c:v>Speed-up</c:v>
                </c:pt>
              </c:strCache>
            </c:strRef>
          </c:tx>
          <c:spPr>
            <a:solidFill>
              <a:srgbClr val="be4b48"/>
            </a:solidFill>
            <a:ln w="28440">
              <a:solidFill>
                <a:srgbClr val="be4b48"/>
              </a:solidFill>
              <a:round/>
            </a:ln>
          </c:spPr>
          <c:marker>
            <c:symbol val="none"/>
          </c:marker>
          <c:dLbls>
            <c:showLegendKey val="0"/>
            <c:showVal val="0"/>
            <c:showCatName val="0"/>
            <c:showSerName val="0"/>
            <c:showPercent val="0"/>
          </c:dLbls>
          <c:cat>
            <c:strRef>
              <c:f>categories</c:f>
              <c:strCache>
                <c:ptCount val="20"/>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pt idx="14">
                  <c:v>2097152</c:v>
                </c:pt>
                <c:pt idx="15">
                  <c:v>4194304</c:v>
                </c:pt>
                <c:pt idx="16">
                  <c:v>8388608</c:v>
                </c:pt>
                <c:pt idx="17">
                  <c:v>16777216</c:v>
                </c:pt>
                <c:pt idx="18">
                  <c:v>33554432</c:v>
                </c:pt>
                <c:pt idx="19">
                  <c:v>67108864</c:v>
                </c:pt>
              </c:strCache>
            </c:strRef>
          </c:cat>
          <c:val>
            <c:numRef>
              <c:f>0</c:f>
              <c:numCache>
                <c:formatCode>General</c:formatCode>
                <c:ptCount val="20"/>
                <c:pt idx="0">
                  <c:v>0.00513251059732513</c:v>
                </c:pt>
                <c:pt idx="1">
                  <c:v>0.0196657761344128</c:v>
                </c:pt>
                <c:pt idx="2">
                  <c:v>0.0244973291343806</c:v>
                </c:pt>
                <c:pt idx="3">
                  <c:v>0.0360438700990323</c:v>
                </c:pt>
                <c:pt idx="4">
                  <c:v>0.0584383752118284</c:v>
                </c:pt>
                <c:pt idx="5">
                  <c:v>0.107630178879768</c:v>
                </c:pt>
                <c:pt idx="6">
                  <c:v>0.196337992876448</c:v>
                </c:pt>
                <c:pt idx="7">
                  <c:v>0.34157711804783</c:v>
                </c:pt>
                <c:pt idx="8">
                  <c:v>0.412481713281568</c:v>
                </c:pt>
                <c:pt idx="9">
                  <c:v>0.415794280021585</c:v>
                </c:pt>
                <c:pt idx="10">
                  <c:v>0.656404452933766</c:v>
                </c:pt>
                <c:pt idx="11">
                  <c:v>0.912173176517139</c:v>
                </c:pt>
                <c:pt idx="12">
                  <c:v>1.1040823309744</c:v>
                </c:pt>
                <c:pt idx="13">
                  <c:v>1.23365715760777</c:v>
                </c:pt>
                <c:pt idx="14">
                  <c:v>1.43141189599839</c:v>
                </c:pt>
                <c:pt idx="15">
                  <c:v>1.56836115986597</c:v>
                </c:pt>
                <c:pt idx="16">
                  <c:v>1.67571228441278</c:v>
                </c:pt>
                <c:pt idx="17">
                  <c:v>1.6505602271582</c:v>
                </c:pt>
                <c:pt idx="18">
                  <c:v>1.72789292186428</c:v>
                </c:pt>
                <c:pt idx="19">
                  <c:v>1.81717285273146</c:v>
                </c:pt>
              </c:numCache>
            </c:numRef>
          </c:val>
        </c:ser>
        <c:marker val="0"/>
        <c:axId val="39511003"/>
        <c:axId val="55857502"/>
      </c:lineChart>
      <c:catAx>
        <c:axId val="39511003"/>
        <c:scaling>
          <c:orientation val="minMax"/>
        </c:scaling>
        <c:delete val="0"/>
        <c:axPos val="b"/>
        <c:title>
          <c:tx>
            <c:rich>
              <a:bodyPr/>
              <a:lstStyle/>
              <a:p>
                <a:pPr>
                  <a:defRPr/>
                </a:pPr>
                <a:r>
                  <a:rPr b="1" sz="1000">
                    <a:solidFill>
                      <a:srgbClr val="000000"/>
                    </a:solidFill>
                    <a:latin typeface="Calibri"/>
                  </a:rPr>
                  <a:t>n-sized Array</a:t>
                </a:r>
              </a:p>
            </c:rich>
          </c:tx>
          <c:layout/>
        </c:title>
        <c:majorTickMark val="out"/>
        <c:minorTickMark val="none"/>
        <c:tickLblPos val="nextTo"/>
        <c:spPr>
          <a:ln w="9360">
            <a:solidFill>
              <a:srgbClr val="878787"/>
            </a:solidFill>
            <a:round/>
          </a:ln>
        </c:spPr>
        <c:crossAx val="55857502"/>
        <c:crossesAt val="0"/>
        <c:auto val="1"/>
        <c:lblAlgn val="ctr"/>
        <c:lblOffset val="100"/>
      </c:catAx>
      <c:valAx>
        <c:axId val="55857502"/>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39511003"/>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2013-10-29T04:29:00Z</dcterms:created>
  <dc:creator>Hong</dc:creator>
  <dc:language>en-IN</dc:language>
  <cp:lastModifiedBy>Hong</cp:lastModifiedBy>
  <dcterms:modified xsi:type="dcterms:W3CDTF">2013-10-29T04:58:00Z</dcterms:modified>
  <cp:revision>1</cp:revision>
</cp:coreProperties>
</file>