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AEF53" w14:textId="77777777" w:rsidR="00283E0F" w:rsidRPr="00283E0F" w:rsidRDefault="00283E0F" w:rsidP="0028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sz w:val="24"/>
          <w:szCs w:val="24"/>
        </w:rPr>
        <w:t>To build a robust, future-oriented Multi-Criteria Decision Analysis (MCDA) ranking engine for ZORAA, the system needs to evaluate both positive growth indicators and risk-based negative weights.</w:t>
      </w:r>
    </w:p>
    <w:p w14:paraId="2D7C3A11" w14:textId="77777777" w:rsidR="00283E0F" w:rsidRPr="00283E0F" w:rsidRDefault="00283E0F" w:rsidP="00283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Below is a framework of </w:t>
      </w: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100 key evaluation metrics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categorized for deep-tech and material science startups, followed by the global scoring equation.</w:t>
      </w:r>
    </w:p>
    <w:p w14:paraId="11CC5BC5" w14:textId="77777777" w:rsidR="00283E0F" w:rsidRPr="00283E0F" w:rsidRDefault="00283E0F" w:rsidP="00283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E0F">
        <w:rPr>
          <w:rFonts w:ascii="Times New Roman" w:eastAsia="Times New Roman" w:hAnsi="Times New Roman" w:cs="Times New Roman"/>
          <w:b/>
          <w:bCs/>
          <w:sz w:val="36"/>
          <w:szCs w:val="36"/>
        </w:rPr>
        <w:t>The 100-Point Startup Evaluation Framework</w:t>
      </w:r>
    </w:p>
    <w:p w14:paraId="67E953E1" w14:textId="77777777" w:rsidR="00283E0F" w:rsidRPr="00283E0F" w:rsidRDefault="00283E0F" w:rsidP="0028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E0F">
        <w:rPr>
          <w:rFonts w:ascii="Times New Roman" w:eastAsia="Times New Roman" w:hAnsi="Times New Roman" w:cs="Times New Roman"/>
          <w:b/>
          <w:bCs/>
          <w:sz w:val="27"/>
          <w:szCs w:val="27"/>
        </w:rPr>
        <w:t>1. Technology, Material Science &amp; R&amp;D (20 Points)</w:t>
      </w:r>
    </w:p>
    <w:p w14:paraId="7D43CB3B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TRL (Technology Readiness Level):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Stage of development (TRL 1–9).</w:t>
      </w:r>
    </w:p>
    <w:p w14:paraId="2CD8973D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MRL (Manufacturing Readiness Level):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Scalability of the production process.</w:t>
      </w:r>
    </w:p>
    <w:p w14:paraId="0C2EBBEE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Novelty &amp; Moat: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Uniqueness of the underlying physical/chemical properties.</w:t>
      </w:r>
    </w:p>
    <w:p w14:paraId="77EC58D9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IP Strength: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Granted utility patents vs. pending provisional applications.</w:t>
      </w:r>
    </w:p>
    <w:p w14:paraId="4119704C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Freedom to Operate (FTO):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Risk clearance against existing global patents.</w:t>
      </w:r>
    </w:p>
    <w:p w14:paraId="07F5EA01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Lab-to-Fab Scalability: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Complexity of moving from lab environments to pilot lines.</w:t>
      </w:r>
    </w:p>
    <w:p w14:paraId="001EEC67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Accuracy: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Alignment between digital twin models and physical test results.</w:t>
      </w:r>
    </w:p>
    <w:p w14:paraId="3D5FDC32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Substitutability Risk: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Ease with which competitors could swap in a cheaper material.</w:t>
      </w:r>
    </w:p>
    <w:p w14:paraId="218F4D86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Raw Material Degradation: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Life-cycle stability and shelf-life of the base materials.</w:t>
      </w:r>
    </w:p>
    <w:p w14:paraId="119DCA00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Toxicity &amp; Safety Profile: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Inherent chemical hazards or handling risks.</w:t>
      </w:r>
    </w:p>
    <w:p w14:paraId="6D5B1DF1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Energy Density / Efficiency: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Core performance metrics compared to industry baselines.</w:t>
      </w:r>
    </w:p>
    <w:p w14:paraId="5B988C61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Yield Rate: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Percentage of non-defective outputs during batch synthesis.</w:t>
      </w:r>
    </w:p>
    <w:p w14:paraId="064E3963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Characterization Validity: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Robustness of third-party spectroscopy, SEM, or XRD testing.</w:t>
      </w:r>
    </w:p>
    <w:p w14:paraId="01FC3DC5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Cycle Life / Durability: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Stress-testing longevity under extreme operational parameters.</w:t>
      </w:r>
    </w:p>
    <w:p w14:paraId="44DA67E3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Supply Chain Sensitivity: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Reliance on critical rare-earth elements or single-source minerals.</w:t>
      </w:r>
    </w:p>
    <w:p w14:paraId="09D04796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Geopolitical Risk of Materials: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Vulnerability to export bans (e.g., Gallium, Lithium).</w:t>
      </w:r>
    </w:p>
    <w:p w14:paraId="165700FD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Co-Product Utility: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Value of waste materials or byproducts generated during production.</w:t>
      </w:r>
    </w:p>
    <w:p w14:paraId="22CDA5EE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Recyclability: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End-of-life circular economy viability.</w:t>
      </w:r>
    </w:p>
    <w:p w14:paraId="466361E5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Interoperability: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Ease of integrating the material into existing legacy manufacturing lines.</w:t>
      </w:r>
    </w:p>
    <w:p w14:paraId="6DAF5E23" w14:textId="77777777" w:rsidR="00283E0F" w:rsidRPr="00283E0F" w:rsidRDefault="00283E0F" w:rsidP="00283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Legacy Tech Inertia: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Risk of old technology dropping costs faster than this innovation can scale.</w:t>
      </w:r>
    </w:p>
    <w:p w14:paraId="7BBB5DA5" w14:textId="77777777" w:rsidR="00283E0F" w:rsidRPr="00283E0F" w:rsidRDefault="00283E0F" w:rsidP="0028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E0F">
        <w:rPr>
          <w:rFonts w:ascii="Times New Roman" w:eastAsia="Times New Roman" w:hAnsi="Times New Roman" w:cs="Times New Roman"/>
          <w:b/>
          <w:bCs/>
          <w:sz w:val="27"/>
          <w:szCs w:val="27"/>
        </w:rPr>
        <w:t>2. Certifications, Standards &amp; Compliance (15 Points)</w:t>
      </w:r>
    </w:p>
    <w:p w14:paraId="5E0489BC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ISO 9001 Readiness: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Core quality management system alignment.</w:t>
      </w:r>
    </w:p>
    <w:p w14:paraId="6F24E8CE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ISO 14001 Compliance: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Environmental management systems standard integration.</w:t>
      </w:r>
    </w:p>
    <w:p w14:paraId="76041C2C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ISO 45001 Status: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Occupational health and safety protocols for advanced labs.</w:t>
      </w:r>
    </w:p>
    <w:p w14:paraId="16B9AF36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Industry-Specific Credentials: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(e.g., IATF 16949 for automotive, AS9100 for aerospace).</w:t>
      </w:r>
    </w:p>
    <w:p w14:paraId="6C835B65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Clearances: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Timeline and progress with agencies like the EPA, REACH, or FDA.</w:t>
      </w:r>
    </w:p>
    <w:p w14:paraId="0656150D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ASTM / ISO Material Standards: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Compliance with standardized material testing protocols.</w:t>
      </w:r>
    </w:p>
    <w:p w14:paraId="2F7241CE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Lab Validation: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Certification from independent bodies (e.g., TÜV, UL, SGS).</w:t>
      </w:r>
    </w:p>
    <w:p w14:paraId="4D534A83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Carbon Footprint Verification: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Certified Lifecycle Assessment (LCA) tracking.</w:t>
      </w:r>
    </w:p>
    <w:p w14:paraId="0F5E52CB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RoHS and WEEE Compliance: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Absence of hazardous substances in electronic/hardware components.</w:t>
      </w:r>
    </w:p>
    <w:p w14:paraId="309AE900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Export Control Alignment: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Compliance with international ITAR or dual-use technology laws.</w:t>
      </w:r>
    </w:p>
    <w:p w14:paraId="41E961C4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Supply Chain Traceability: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Certification of ethically and sustainably sourced inputs.</w:t>
      </w:r>
    </w:p>
    <w:p w14:paraId="315881F5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Cyber-Physical Security: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Standard certification for connected industrial hardware (ISO/IEC 27001).</w:t>
      </w:r>
    </w:p>
    <w:p w14:paraId="2B7E611B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Pilot Plant Accreditation: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Local and national environmental operating permits secured.</w:t>
      </w:r>
    </w:p>
    <w:p w14:paraId="2A601F21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Patent Litigation Insurance: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Financial backing against potential IP lawsuits.</w:t>
      </w:r>
    </w:p>
    <w:p w14:paraId="4496F20E" w14:textId="77777777" w:rsidR="00283E0F" w:rsidRPr="00283E0F" w:rsidRDefault="00283E0F" w:rsidP="00283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Documentation: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Completeness and transparency of auditable engineering logs.</w:t>
      </w:r>
    </w:p>
    <w:p w14:paraId="6DD0DE59" w14:textId="77777777" w:rsidR="00283E0F" w:rsidRPr="00283E0F" w:rsidRDefault="00283E0F" w:rsidP="0028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E0F">
        <w:rPr>
          <w:rFonts w:ascii="Times New Roman" w:eastAsia="Times New Roman" w:hAnsi="Times New Roman" w:cs="Times New Roman"/>
          <w:b/>
          <w:bCs/>
          <w:sz w:val="27"/>
          <w:szCs w:val="27"/>
        </w:rPr>
        <w:t>3. Market, Scalability &amp; Unit Economics (15 Points)</w:t>
      </w:r>
    </w:p>
    <w:p w14:paraId="00EEDF51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TAM (Total Addressable Market):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Size of the specific deep-tech vertical.</w:t>
      </w:r>
    </w:p>
    <w:p w14:paraId="66F9D7F4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SAM (Serviceable Addressable Market):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Immediate capture potential based on current tech limits.</w:t>
      </w:r>
    </w:p>
    <w:p w14:paraId="19DE87F5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Green Premium: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The extra cost customers must pay for this clean/advanced tech initially.</w:t>
      </w:r>
    </w:p>
    <w:p w14:paraId="0912788E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Time-to-Parity: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Speed at which the startup reaches cost-parity with conventional materials.</w:t>
      </w:r>
    </w:p>
    <w:p w14:paraId="24A79C0E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CAPEX Intensity: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Total capital required to build production facilities ($/ton or $/unit).</w:t>
      </w:r>
    </w:p>
    <w:p w14:paraId="4D1A8EF7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OPEX Predictability: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Stability of volatile energy and input chemical costs.</w:t>
      </w:r>
    </w:p>
    <w:p w14:paraId="0EEB7752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Off-Take Agreements: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Hard volume commitments signed by corporate buyers.</w:t>
      </w:r>
    </w:p>
    <w:p w14:paraId="7A4D333E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LOI (Letters of Intent) Quality: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Binding vs. non-binding corporate interest.</w:t>
      </w:r>
    </w:p>
    <w:p w14:paraId="7EB3C309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PoC (Proof of Concept) Velocity: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Time taken to complete validation cycles with enterprise clients.</w:t>
      </w:r>
    </w:p>
    <w:p w14:paraId="514E37AA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Sales Cycle Duration: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Friction and time window required to close a B2B contract.</w:t>
      </w:r>
    </w:p>
    <w:p w14:paraId="40BA574A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Switching Costs: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Financial and operational pain a client faces to adopt this tech.</w:t>
      </w:r>
    </w:p>
    <w:p w14:paraId="47B38640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Unit Margin Stability: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Projected gross margins at full economies of scale.</w:t>
      </w:r>
    </w:p>
    <w:p w14:paraId="4D323352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Infrastructure: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Availability of logistics channels to transport specialized materials.</w:t>
      </w:r>
    </w:p>
    <w:p w14:paraId="19E7A41D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Market Fragmentation: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Number of entrenched legacy incumbents ruling the target space.</w:t>
      </w:r>
    </w:p>
    <w:p w14:paraId="668F9F69" w14:textId="77777777" w:rsidR="00283E0F" w:rsidRPr="00283E0F" w:rsidRDefault="00283E0F" w:rsidP="00283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Macro Regulatory Tailwinds: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Subsidies, carbon taxes, or green mandates favoring adoption.</w:t>
      </w:r>
    </w:p>
    <w:p w14:paraId="2EE365CC" w14:textId="77777777" w:rsidR="00283E0F" w:rsidRPr="00283E0F" w:rsidRDefault="00283E0F" w:rsidP="0028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E0F">
        <w:rPr>
          <w:rFonts w:ascii="Times New Roman" w:eastAsia="Times New Roman" w:hAnsi="Times New Roman" w:cs="Times New Roman"/>
          <w:b/>
          <w:bCs/>
          <w:sz w:val="27"/>
          <w:szCs w:val="27"/>
        </w:rPr>
        <w:t>4. Future Readiness &amp; Macro Megatrends (15 Points)</w:t>
      </w:r>
    </w:p>
    <w:p w14:paraId="64C5171A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Climate Resiliency: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Performance stability under shifting climate/temperature baselines.</w:t>
      </w:r>
    </w:p>
    <w:p w14:paraId="78143209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 Efficiency: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Use of machine learning for generative design or materials discovery.</w:t>
      </w:r>
    </w:p>
    <w:p w14:paraId="39D06B32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Software-Defined Architecture: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Readiness for over-the-air updates or digital integration.</w:t>
      </w:r>
    </w:p>
    <w:p w14:paraId="0BAD349C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Potential: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Percentage of the manufacturing process that can be robotized.</w:t>
      </w:r>
    </w:p>
    <w:p w14:paraId="0EC7F72D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Grid/Infrastructure Reliance: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Independence from over-stressed power grids or specialized ports.</w:t>
      </w:r>
    </w:p>
    <w:p w14:paraId="28623D29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Decentralization Capability: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Viability of setting up distributed, micro-factory networks.</w:t>
      </w:r>
    </w:p>
    <w:p w14:paraId="5BD11021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Cross-Sector Elasticity: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Ability of the technology to pivot to secondary industries (e.g., automotive to aerospace).</w:t>
      </w:r>
    </w:p>
    <w:p w14:paraId="7E64B1B4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Water Intensity: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Resilience against localized or global industrial water scarcity.</w:t>
      </w:r>
    </w:p>
    <w:p w14:paraId="78023FEC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Geopolitical Friend-Shoring: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Allocation of operations within aligned trading blocs.</w:t>
      </w:r>
    </w:p>
    <w:p w14:paraId="095B328E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Labor Market Availability: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Access to specialized material scientists and metallurgists.</w:t>
      </w:r>
    </w:p>
    <w:p w14:paraId="0AAF21C5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Quantum Computing Readiness: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Adaptability to upcoming quantum simulation paradigms.</w:t>
      </w:r>
    </w:p>
    <w:p w14:paraId="7BAF2E2C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Next-Gen Subsidies: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Positioning to capitalize on upcoming clean energy infrastructure acts.</w:t>
      </w:r>
    </w:p>
    <w:p w14:paraId="0A8B4340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 Alignment: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Tech addressing urbanization, aging infrastructure, or resource shifts.</w:t>
      </w:r>
    </w:p>
    <w:p w14:paraId="1B9FAC12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Synthetic Biology Convergence: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Integration of bio-based inputs or processes where applicable.</w:t>
      </w:r>
    </w:p>
    <w:p w14:paraId="5798DC65" w14:textId="77777777" w:rsidR="00283E0F" w:rsidRPr="00283E0F" w:rsidRDefault="00283E0F" w:rsidP="00283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Resource Security: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Securing raw inputs that will remain abundant for 50+ years.</w:t>
      </w:r>
    </w:p>
    <w:p w14:paraId="1E4BEED4" w14:textId="77777777" w:rsidR="00283E0F" w:rsidRPr="00283E0F" w:rsidRDefault="00283E0F" w:rsidP="0028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E0F">
        <w:rPr>
          <w:rFonts w:ascii="Times New Roman" w:eastAsia="Times New Roman" w:hAnsi="Times New Roman" w:cs="Times New Roman"/>
          <w:b/>
          <w:bCs/>
          <w:sz w:val="27"/>
          <w:szCs w:val="27"/>
        </w:rPr>
        <w:t>5. Team, Execution &amp; Governance (15 Points)</w:t>
      </w:r>
    </w:p>
    <w:p w14:paraId="6215F037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Founder Technical Depth: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Ph.D. or deep academic/industrial tenure in the core domain.</w:t>
      </w:r>
    </w:p>
    <w:p w14:paraId="7EAD4678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Commercialization Track Record: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Previous experience scaling physical hardware or chemical products.</w:t>
      </w:r>
    </w:p>
    <w:p w14:paraId="5875574A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Complementary Skill Mix: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Balance between pure science, engineering, and corporate finance.</w:t>
      </w:r>
    </w:p>
    <w:p w14:paraId="28A288BA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Advisory Board Quality: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Weight of industry veterans guiding the tech roadmap.</w:t>
      </w:r>
    </w:p>
    <w:p w14:paraId="7E640F0C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Key-Man Dependency: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Risk concentrated around a single scientist or founder.</w:t>
      </w:r>
    </w:p>
    <w:p w14:paraId="5FA24A80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 Incentives: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Quality of ESOP (Employee Stock Ownership Plans) for top-tier researchers.</w:t>
      </w:r>
    </w:p>
    <w:p w14:paraId="7010F62D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Velocity: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Speed of hitting previous technical milestones vs. capital burned.</w:t>
      </w:r>
    </w:p>
    <w:p w14:paraId="55C108D8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Governance Structure: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Board composition, independent directors, and audit transparency.</w:t>
      </w:r>
    </w:p>
    <w:p w14:paraId="697D20E8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Co-Founder Alignment: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Dynamic, vesting schedules, and history of working together.</w:t>
      </w:r>
    </w:p>
    <w:p w14:paraId="00644757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IP Assignment Clearances: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Clear ownership transfer from universities/labs to the startup.</w:t>
      </w:r>
    </w:p>
    <w:p w14:paraId="22118D07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Relationship Management: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In-house capability to navigate institutional politics.</w:t>
      </w:r>
    </w:p>
    <w:p w14:paraId="165C16C5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Capital Allocation Discipline: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Historical accuracy of budget projections vs. actual spending.</w:t>
      </w:r>
    </w:p>
    <w:p w14:paraId="65E24188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Crisis Management Readiness: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Emergency protocols for laboratory or field failures.</w:t>
      </w:r>
    </w:p>
    <w:p w14:paraId="33F8E090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Diversity of Thought: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Cross-disciplinary backgrounds across the engineering spectrum.</w:t>
      </w:r>
    </w:p>
    <w:p w14:paraId="6DCBCC33" w14:textId="77777777" w:rsidR="00283E0F" w:rsidRPr="00283E0F" w:rsidRDefault="00283E0F" w:rsidP="00283E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Talent Pipeline Pipeline: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Formed partnerships with leading research universities.</w:t>
      </w:r>
    </w:p>
    <w:p w14:paraId="3E65C334" w14:textId="77777777" w:rsidR="00283E0F" w:rsidRPr="00283E0F" w:rsidRDefault="00283E0F" w:rsidP="00283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E0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Negative Key Points / Risk Deductions (-20 Points)</w:t>
      </w:r>
    </w:p>
    <w:p w14:paraId="60FE7356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Debt: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Shortcuts taken in early prototyping that require expensive redesigns.</w:t>
      </w:r>
    </w:p>
    <w:p w14:paraId="1C9B9518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Red Flags: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Past citations, OSHA violations, or safety environmental penalties.</w:t>
      </w:r>
    </w:p>
    <w:p w14:paraId="17B36DF2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Founder-Led Litigation Risk: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Ongoing legal disputes regarding prior art or employment contracts.</w:t>
      </w:r>
    </w:p>
    <w:p w14:paraId="598DA78B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Cap Table Distress: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Over-diluted founders (&lt;50% before Series A) or predatory early investors.</w:t>
      </w:r>
    </w:p>
    <w:p w14:paraId="2A61560A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High Customer Concentration: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Over 60% of projected revenue tied to a single customer/partner.</w:t>
      </w:r>
    </w:p>
    <w:p w14:paraId="732E8F9A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High Burn Rate / Low Runway: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Less than 6 months of cash runway relative to R&amp;D milestones.</w:t>
      </w:r>
    </w:p>
    <w:p w14:paraId="5C47FC35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Hype-to-Substance Gap: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Public marketing claims that outpace audited lab reports.</w:t>
      </w:r>
    </w:p>
    <w:p w14:paraId="50A3616F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Single-Source Vendor Vulnerability: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Critical machinery or custom tools with no alternative supplier.</w:t>
      </w:r>
    </w:p>
    <w:p w14:paraId="26DDB38C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High Environmental Remediation Costs: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Massive projected expenses for toxic waste disposal.</w:t>
      </w:r>
    </w:p>
    <w:p w14:paraId="223DBBA2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Patent Infringement Vulnerability: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Active legacy patents blocking near-term commercial pathways.</w:t>
      </w:r>
    </w:p>
    <w:p w14:paraId="3553EB0D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Geopolitical Exposure: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Assets or critical supply nodes trapped in high-risk zones.</w:t>
      </w:r>
    </w:p>
    <w:p w14:paraId="6F6D2A36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High Churn in R&amp;D Talent: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High turnover rate among core engineering or scientific staff.</w:t>
      </w:r>
    </w:p>
    <w:p w14:paraId="49F94750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Inflated Pre-Money Valuation: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Valuation detached from physical milestones, causing down-round risks.</w:t>
      </w:r>
    </w:p>
    <w:p w14:paraId="7B319EE7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Over-Reliance on Non-Dilutive Grants: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Subsidies masking a lack of genuine commercial market fit.</w:t>
      </w:r>
    </w:p>
    <w:p w14:paraId="39A9F1C3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Liability Exposure: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Inherent physical risk of product failure causing catastrophic damage.</w:t>
      </w:r>
    </w:p>
    <w:p w14:paraId="47ACAAC5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Inflexible Scale-Up Cost Curve: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Flat manufacturing cost structures that don't drop with volume.</w:t>
      </w:r>
    </w:p>
    <w:p w14:paraId="462014BE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Unresolved Co-Founder Disputes: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Historical fracturing or unvested equity clawback fights.</w:t>
      </w:r>
    </w:p>
    <w:p w14:paraId="57C89A4F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Opaque Accounting: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Lack of third-party audits on R&amp;D tax credits and expenditures.</w:t>
      </w:r>
    </w:p>
    <w:p w14:paraId="45D4A802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Ethical Supply Chain Exposure: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Sourcing inputs from regions violating human rights or labor laws.</w:t>
      </w:r>
    </w:p>
    <w:p w14:paraId="0A3E305E" w14:textId="77777777" w:rsidR="00283E0F" w:rsidRPr="00283E0F" w:rsidRDefault="00283E0F" w:rsidP="00283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E0F">
        <w:rPr>
          <w:rFonts w:ascii="Times New Roman" w:eastAsia="Times New Roman" w:hAnsi="Times New Roman" w:cs="Times New Roman"/>
          <w:b/>
          <w:bCs/>
          <w:sz w:val="24"/>
          <w:szCs w:val="24"/>
        </w:rPr>
        <w:t>Choke-Point Dependence:</w:t>
      </w:r>
      <w:r w:rsidRPr="00283E0F">
        <w:rPr>
          <w:rFonts w:ascii="Times New Roman" w:eastAsia="Times New Roman" w:hAnsi="Times New Roman" w:cs="Times New Roman"/>
          <w:sz w:val="24"/>
          <w:szCs w:val="24"/>
        </w:rPr>
        <w:t xml:space="preserve"> Relying on proprietary software or hardware platforms owned by direct competitors.</w:t>
      </w:r>
    </w:p>
    <w:p w14:paraId="3D95B513" w14:textId="0ED23F3F" w:rsidR="00C95046" w:rsidRDefault="00C95046" w:rsidP="00283E0F"/>
    <w:p w14:paraId="32D11719" w14:textId="1A6FF14D" w:rsidR="00283E0F" w:rsidRDefault="00283E0F" w:rsidP="00283E0F"/>
    <w:p w14:paraId="5388DAEF" w14:textId="4443D2FF" w:rsidR="00283E0F" w:rsidRDefault="00283E0F" w:rsidP="00283E0F"/>
    <w:p w14:paraId="7902681C" w14:textId="6C60F474" w:rsidR="00283E0F" w:rsidRDefault="00283E0F" w:rsidP="00283E0F"/>
    <w:p w14:paraId="5E8EF0C3" w14:textId="2CB754F6" w:rsidR="00283E0F" w:rsidRDefault="00283E0F" w:rsidP="00283E0F"/>
    <w:p w14:paraId="0E023813" w14:textId="77777777" w:rsidR="00283E0F" w:rsidRDefault="00283E0F" w:rsidP="00283E0F"/>
    <w:p w14:paraId="23FFEA7A" w14:textId="7FB515E3" w:rsidR="00283E0F" w:rsidRDefault="00283E0F" w:rsidP="00283E0F">
      <w:r w:rsidRPr="00283E0F">
        <w:drawing>
          <wp:inline distT="0" distB="0" distL="0" distR="0" wp14:anchorId="15E33AB7" wp14:editId="2F171F02">
            <wp:extent cx="5943600" cy="2816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951B" w14:textId="79471028" w:rsidR="00283E0F" w:rsidRDefault="00283E0F" w:rsidP="00283E0F"/>
    <w:p w14:paraId="3643D4BB" w14:textId="081AB24F" w:rsidR="00283E0F" w:rsidRDefault="00283E0F" w:rsidP="00283E0F">
      <w:r w:rsidRPr="00283E0F">
        <w:drawing>
          <wp:inline distT="0" distB="0" distL="0" distR="0" wp14:anchorId="033726EB" wp14:editId="38C4724B">
            <wp:extent cx="5943600" cy="43427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15A6"/>
    <w:multiLevelType w:val="multilevel"/>
    <w:tmpl w:val="869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7CE8"/>
    <w:multiLevelType w:val="multilevel"/>
    <w:tmpl w:val="3EDA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D271F"/>
    <w:multiLevelType w:val="multilevel"/>
    <w:tmpl w:val="2954D38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6037D"/>
    <w:multiLevelType w:val="multilevel"/>
    <w:tmpl w:val="EA6A93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D2955"/>
    <w:multiLevelType w:val="multilevel"/>
    <w:tmpl w:val="D056101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44764"/>
    <w:multiLevelType w:val="multilevel"/>
    <w:tmpl w:val="079A030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8239D0"/>
    <w:multiLevelType w:val="multilevel"/>
    <w:tmpl w:val="247CF90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584FE9"/>
    <w:multiLevelType w:val="multilevel"/>
    <w:tmpl w:val="BEA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1B"/>
    <w:rsid w:val="00283E0F"/>
    <w:rsid w:val="0050311B"/>
    <w:rsid w:val="00C9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C4DC"/>
  <w15:chartTrackingRefBased/>
  <w15:docId w15:val="{33C21512-12CC-41F5-83FB-2FE48A90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3E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3E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3E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3E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3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283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1406</Words>
  <Characters>8020</Characters>
  <Application>Microsoft Office Word</Application>
  <DocSecurity>0</DocSecurity>
  <Lines>66</Lines>
  <Paragraphs>18</Paragraphs>
  <ScaleCrop>false</ScaleCrop>
  <Company/>
  <LinksUpToDate>false</LinksUpToDate>
  <CharactersWithSpaces>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haardchan@gmail.com</dc:creator>
  <cp:keywords/>
  <dc:description/>
  <cp:lastModifiedBy>haardchan@gmail.com</cp:lastModifiedBy>
  <cp:revision>2</cp:revision>
  <dcterms:created xsi:type="dcterms:W3CDTF">2026-07-03T06:06:00Z</dcterms:created>
  <dcterms:modified xsi:type="dcterms:W3CDTF">2026-07-03T06:09:00Z</dcterms:modified>
</cp:coreProperties>
</file>