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trike w:val="0"/>
        </w:rPr>
        <w:t>ControlIQ</w:t>
      </w:r>
    </w:p>
    <w:p>
      <w:r>
        <w:rPr>
          <w:b w:val="0"/>
          <w:i/>
          <w:strike w:val="0"/>
        </w:rPr>
        <w:t>by SayOne Technologies</w:t>
      </w:r>
    </w:p>
    <w:p>
      <w:r>
        <w:rPr>
          <w:b/>
          <w:i w:val="0"/>
          <w:strike w:val="0"/>
        </w:rPr>
        <w:t>PRODUCT REQUIREMENTS DOCUMENT</w:t>
      </w:r>
    </w:p>
    <w:tbl>
      <w:tblPr>
        <w:tblStyle w:val="TableGrid"/>
        <w:tblW w:type="auto" w:w="0"/>
        <w:tblLook w:firstColumn="1" w:firstRow="1" w:lastColumn="0" w:lastRow="0" w:noHBand="0" w:noVBand="1" w:val="04A0"/>
      </w:tblPr>
      <w:tblGrid>
        <w:gridCol w:w="4320"/>
        <w:gridCol w:w="4320"/>
      </w:tblGrid>
      <w:tr>
        <w:tc>
          <w:tcPr>
            <w:tcW w:type="dxa" w:w="4320"/>
            <w:shd w:val="clear" w:fill="1F4E79"/>
          </w:tcPr>
          <w:p>
            <w:r>
              <w:rPr>
                <w:b/>
                <w:color w:val="FFFFFF"/>
              </w:rPr>
            </w:r>
            <w:r>
              <w:rPr>
                <w:b/>
                <w:i w:val="0"/>
                <w:strike w:val="0"/>
                <w:color w:val="FFFFFF"/>
              </w:rPr>
              <w:t>Field</w:t>
            </w:r>
          </w:p>
        </w:tc>
        <w:tc>
          <w:tcPr>
            <w:tcW w:type="dxa" w:w="4320"/>
            <w:shd w:val="clear" w:fill="1F4E79"/>
          </w:tcPr>
          <w:p>
            <w:r>
              <w:rPr>
                <w:b/>
                <w:color w:val="FFFFFF"/>
              </w:rPr>
            </w:r>
            <w:r>
              <w:rPr>
                <w:b/>
                <w:i w:val="0"/>
                <w:strike w:val="0"/>
                <w:color w:val="FFFFFF"/>
              </w:rPr>
              <w:t>Value</w:t>
            </w:r>
          </w:p>
        </w:tc>
      </w:tr>
      <w:tr>
        <w:tc>
          <w:tcPr>
            <w:tcW w:type="dxa" w:w="4320"/>
          </w:tcPr>
          <w:p>
            <w:r/>
            <w:r>
              <w:rPr>
                <w:b w:val="0"/>
                <w:i w:val="0"/>
                <w:strike w:val="0"/>
              </w:rPr>
              <w:t>Document</w:t>
            </w:r>
          </w:p>
        </w:tc>
        <w:tc>
          <w:tcPr>
            <w:tcW w:type="dxa" w:w="4320"/>
          </w:tcPr>
          <w:p>
            <w:r/>
            <w:r>
              <w:rPr>
                <w:b w:val="0"/>
                <w:i w:val="0"/>
                <w:strike w:val="0"/>
              </w:rPr>
              <w:t>ControlIQ — Product Requirements Document (PRD v8.0)</w:t>
            </w:r>
          </w:p>
        </w:tc>
      </w:tr>
      <w:tr>
        <w:tc>
          <w:tcPr>
            <w:tcW w:type="dxa" w:w="4320"/>
          </w:tcPr>
          <w:p>
            <w:r/>
            <w:r>
              <w:rPr>
                <w:b w:val="0"/>
                <w:i w:val="0"/>
                <w:strike w:val="0"/>
              </w:rPr>
              <w:t>Version</w:t>
            </w:r>
          </w:p>
        </w:tc>
        <w:tc>
          <w:tcPr>
            <w:tcW w:type="dxa" w:w="4320"/>
          </w:tcPr>
          <w:p>
            <w:r/>
            <w:r>
              <w:rPr>
                <w:b w:val="0"/>
                <w:i w:val="0"/>
                <w:strike w:val="0"/>
              </w:rPr>
              <w:t>8.0 · August 2026</w:t>
            </w:r>
          </w:p>
        </w:tc>
      </w:tr>
      <w:tr>
        <w:tc>
          <w:tcPr>
            <w:tcW w:type="dxa" w:w="4320"/>
          </w:tcPr>
          <w:p>
            <w:r/>
            <w:r>
              <w:rPr>
                <w:b w:val="0"/>
                <w:i w:val="0"/>
                <w:strike w:val="0"/>
              </w:rPr>
              <w:t>Prepared by</w:t>
            </w:r>
          </w:p>
        </w:tc>
        <w:tc>
          <w:tcPr>
            <w:tcW w:type="dxa" w:w="4320"/>
          </w:tcPr>
          <w:p>
            <w:r/>
            <w:r>
              <w:rPr>
                <w:b w:val="0"/>
                <w:i w:val="0"/>
                <w:strike w:val="0"/>
              </w:rPr>
              <w:t>Jomin Johnson, Delivery Head — SayOne Technologies</w:t>
            </w:r>
          </w:p>
        </w:tc>
      </w:tr>
      <w:tr>
        <w:tc>
          <w:tcPr>
            <w:tcW w:type="dxa" w:w="4320"/>
          </w:tcPr>
          <w:p>
            <w:r/>
            <w:r>
              <w:rPr>
                <w:b w:val="0"/>
                <w:i w:val="0"/>
                <w:strike w:val="0"/>
              </w:rPr>
              <w:t>Prepared for</w:t>
            </w:r>
          </w:p>
        </w:tc>
        <w:tc>
          <w:tcPr>
            <w:tcW w:type="dxa" w:w="4320"/>
          </w:tcPr>
          <w:p>
            <w:r/>
            <w:r>
              <w:rPr>
                <w:b w:val="0"/>
                <w:i w:val="0"/>
                <w:strike w:val="0"/>
              </w:rPr>
              <w:t>Sosinna Degefu, Synergy Consulting Group / FinTech House Lisbon</w:t>
            </w:r>
          </w:p>
        </w:tc>
      </w:tr>
      <w:tr>
        <w:tc>
          <w:tcPr>
            <w:tcW w:type="dxa" w:w="4320"/>
          </w:tcPr>
          <w:p>
            <w:r/>
            <w:r>
              <w:rPr>
                <w:b w:val="0"/>
                <w:i w:val="0"/>
                <w:strike w:val="0"/>
              </w:rPr>
              <w:t>Status</w:t>
            </w:r>
          </w:p>
        </w:tc>
        <w:tc>
          <w:tcPr>
            <w:tcW w:type="dxa" w:w="4320"/>
          </w:tcPr>
          <w:p>
            <w:r/>
            <w:r>
              <w:rPr>
                <w:b w:val="0"/>
                <w:i w:val="0"/>
                <w:strike w:val="0"/>
              </w:rPr>
              <w:t>v8.0 — the 14 August 2026 client MOM incorporated. Completes the business-owner side of the records-request workflow (announcement letter → dashboard → upload-or-reason), defines the CCO's three review outcomes, adds an N/A register, a glossary, Super Admin test cloning, an AML news feed source, and spreadsheet-only staff entry. Branding decided as blue and white, exact codes pending.</w:t>
            </w:r>
          </w:p>
        </w:tc>
      </w:tr>
      <w:tr>
        <w:tc>
          <w:tcPr>
            <w:tcW w:type="dxa" w:w="4320"/>
          </w:tcPr>
          <w:p>
            <w:r/>
            <w:r>
              <w:rPr>
                <w:b w:val="0"/>
                <w:i w:val="0"/>
                <w:strike w:val="0"/>
              </w:rPr>
              <w:t>Product name</w:t>
            </w:r>
          </w:p>
        </w:tc>
        <w:tc>
          <w:tcPr>
            <w:tcW w:type="dxa" w:w="4320"/>
          </w:tcPr>
          <w:p>
            <w:r/>
            <w:r>
              <w:rPr>
                <w:b w:val="0"/>
                <w:i w:val="0"/>
                <w:strike w:val="0"/>
              </w:rPr>
              <w:t>ControlIQ (renamed from ComplianceIQ, August 2026)</w:t>
            </w:r>
          </w:p>
        </w:tc>
      </w:tr>
      <w:tr>
        <w:tc>
          <w:tcPr>
            <w:tcW w:type="dxa" w:w="4320"/>
          </w:tcPr>
          <w:p>
            <w:r/>
            <w:r>
              <w:rPr>
                <w:b w:val="0"/>
                <w:i w:val="0"/>
                <w:strike w:val="0"/>
              </w:rPr>
              <w:t>Supersedes</w:t>
            </w:r>
          </w:p>
        </w:tc>
        <w:tc>
          <w:tcPr>
            <w:tcW w:type="dxa" w:w="4320"/>
          </w:tcPr>
          <w:p>
            <w:r/>
            <w:r>
              <w:rPr>
                <w:b w:val="0"/>
                <w:i w:val="0"/>
                <w:strike w:val="0"/>
              </w:rPr>
              <w:t>v7.0 (August 2026). v4.0 (June 2026) remains the last .docx-signed baseline and was issued under the ComplianceIQ name</w:t>
            </w:r>
          </w:p>
        </w:tc>
      </w:tr>
      <w:tr>
        <w:tc>
          <w:tcPr>
            <w:tcW w:type="dxa" w:w="4320"/>
          </w:tcPr>
          <w:p>
            <w:r/>
            <w:r>
              <w:rPr>
                <w:b w:val="0"/>
                <w:i w:val="0"/>
                <w:strike w:val="0"/>
              </w:rPr>
              <w:t>Regulations covered</w:t>
            </w:r>
          </w:p>
        </w:tc>
        <w:tc>
          <w:tcPr>
            <w:tcW w:type="dxa" w:w="4320"/>
          </w:tcPr>
          <w:p>
            <w:r/>
            <w:r>
              <w:rPr>
                <w:b w:val="0"/>
                <w:i w:val="0"/>
                <w:strike w:val="0"/>
              </w:rPr>
              <w:t>MiCA (EU 2023/1114) and DORA (EU 2022/2554)</w:t>
            </w:r>
          </w:p>
        </w:tc>
      </w:tr>
      <w:tr>
        <w:tc>
          <w:tcPr>
            <w:tcW w:type="dxa" w:w="4320"/>
          </w:tcPr>
          <w:p>
            <w:r/>
            <w:r>
              <w:rPr>
                <w:b w:val="0"/>
                <w:i w:val="0"/>
                <w:strike w:val="0"/>
              </w:rPr>
              <w:t>Built for</w:t>
            </w:r>
          </w:p>
        </w:tc>
        <w:tc>
          <w:tcPr>
            <w:tcW w:type="dxa" w:w="4320"/>
          </w:tcPr>
          <w:p>
            <w:r/>
            <w:r>
              <w:rPr>
                <w:b w:val="0"/>
                <w:i w:val="0"/>
                <w:strike w:val="0"/>
              </w:rPr>
              <w:t>Crypto Asset Service Providers (CASPs) licensed in the EU</w:t>
            </w:r>
          </w:p>
        </w:tc>
      </w:tr>
    </w:tbl>
    <w:tbl>
      <w:tblPr>
        <w:tblStyle w:val="TableGrid"/>
        <w:tblW w:type="auto" w:w="0"/>
        <w:tblLook w:firstColumn="1" w:firstRow="1" w:lastColumn="0" w:lastRow="0" w:noHBand="0" w:noVBand="1" w:val="04A0"/>
      </w:tblPr>
      <w:tblGrid>
        <w:gridCol w:w="8640"/>
      </w:tblGrid>
      <w:tr>
        <w:tc>
          <w:tcPr>
            <w:tcW w:type="dxa" w:w="8640"/>
            <w:shd w:val="clear" w:fill="DDEBF7"/>
          </w:tcPr>
          <w:p>
            <w:r>
              <w:rPr>
                <w:b/>
                <w:i w:val="0"/>
                <w:strike w:val="0"/>
              </w:rPr>
              <w:t>NOTE</w:t>
            </w:r>
            <w:r>
              <w:rPr>
                <w:b w:val="0"/>
                <w:i w:val="0"/>
                <w:strike w:val="0"/>
              </w:rPr>
              <w:t xml:space="preserve"> </w:t>
            </w:r>
            <w:r>
              <w:rPr>
                <w:b w:val="0"/>
                <w:i/>
                <w:strike w:val="0"/>
              </w:rPr>
              <w:t>(blue)</w:t>
            </w:r>
          </w:p>
          <w:p>
            <w:r>
              <w:rPr>
                <w:b/>
                <w:i w:val="0"/>
                <w:strike w:val="0"/>
              </w:rPr>
              <w:t>🗂 Annotation Legend — added 3 Jul 2026, extended 10 Aug 2026, 12 Aug 2026 and 17 Aug 2026</w:t>
            </w:r>
          </w:p>
          <w:p>
            <w:pPr>
              <w:pStyle w:val="ListBullet"/>
            </w:pPr>
            <w:r>
              <w:rPr>
                <w:b/>
                <w:i w:val="0"/>
                <w:strike w:val="0"/>
              </w:rPr>
              <w:t>Blue italic text</w:t>
            </w:r>
            <w:r>
              <w:rPr>
                <w:b w:val="0"/>
                <w:i w:val="0"/>
                <w:strike w:val="0"/>
              </w:rPr>
              <w:t xml:space="preserve"> = answer sourced from the 25 Jun 2026 FRD Review call (Fathom recording). </w:t>
            </w:r>
            <w:r>
              <w:rPr>
                <w:b w:val="0"/>
                <w:i/>
                <w:strike w:val="0"/>
                <w:color w:val="1155CC"/>
                <w:sz w:val="16"/>
              </w:rPr>
              <w:t xml:space="preserve"> [25 Jun FRD call]</w:t>
            </w:r>
          </w:p>
          <w:p>
            <w:pPr>
              <w:pStyle w:val="ListBullet"/>
            </w:pPr>
            <w:r>
              <w:rPr>
                <w:b/>
                <w:i w:val="0"/>
                <w:strike w:val="0"/>
              </w:rPr>
              <w:t>Orange italic text</w:t>
            </w:r>
            <w:r>
              <w:rPr>
                <w:b w:val="0"/>
                <w:i w:val="0"/>
                <w:strike w:val="0"/>
              </w:rPr>
              <w:t xml:space="preserve"> = answer or addition sourced from Sosinna's comments on the Google Doc. </w:t>
            </w:r>
            <w:r>
              <w:rPr>
                <w:b w:val="0"/>
                <w:i/>
                <w:strike w:val="0"/>
                <w:color w:val="C55A11"/>
                <w:sz w:val="16"/>
              </w:rPr>
              <w:t xml:space="preserve"> [Sosinna's Drive comment]</w:t>
            </w:r>
          </w:p>
          <w:p>
            <w:pPr>
              <w:pStyle w:val="ListBullet"/>
            </w:pPr>
            <w:r>
              <w:rPr>
                <w:b/>
                <w:i/>
                <w:strike w:val="0"/>
                <w:color w:val="7030A0"/>
              </w:rPr>
              <w:t>Purple italic text = decision or new requirement sourced from the August 2026 client meeting minutes (MOM). This is the material that turns v4.0 into v5.0.</w:t>
            </w:r>
            <w:r>
              <w:rPr>
                <w:b w:val="0"/>
                <w:i w:val="0"/>
                <w:strike w:val="0"/>
              </w:rPr>
              <w:t xml:space="preserve"> </w:t>
            </w:r>
            <w:r>
              <w:rPr>
                <w:b w:val="0"/>
                <w:i/>
                <w:strike w:val="0"/>
                <w:color w:val="7030A0"/>
                <w:sz w:val="16"/>
              </w:rPr>
              <w:t xml:space="preserve"> [Aug 2026 client MOM]</w:t>
            </w:r>
          </w:p>
          <w:p>
            <w:pPr>
              <w:pStyle w:val="ListBullet"/>
            </w:pPr>
            <w:r>
              <w:rPr>
                <w:b/>
                <w:i/>
                <w:strike w:val="0"/>
                <w:color w:val="008080"/>
              </w:rPr>
              <w:t>Teal italic text = decision, confirmation or new requirement sourced from the Compliance Testing Workflow Review of 11 August 2026. This is the material that turns v5.0 into v6.0.</w:t>
            </w:r>
            <w:r>
              <w:rPr>
                <w:b w:val="0"/>
                <w:i w:val="0"/>
                <w:strike w:val="0"/>
              </w:rPr>
              <w:t xml:space="preserve"> </w:t>
            </w:r>
            <w:r>
              <w:rPr>
                <w:b w:val="0"/>
                <w:i/>
                <w:strike w:val="0"/>
                <w:color w:val="008080"/>
                <w:sz w:val="16"/>
              </w:rPr>
              <w:t xml:space="preserve"> [11 Aug 2026 MOM]</w:t>
            </w:r>
          </w:p>
          <w:p>
            <w:pPr>
              <w:pStyle w:val="ListBullet"/>
            </w:pPr>
            <w:r>
              <w:rPr>
                <w:b/>
                <w:i/>
                <w:strike w:val="0"/>
                <w:color w:val="843C0C"/>
              </w:rPr>
              <w:t>Brown italic text = the client-specified firm onboarding flow, received August 2026. This is the material that turns v6.0 into v7.0 and it is concentrated in Section 5.</w:t>
            </w:r>
            <w:r>
              <w:rPr>
                <w:b w:val="0"/>
                <w:i w:val="0"/>
                <w:strike w:val="0"/>
              </w:rPr>
              <w:t xml:space="preserve"> </w:t>
            </w:r>
            <w:r>
              <w:rPr>
                <w:b w:val="0"/>
                <w:i/>
                <w:strike w:val="0"/>
                <w:color w:val="843C0C"/>
                <w:sz w:val="16"/>
              </w:rPr>
              <w:t xml:space="preserve"> [Aug 2026 onboarding flow]</w:t>
            </w:r>
          </w:p>
          <w:p>
            <w:pPr>
              <w:pStyle w:val="ListBullet"/>
            </w:pPr>
            <w:r>
              <w:rPr>
                <w:b/>
                <w:i/>
                <w:strike w:val="0"/>
                <w:color w:val="CC00CC"/>
              </w:rPr>
              <w:t>Magenta italic text = decision, confirmation or new requirement sourced from the client meeting of 14 August 2026. This is the material that turns v7.0 into v8.0.</w:t>
            </w:r>
            <w:r>
              <w:rPr>
                <w:b w:val="0"/>
                <w:i w:val="0"/>
                <w:strike w:val="0"/>
              </w:rPr>
              <w:t xml:space="preserve"> </w:t>
            </w:r>
            <w:r>
              <w:rPr>
                <w:b w:val="0"/>
                <w:i/>
                <w:strike w:val="0"/>
                <w:color w:val="CC00CC"/>
                <w:sz w:val="16"/>
              </w:rPr>
              <w:t xml:space="preserve"> [14 Aug 2026 MOM]</w:t>
            </w:r>
          </w:p>
          <w:p>
            <w:pPr>
              <w:pStyle w:val="ListBullet"/>
            </w:pPr>
            <w:r>
              <w:rPr>
                <w:b w:val="0"/>
                <w:i w:val="0"/>
                <w:strike w:val="0"/>
              </w:rPr>
              <w:t>Existing green (agreed) / amber (open question) / grey (note) boxes are unchanged conventions from earlier versions.</w:t>
            </w:r>
          </w:p>
          <w:p>
            <w:pPr>
              <w:pStyle w:val="ListBullet"/>
            </w:pPr>
            <w:r>
              <w:rPr>
                <w:b w:val="0"/>
                <w:i w:val="0"/>
                <w:strike w:val="0"/>
              </w:rPr>
              <w:t xml:space="preserve">Where the MOM changes an earlier decision, the earlier text is kept and marked </w:t>
            </w:r>
            <w:r>
              <w:rPr>
                <w:b w:val="0"/>
                <w:i/>
                <w:strike w:val="0"/>
              </w:rPr>
              <w:t>superseded</w:t>
            </w:r>
            <w:r>
              <w:rPr>
                <w:b w:val="0"/>
                <w:i w:val="0"/>
                <w:strike w:val="0"/>
              </w:rPr>
              <w:t xml:space="preserve"> rather than deleted — the same convention used for CC-01 and the Section 6.2 accuracy note.</w:t>
            </w:r>
          </w:p>
          <w:p>
            <w:r>
              <w:rPr>
                <w:b/>
                <w:i/>
                <w:strike w:val="0"/>
                <w:color w:val="7030A0"/>
              </w:rPr>
              <w:t>🏷 Product rename — August 2026</w:t>
            </w:r>
            <w:r>
              <w:rPr>
                <w:b w:val="0"/>
                <w:i w:val="0"/>
                <w:strike w:val="0"/>
              </w:rPr>
              <w:t xml:space="preserve"> </w:t>
            </w:r>
            <w:r>
              <w:rPr>
                <w:b w:val="0"/>
                <w:i/>
                <w:strike w:val="0"/>
                <w:color w:val="7030A0"/>
                <w:sz w:val="16"/>
              </w:rPr>
              <w:t xml:space="preserve"> [Aug 2026 client MOM]</w:t>
            </w:r>
          </w:p>
          <w:p>
            <w:pPr>
              <w:pStyle w:val="ListBullet"/>
            </w:pPr>
            <w:r>
              <w:rPr>
                <w:b/>
                <w:i/>
                <w:strike w:val="0"/>
                <w:color w:val="7030A0"/>
              </w:rPr>
              <w:t>The product is renamed from ComplianceIQ to ControlIQ. Every reference in this document uses the new name, including in text describing decisions taken before the rename — the name is applied document-wide rather than versioned per paragraph, so that nothing in the working baseline carries the retired name.</w:t>
            </w:r>
            <w:r>
              <w:rPr>
                <w:b w:val="0"/>
                <w:i w:val="0"/>
                <w:strike w:val="0"/>
              </w:rPr>
              <w:t xml:space="preserve"> </w:t>
            </w:r>
            <w:r>
              <w:rPr>
                <w:b w:val="0"/>
                <w:i/>
                <w:strike w:val="0"/>
                <w:color w:val="7030A0"/>
                <w:sz w:val="16"/>
              </w:rPr>
              <w:t xml:space="preserve"> [Aug 2026 client MOM]</w:t>
            </w:r>
          </w:p>
          <w:p>
            <w:pPr>
              <w:pStyle w:val="ListBullet"/>
            </w:pPr>
            <w:r>
              <w:rPr>
                <w:b/>
                <w:i/>
                <w:strike w:val="0"/>
                <w:color w:val="7030A0"/>
              </w:rPr>
              <w:t>Documents issued before this revision (v1.0 BRD through v4.0 PRD, and the signed PRD.docx) were published as ComplianceIQ. Those are historical records and are not retitled. When someone cites "the ComplianceIQ PRD", they mean v4.0 or earlier.</w:t>
            </w:r>
            <w:r>
              <w:rPr>
                <w:b w:val="0"/>
                <w:i w:val="0"/>
                <w:strike w:val="0"/>
              </w:rPr>
              <w:t xml:space="preserve"> </w:t>
            </w:r>
            <w:r>
              <w:rPr>
                <w:b w:val="0"/>
                <w:i/>
                <w:strike w:val="0"/>
                <w:color w:val="7030A0"/>
                <w:sz w:val="16"/>
              </w:rPr>
              <w:t xml:space="preserve"> [Aug 2026 client MOM]</w:t>
            </w:r>
          </w:p>
          <w:p>
            <w:pPr>
              <w:pStyle w:val="ListBullet"/>
            </w:pPr>
            <w:r>
              <w:rPr>
                <w:b/>
                <w:i/>
                <w:strike w:val="0"/>
                <w:color w:val="7030A0"/>
              </w:rPr>
              <w:t>The rename reaches beyond this document: report branding (FR-57), the marketing site (Section 1.3), the login and product UI, email templates, and the domain question in MKT-05 all carry the product name. See Section 14, CC-02 for what the rename does and does not settle.</w:t>
            </w:r>
            <w:r>
              <w:rPr>
                <w:b w:val="0"/>
                <w:i w:val="0"/>
                <w:strike w:val="0"/>
              </w:rPr>
              <w:t xml:space="preserve"> </w:t>
            </w:r>
            <w:r>
              <w:rPr>
                <w:b w:val="0"/>
                <w:i/>
                <w:strike w:val="0"/>
                <w:color w:val="7030A0"/>
                <w:sz w:val="16"/>
              </w:rPr>
              <w:t xml:space="preserve"> [Aug 2026 client MOM]</w:t>
            </w:r>
          </w:p>
        </w:tc>
      </w:tr>
    </w:tbl>
    <w:p>
      <w:pPr>
        <w:pStyle w:val="Heading1"/>
      </w:pPr>
      <w:r>
        <w:t>How to Read This Document</w:t>
      </w:r>
    </w:p>
    <w:p>
      <w:r>
        <w:rPr>
          <w:b w:val="0"/>
          <w:i w:val="0"/>
          <w:strike w:val="0"/>
        </w:rPr>
        <w:t>This document describes everything ControlIQ is being built to do. It is written for three audiences at the same time:</w:t>
      </w:r>
    </w:p>
    <w:tbl>
      <w:tblPr>
        <w:tblStyle w:val="TableGrid"/>
        <w:tblW w:type="auto" w:w="0"/>
        <w:tblLook w:firstColumn="1" w:firstRow="1" w:lastColumn="0" w:lastRow="0" w:noHBand="0" w:noVBand="1" w:val="04A0"/>
      </w:tblPr>
      <w:tblGrid>
        <w:gridCol w:w="4320"/>
        <w:gridCol w:w="4320"/>
      </w:tblGrid>
      <w:tr>
        <w:tc>
          <w:tcPr>
            <w:tcW w:type="dxa" w:w="4320"/>
            <w:shd w:val="clear" w:fill="1F4E79"/>
          </w:tcPr>
          <w:p>
            <w:r>
              <w:rPr>
                <w:b/>
                <w:color w:val="FFFFFF"/>
              </w:rPr>
            </w:r>
            <w:r>
              <w:rPr>
                <w:b/>
                <w:i w:val="0"/>
                <w:strike w:val="0"/>
                <w:color w:val="FFFFFF"/>
              </w:rPr>
              <w:t>Reader</w:t>
            </w:r>
          </w:p>
        </w:tc>
        <w:tc>
          <w:tcPr>
            <w:tcW w:type="dxa" w:w="4320"/>
            <w:shd w:val="clear" w:fill="1F4E79"/>
          </w:tcPr>
          <w:p>
            <w:r>
              <w:rPr>
                <w:b/>
                <w:color w:val="FFFFFF"/>
              </w:rPr>
            </w:r>
            <w:r>
              <w:rPr>
                <w:b/>
                <w:i w:val="0"/>
                <w:strike w:val="0"/>
                <w:color w:val="FFFFFF"/>
              </w:rPr>
              <w:t>What to focus on</w:t>
            </w:r>
          </w:p>
        </w:tc>
      </w:tr>
      <w:tr>
        <w:tc>
          <w:tcPr>
            <w:tcW w:type="dxa" w:w="4320"/>
          </w:tcPr>
          <w:p>
            <w:r/>
            <w:r>
              <w:rPr>
                <w:b w:val="0"/>
                <w:i w:val="0"/>
                <w:strike w:val="0"/>
              </w:rPr>
              <w:t>Sosinna (domain expert, client)</w:t>
            </w:r>
          </w:p>
        </w:tc>
        <w:tc>
          <w:tcPr>
            <w:tcW w:type="dxa" w:w="4320"/>
          </w:tcPr>
          <w:p>
            <w:r/>
            <w:r>
              <w:rPr>
                <w:b w:val="0"/>
                <w:i w:val="0"/>
                <w:strike w:val="0"/>
              </w:rPr>
              <w:t>The plain-English feature descriptions. If something doesn't match your vision or you think something is missing, note it down — every section ends with open questions. You don't need to read the grey developer notes.</w:t>
            </w:r>
          </w:p>
        </w:tc>
      </w:tr>
      <w:tr>
        <w:tc>
          <w:tcPr>
            <w:tcW w:type="dxa" w:w="4320"/>
          </w:tcPr>
          <w:p>
            <w:r/>
            <w:r>
              <w:rPr>
                <w:b w:val="0"/>
                <w:i w:val="0"/>
                <w:strike w:val="0"/>
              </w:rPr>
              <w:t>UI/UX designers</w:t>
            </w:r>
          </w:p>
        </w:tc>
        <w:tc>
          <w:tcPr>
            <w:tcW w:type="dxa" w:w="4320"/>
          </w:tcPr>
          <w:p>
            <w:r/>
            <w:r>
              <w:rPr>
                <w:b w:val="0"/>
                <w:i w:val="0"/>
                <w:strike w:val="0"/>
              </w:rPr>
              <w:t>The workflow sections and role descriptions. These explain who does what, in what order, and what they need to see on screen at each point.</w:t>
            </w:r>
          </w:p>
        </w:tc>
      </w:tr>
      <w:tr>
        <w:tc>
          <w:tcPr>
            <w:tcW w:type="dxa" w:w="4320"/>
          </w:tcPr>
          <w:p>
            <w:r/>
            <w:r>
              <w:rPr>
                <w:b w:val="0"/>
                <w:i w:val="0"/>
                <w:strike w:val="0"/>
              </w:rPr>
              <w:t>Developers and estimators</w:t>
            </w:r>
          </w:p>
        </w:tc>
        <w:tc>
          <w:tcPr>
            <w:tcW w:type="dxa" w:w="4320"/>
          </w:tcPr>
          <w:p>
            <w:r/>
            <w:r>
              <w:rPr>
                <w:b w:val="0"/>
                <w:i w:val="0"/>
                <w:strike w:val="0"/>
              </w:rPr>
              <w:t>The feature IDs in blue (like [FR-24]) are the individual items to estimate. The grey developer notes flag technical decisions. Everything else gives you the context for why a feature exists.</w:t>
            </w:r>
          </w:p>
        </w:tc>
      </w:tr>
    </w:tbl>
    <w:tbl>
      <w:tblPr>
        <w:tblStyle w:val="TableGrid"/>
        <w:tblW w:type="auto" w:w="0"/>
        <w:tblLook w:firstColumn="1" w:firstRow="1" w:lastColumn="0" w:lastRow="0" w:noHBand="0" w:noVBand="1" w:val="04A0"/>
      </w:tblPr>
      <w:tblGrid>
        <w:gridCol w:w="8640"/>
      </w:tblGrid>
      <w:tr>
        <w:tc>
          <w:tcPr>
            <w:tcW w:type="dxa" w:w="8640"/>
            <w:shd w:val="clear" w:fill="DDEBF7"/>
          </w:tcPr>
          <w:p>
            <w:r>
              <w:rPr>
                <w:b/>
                <w:i w:val="0"/>
                <w:strike w:val="0"/>
              </w:rPr>
              <w:t>📌 Note</w:t>
            </w:r>
          </w:p>
          <w:p>
            <w:pPr>
              <w:pStyle w:val="ListBullet"/>
            </w:pPr>
            <w:r>
              <w:rPr>
                <w:b w:val="0"/>
                <w:i w:val="0"/>
                <w:strike w:val="0"/>
              </w:rPr>
              <w:t>Some technical terms appear in this document — for example, 'multi-tenant architecture' or 'OCR'. Each one is explained in plain English the first time it appears.</w:t>
            </w:r>
          </w:p>
          <w:p>
            <w:pPr>
              <w:pStyle w:val="ListBullet"/>
            </w:pPr>
            <w:r>
              <w:rPr>
                <w:b w:val="0"/>
                <w:i w:val="0"/>
                <w:strike w:val="0"/>
              </w:rPr>
              <w:t>Confirmed decisions are shown in green boxes. Open questions are in yellow boxes. Everything else is agreed and in scope.</w:t>
            </w:r>
          </w:p>
          <w:p>
            <w:pPr>
              <w:pStyle w:val="ListBullet"/>
            </w:pPr>
            <w:r>
              <w:rPr>
                <w:b w:val="0"/>
                <w:i w:val="0"/>
                <w:strike w:val="0"/>
              </w:rPr>
              <w:t>Feature IDs like [FR-24] or [SA-02] are reference tags for the development team. They do not affect the reading.</w:t>
            </w:r>
          </w:p>
          <w:p>
            <w:pPr>
              <w:pStyle w:val="ListBullet"/>
            </w:pPr>
            <w:r>
              <w:rPr>
                <w:b w:val="0"/>
                <w:i w:val="0"/>
                <w:strike w:val="0"/>
              </w:rPr>
              <w:t>New: blue text marks answers from the 25 Jun call; orange text marks answers from Sosinna's Drive comments. See the legend on the title page.</w:t>
            </w:r>
          </w:p>
          <w:p>
            <w:pPr>
              <w:pStyle w:val="ListBullet"/>
            </w:pPr>
            <w:r>
              <w:rPr>
                <w:b/>
                <w:i/>
                <w:strike w:val="0"/>
                <w:color w:val="7030A0"/>
              </w:rPr>
              <w:t>New in v5.0: purple text marks decisions from the August 2026 client meeting. If you read only one thing in that revision, read Section 7.2 — the way tests get scheduled has changed.</w:t>
            </w:r>
            <w:r>
              <w:rPr>
                <w:b w:val="0"/>
                <w:i w:val="0"/>
                <w:strike w:val="0"/>
              </w:rPr>
              <w:t xml:space="preserve"> </w:t>
            </w:r>
            <w:r>
              <w:rPr>
                <w:b w:val="0"/>
                <w:i/>
                <w:strike w:val="0"/>
                <w:color w:val="7030A0"/>
                <w:sz w:val="16"/>
              </w:rPr>
              <w:t xml:space="preserve"> [Aug 2026 client MOM]</w:t>
            </w:r>
          </w:p>
          <w:p>
            <w:pPr>
              <w:pStyle w:val="ListBullet"/>
            </w:pPr>
            <w:r>
              <w:rPr>
                <w:b/>
                <w:i/>
                <w:strike w:val="0"/>
                <w:color w:val="008080"/>
              </w:rPr>
              <w:t>New in v6.0: teal text marks decisions from the 11 August 2026 Compliance Testing Workflow Review. Most of that meeting confirmed v5.0 rather than changing it. If you read only one thing in that revision, read Section 7.2 — one test can now be split across several testers by article.</w:t>
            </w:r>
            <w:r>
              <w:rPr>
                <w:b w:val="0"/>
                <w:i w:val="0"/>
                <w:strike w:val="0"/>
              </w:rPr>
              <w:t xml:space="preserve"> </w:t>
            </w:r>
            <w:r>
              <w:rPr>
                <w:b w:val="0"/>
                <w:i/>
                <w:strike w:val="0"/>
                <w:color w:val="008080"/>
                <w:sz w:val="16"/>
              </w:rPr>
              <w:t xml:space="preserve"> [11 Aug 2026 MOM]</w:t>
            </w:r>
          </w:p>
          <w:p>
            <w:pPr>
              <w:pStyle w:val="ListBullet"/>
            </w:pPr>
            <w:r>
              <w:rPr>
                <w:b/>
                <w:i/>
                <w:strike w:val="0"/>
                <w:color w:val="843C0C"/>
              </w:rPr>
              <w:t>New in v7.0: brown text marks the client-specified onboarding flow. If you read only one thing in this revision, read Section 5 — it is restructured, and stages 7 to 9 put payment inside the platform for the first time.</w:t>
            </w:r>
            <w:r>
              <w:rPr>
                <w:b w:val="0"/>
                <w:i w:val="0"/>
                <w:strike w:val="0"/>
              </w:rPr>
              <w:t xml:space="preserve"> </w:t>
            </w:r>
            <w:r>
              <w:rPr>
                <w:b w:val="0"/>
                <w:i/>
                <w:strike w:val="0"/>
                <w:color w:val="843C0C"/>
                <w:sz w:val="16"/>
              </w:rPr>
              <w:t xml:space="preserve"> [Aug 2026 onboarding flow]</w:t>
            </w:r>
          </w:p>
          <w:p>
            <w:pPr>
              <w:pStyle w:val="ListBullet"/>
            </w:pPr>
            <w:r>
              <w:rPr>
                <w:b/>
                <w:i/>
                <w:strike w:val="0"/>
                <w:color w:val="CC00CC"/>
              </w:rPr>
              <w:t>New in v8.0: magenta text marks decisions from the 14 August 2026 client meeting. If you read only one thing in this revision, read Section 7.4 — the business owner's side of evidence collection is now specified end to end, from announcement letter to upload-or-reason.</w:t>
            </w:r>
            <w:r>
              <w:rPr>
                <w:b w:val="0"/>
                <w:i w:val="0"/>
                <w:strike w:val="0"/>
              </w:rPr>
              <w:t xml:space="preserve"> </w:t>
            </w:r>
            <w:r>
              <w:rPr>
                <w:b w:val="0"/>
                <w:i/>
                <w:strike w:val="0"/>
                <w:color w:val="CC00CC"/>
                <w:sz w:val="16"/>
              </w:rPr>
              <w:t xml:space="preserve"> [14 Aug 2026 MOM]</w:t>
            </w:r>
          </w:p>
        </w:tc>
      </w:tr>
    </w:tbl>
    <w:p>
      <w:pPr>
        <w:pStyle w:val="Heading2"/>
      </w:pPr>
      <w:r>
        <w:t>What Changed in v8.0</w:t>
      </w:r>
    </w:p>
    <w:p>
      <w:r>
        <w:rPr>
          <w:b/>
          <w:i/>
          <w:strike w:val="0"/>
          <w:color w:val="CC00CC"/>
        </w:rPr>
        <w:t>The 14 August 2026 client meeting walked the testing workflow from the business owner's side for the first time, settled how the CCO closes out a test, and added several platform-wide items. Where the minutes confirm v5.0–v7.0 text — audit trails, deactivate-don't-delete, call-tree gap evaluation, test versioning, rule-change alerts — the existing requirement is left standing and marked confirmed. The table below lists what is genuinely new or changed.</w:t>
      </w:r>
      <w:r>
        <w:rPr>
          <w:b w:val="0"/>
          <w:i w:val="0"/>
          <w:strike w:val="0"/>
        </w:rPr>
        <w:t xml:space="preserve"> </w:t>
      </w:r>
      <w:r>
        <w:rPr>
          <w:b w:val="0"/>
          <w:i/>
          <w:strike w:val="0"/>
          <w:color w:val="CC00CC"/>
          <w:sz w:val="16"/>
        </w:rPr>
        <w:t xml:space="preserve"> [14 Aug 2026 MOM]</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4E79"/>
          </w:tcPr>
          <w:p>
            <w:r>
              <w:rPr>
                <w:b/>
                <w:color w:val="FFFFFF"/>
              </w:rPr>
            </w:r>
            <w:r>
              <w:rPr>
                <w:b/>
                <w:i w:val="0"/>
                <w:strike w:val="0"/>
                <w:color w:val="FFFFFF"/>
              </w:rPr>
              <w:t>Change</w:t>
            </w:r>
          </w:p>
        </w:tc>
        <w:tc>
          <w:tcPr>
            <w:tcW w:type="dxa" w:w="2880"/>
            <w:shd w:val="clear" w:fill="1F4E79"/>
          </w:tcPr>
          <w:p>
            <w:r>
              <w:rPr>
                <w:b/>
                <w:color w:val="FFFFFF"/>
              </w:rPr>
            </w:r>
            <w:r>
              <w:rPr>
                <w:b/>
                <w:i w:val="0"/>
                <w:strike w:val="0"/>
                <w:color w:val="FFFFFF"/>
              </w:rPr>
              <w:t>Where</w:t>
            </w:r>
          </w:p>
        </w:tc>
        <w:tc>
          <w:tcPr>
            <w:tcW w:type="dxa" w:w="2880"/>
            <w:shd w:val="clear" w:fill="1F4E79"/>
          </w:tcPr>
          <w:p>
            <w:r>
              <w:rPr>
                <w:b/>
                <w:color w:val="FFFFFF"/>
              </w:rPr>
            </w:r>
            <w:r>
              <w:rPr>
                <w:b/>
                <w:i w:val="0"/>
                <w:strike w:val="0"/>
                <w:color w:val="FFFFFF"/>
              </w:rPr>
              <w:t>Why it matters</w:t>
            </w:r>
          </w:p>
        </w:tc>
      </w:tr>
      <w:tr>
        <w:tc>
          <w:tcPr>
            <w:tcW w:type="dxa" w:w="2880"/>
          </w:tcPr>
          <w:p>
            <w:r/>
            <w:r>
              <w:rPr>
                <w:b w:val="0"/>
                <w:i w:val="0"/>
                <w:strike w:val="0"/>
              </w:rPr>
              <w:t xml:space="preserve">The test announcement letter goes to a </w:t>
            </w:r>
            <w:r>
              <w:rPr>
                <w:b/>
                <w:i w:val="0"/>
                <w:strike w:val="0"/>
              </w:rPr>
              <w:t>distribution list</w:t>
            </w:r>
            <w:r>
              <w:rPr>
                <w:b w:val="0"/>
                <w:i w:val="0"/>
                <w:strike w:val="0"/>
              </w:rPr>
              <w:t xml:space="preserve"> of all relevant business units, auto-populated by the platform; the CCO can add or edit recipients, but only with a recorded justification</w:t>
            </w:r>
          </w:p>
        </w:tc>
        <w:tc>
          <w:tcPr>
            <w:tcW w:type="dxa" w:w="2880"/>
          </w:tcPr>
          <w:p>
            <w:r/>
            <w:r>
              <w:rPr>
                <w:b w:val="0"/>
                <w:i w:val="0"/>
                <w:strike w:val="0"/>
              </w:rPr>
              <w:t>Section 7.4 — FR-83 revised, FR-132</w:t>
            </w:r>
          </w:p>
        </w:tc>
        <w:tc>
          <w:tcPr>
            <w:tcW w:type="dxa" w:w="2880"/>
          </w:tcPr>
          <w:p>
            <w:r/>
            <w:r>
              <w:rPr>
                <w:b w:val="0"/>
                <w:i w:val="0"/>
                <w:strike w:val="0"/>
              </w:rPr>
              <w:t>The letter was previously addressed to a single business owner. Editing the auto-populated list is now itself an audited decision</w:t>
            </w:r>
          </w:p>
        </w:tc>
      </w:tr>
      <w:tr>
        <w:tc>
          <w:tcPr>
            <w:tcW w:type="dxa" w:w="2880"/>
          </w:tcPr>
          <w:p>
            <w:r/>
            <w:r>
              <w:rPr>
                <w:b w:val="0"/>
                <w:i w:val="0"/>
                <w:strike w:val="0"/>
              </w:rPr>
              <w:t>Every test shows an overview and the request list needed to execute it</w:t>
            </w:r>
          </w:p>
        </w:tc>
        <w:tc>
          <w:tcPr>
            <w:tcW w:type="dxa" w:w="2880"/>
          </w:tcPr>
          <w:p>
            <w:r/>
            <w:r>
              <w:rPr>
                <w:b w:val="0"/>
                <w:i w:val="0"/>
                <w:strike w:val="0"/>
              </w:rPr>
              <w:t>Section 7.2 — FR-129</w:t>
            </w:r>
          </w:p>
        </w:tc>
        <w:tc>
          <w:tcPr>
            <w:tcW w:type="dxa" w:w="2880"/>
          </w:tcPr>
          <w:p>
            <w:r/>
            <w:r>
              <w:rPr>
                <w:b w:val="0"/>
                <w:i w:val="0"/>
                <w:strike w:val="0"/>
              </w:rPr>
              <w:t>The request list stops being a hidden artefact of Section 7.4 and becomes part of the test's own surface</w:t>
            </w:r>
          </w:p>
        </w:tc>
      </w:tr>
      <w:tr>
        <w:tc>
          <w:tcPr>
            <w:tcW w:type="dxa" w:w="2880"/>
          </w:tcPr>
          <w:p>
            <w:r/>
            <w:r>
              <w:rPr>
                <w:b w:val="0"/>
                <w:i w:val="0"/>
                <w:strike w:val="0"/>
              </w:rPr>
              <w:t xml:space="preserve">Each request list item is mapped to a </w:t>
            </w:r>
            <w:r>
              <w:rPr>
                <w:b/>
                <w:i w:val="0"/>
                <w:strike w:val="0"/>
              </w:rPr>
              <w:t>business unit</w:t>
            </w:r>
          </w:p>
        </w:tc>
        <w:tc>
          <w:tcPr>
            <w:tcW w:type="dxa" w:w="2880"/>
          </w:tcPr>
          <w:p>
            <w:r/>
            <w:r>
              <w:rPr>
                <w:b w:val="0"/>
                <w:i w:val="0"/>
                <w:strike w:val="0"/>
              </w:rPr>
              <w:t>Section 7.4 — FR-131</w:t>
            </w:r>
          </w:p>
        </w:tc>
        <w:tc>
          <w:tcPr>
            <w:tcW w:type="dxa" w:w="2880"/>
          </w:tcPr>
          <w:p>
            <w:r/>
            <w:r>
              <w:rPr>
                <w:b w:val="0"/>
                <w:i w:val="0"/>
                <w:strike w:val="0"/>
              </w:rPr>
              <w:t>Accountability moves from one owner per test to a unit per item — different items on one test can belong to different units</w:t>
            </w:r>
          </w:p>
        </w:tc>
      </w:tr>
      <w:tr>
        <w:tc>
          <w:tcPr>
            <w:tcW w:type="dxa" w:w="2880"/>
          </w:tcPr>
          <w:p>
            <w:r/>
            <w:r>
              <w:rPr>
                <w:b w:val="0"/>
                <w:i w:val="0"/>
                <w:strike w:val="0"/>
              </w:rPr>
              <w:t>The business owner clicks the link in the announcement letter and lands on a dashboard showing the test and every request item on their side</w:t>
            </w:r>
          </w:p>
        </w:tc>
        <w:tc>
          <w:tcPr>
            <w:tcW w:type="dxa" w:w="2880"/>
          </w:tcPr>
          <w:p>
            <w:r/>
            <w:r>
              <w:rPr>
                <w:b w:val="0"/>
                <w:i w:val="0"/>
                <w:strike w:val="0"/>
              </w:rPr>
              <w:t>Section 7.4 — FR-133</w:t>
            </w:r>
          </w:p>
        </w:tc>
        <w:tc>
          <w:tcPr>
            <w:tcW w:type="dxa" w:w="2880"/>
          </w:tcPr>
          <w:p>
            <w:r/>
            <w:r>
              <w:rPr>
                <w:b w:val="0"/>
                <w:i w:val="0"/>
                <w:strike w:val="0"/>
              </w:rPr>
              <w:t>Resolves TS-04. The business side finally has a defined surface; how they authenticate is still EV-03</w:t>
            </w:r>
          </w:p>
        </w:tc>
      </w:tr>
      <w:tr>
        <w:tc>
          <w:tcPr>
            <w:tcW w:type="dxa" w:w="2880"/>
          </w:tcPr>
          <w:p>
            <w:r/>
            <w:r>
              <w:rPr>
                <w:b w:val="0"/>
                <w:i w:val="0"/>
                <w:strike w:val="0"/>
              </w:rPr>
              <w:t>Against each request item the business owner uploads the document — or, where no document exists, records a reason</w:t>
            </w:r>
          </w:p>
        </w:tc>
        <w:tc>
          <w:tcPr>
            <w:tcW w:type="dxa" w:w="2880"/>
          </w:tcPr>
          <w:p>
            <w:r/>
            <w:r>
              <w:rPr>
                <w:b w:val="0"/>
                <w:i w:val="0"/>
                <w:strike w:val="0"/>
              </w:rPr>
              <w:t>Section 7.4 — FR-134</w:t>
            </w:r>
          </w:p>
        </w:tc>
        <w:tc>
          <w:tcPr>
            <w:tcW w:type="dxa" w:w="2880"/>
          </w:tcPr>
          <w:p>
            <w:r/>
            <w:r>
              <w:rPr>
                <w:b w:val="0"/>
                <w:i w:val="0"/>
                <w:strike w:val="0"/>
              </w:rPr>
              <w:t>"We don't have that" becomes recorded compliance information instead of silence</w:t>
            </w:r>
          </w:p>
        </w:tc>
      </w:tr>
      <w:tr>
        <w:tc>
          <w:tcPr>
            <w:tcW w:type="dxa" w:w="2880"/>
          </w:tcPr>
          <w:p>
            <w:r/>
            <w:r>
              <w:rPr>
                <w:b w:val="0"/>
                <w:i w:val="0"/>
                <w:strike w:val="0"/>
              </w:rPr>
              <w:t xml:space="preserve">Each request item records when it was asked, when it was received, and </w:t>
            </w:r>
            <w:r>
              <w:rPr>
                <w:b/>
                <w:i w:val="0"/>
                <w:strike w:val="0"/>
              </w:rPr>
              <w:t>who uploaded it</w:t>
            </w:r>
          </w:p>
        </w:tc>
        <w:tc>
          <w:tcPr>
            <w:tcW w:type="dxa" w:w="2880"/>
          </w:tcPr>
          <w:p>
            <w:r/>
            <w:r>
              <w:rPr>
                <w:b w:val="0"/>
                <w:i w:val="0"/>
                <w:strike w:val="0"/>
              </w:rPr>
              <w:t>Section 7.4 — FR-85 revised</w:t>
            </w:r>
          </w:p>
        </w:tc>
        <w:tc>
          <w:tcPr>
            <w:tcW w:type="dxa" w:w="2880"/>
          </w:tcPr>
          <w:p>
            <w:r/>
            <w:r>
              <w:rPr>
                <w:b w:val="0"/>
                <w:i w:val="0"/>
                <w:strike w:val="0"/>
              </w:rPr>
              <w:t>The uploader's identity joins the request/receipt dates in the audit trail</w:t>
            </w:r>
          </w:p>
        </w:tc>
      </w:tr>
      <w:tr>
        <w:tc>
          <w:tcPr>
            <w:tcW w:type="dxa" w:w="2880"/>
          </w:tcPr>
          <w:p>
            <w:r/>
            <w:r>
              <w:rPr>
                <w:b w:val="0"/>
                <w:i w:val="0"/>
                <w:strike w:val="0"/>
              </w:rPr>
              <w:t>The Lead Tester sees the AI-identified gaps against each test step and records a status per step</w:t>
            </w:r>
          </w:p>
        </w:tc>
        <w:tc>
          <w:tcPr>
            <w:tcW w:type="dxa" w:w="2880"/>
          </w:tcPr>
          <w:p>
            <w:r/>
            <w:r>
              <w:rPr>
                <w:b w:val="0"/>
                <w:i w:val="0"/>
                <w:strike w:val="0"/>
              </w:rPr>
              <w:t>Section 7.5 — FR-135</w:t>
            </w:r>
          </w:p>
        </w:tc>
        <w:tc>
          <w:tcPr>
            <w:tcW w:type="dxa" w:w="2880"/>
          </w:tcPr>
          <w:p>
            <w:r/>
            <w:r>
              <w:rPr>
                <w:b w:val="0"/>
                <w:i w:val="0"/>
                <w:strike w:val="0"/>
              </w:rPr>
              <w:t>Gap review happens inside the step-by-step execution, not as a separate afterthought</w:t>
            </w:r>
          </w:p>
        </w:tc>
      </w:tr>
      <w:tr>
        <w:tc>
          <w:tcPr>
            <w:tcW w:type="dxa" w:w="2880"/>
          </w:tcPr>
          <w:p>
            <w:r/>
            <w:r>
              <w:rPr>
                <w:b w:val="0"/>
                <w:i w:val="0"/>
                <w:strike w:val="0"/>
              </w:rPr>
              <w:t xml:space="preserve">The Lead Tester submits the finished test for CCO review; the CCO has exactly three outcomes — mark completed, assign a remediation owner, or return it to the Lead Tester. </w:t>
            </w:r>
            <w:r>
              <w:rPr>
                <w:b/>
                <w:i w:val="0"/>
                <w:strike w:val="0"/>
              </w:rPr>
              <w:t>Only the CCO can assign a remediation owner to a test</w:t>
            </w:r>
          </w:p>
        </w:tc>
        <w:tc>
          <w:tcPr>
            <w:tcW w:type="dxa" w:w="2880"/>
          </w:tcPr>
          <w:p>
            <w:r/>
            <w:r>
              <w:rPr>
                <w:b w:val="0"/>
                <w:i w:val="0"/>
                <w:strike w:val="0"/>
              </w:rPr>
              <w:t>Sections 7.1 and 8.3 — FR-136</w:t>
            </w:r>
          </w:p>
        </w:tc>
        <w:tc>
          <w:tcPr>
            <w:tcW w:type="dxa" w:w="2880"/>
          </w:tcPr>
          <w:p>
            <w:r/>
            <w:r>
              <w:rPr>
                <w:b w:val="0"/>
                <w:i w:val="0"/>
                <w:strike w:val="0"/>
              </w:rPr>
              <w:t>Closes part of GAP-06, but a test-level remediation owner conflicts with the per-milestone owners in FR-41 — logged as GAP-21</w:t>
            </w:r>
          </w:p>
        </w:tc>
      </w:tr>
      <w:tr>
        <w:tc>
          <w:tcPr>
            <w:tcW w:type="dxa" w:w="2880"/>
          </w:tcPr>
          <w:p>
            <w:r/>
            <w:r>
              <w:rPr>
                <w:b w:val="0"/>
                <w:i w:val="0"/>
                <w:strike w:val="0"/>
              </w:rPr>
              <w:t>Tests marked Not Applicable are shown separately, with reason, who decided, and when</w:t>
            </w:r>
          </w:p>
        </w:tc>
        <w:tc>
          <w:tcPr>
            <w:tcW w:type="dxa" w:w="2880"/>
          </w:tcPr>
          <w:p>
            <w:r/>
            <w:r>
              <w:rPr>
                <w:b w:val="0"/>
                <w:i w:val="0"/>
                <w:strike w:val="0"/>
              </w:rPr>
              <w:t>Section 7.2 — FR-130</w:t>
            </w:r>
          </w:p>
        </w:tc>
        <w:tc>
          <w:tcPr>
            <w:tcW w:type="dxa" w:w="2880"/>
          </w:tcPr>
          <w:p>
            <w:r/>
            <w:r>
              <w:rPr>
                <w:b w:val="0"/>
                <w:i w:val="0"/>
                <w:strike w:val="0"/>
              </w:rPr>
              <w:t>The N/A appendix (FR-99) gains an in-platform register counterpart</w:t>
            </w:r>
          </w:p>
        </w:tc>
      </w:tr>
      <w:tr>
        <w:tc>
          <w:tcPr>
            <w:tcW w:type="dxa" w:w="2880"/>
          </w:tcPr>
          <w:p>
            <w:r/>
            <w:r>
              <w:rPr>
                <w:b w:val="0"/>
                <w:i w:val="0"/>
                <w:strike w:val="0"/>
              </w:rPr>
              <w:t>Users are deactivated, never deleted; system logs remain intact</w:t>
            </w:r>
          </w:p>
        </w:tc>
        <w:tc>
          <w:tcPr>
            <w:tcW w:type="dxa" w:w="2880"/>
          </w:tcPr>
          <w:p>
            <w:r/>
            <w:r>
              <w:rPr>
                <w:b w:val="0"/>
                <w:i w:val="0"/>
                <w:strike w:val="0"/>
              </w:rPr>
              <w:t>Section 3.3 — FR-14 confirmed</w:t>
            </w:r>
          </w:p>
        </w:tc>
        <w:tc>
          <w:tcPr>
            <w:tcW w:type="dxa" w:w="2880"/>
          </w:tcPr>
          <w:p>
            <w:r/>
            <w:r>
              <w:rPr>
                <w:b w:val="0"/>
                <w:i w:val="0"/>
                <w:strike w:val="0"/>
              </w:rPr>
              <w:t>Restates FR-14 and the immutable audit trail — no change, marked confirmed</w:t>
            </w:r>
          </w:p>
        </w:tc>
      </w:tr>
      <w:tr>
        <w:tc>
          <w:tcPr>
            <w:tcW w:type="dxa" w:w="2880"/>
          </w:tcPr>
          <w:p>
            <w:r/>
            <w:r>
              <w:rPr>
                <w:b w:val="0"/>
                <w:i w:val="0"/>
                <w:strike w:val="0"/>
              </w:rPr>
              <w:t>Manual person-by-person staff entry is removed; staff enter the org only by spreadsheet upload</w:t>
            </w:r>
          </w:p>
        </w:tc>
        <w:tc>
          <w:tcPr>
            <w:tcW w:type="dxa" w:w="2880"/>
          </w:tcPr>
          <w:p>
            <w:r/>
            <w:r>
              <w:rPr>
                <w:b w:val="0"/>
                <w:i w:val="0"/>
                <w:strike w:val="0"/>
              </w:rPr>
              <w:t>Section 10.1 — FR-62 revised</w:t>
            </w:r>
          </w:p>
        </w:tc>
        <w:tc>
          <w:tcPr>
            <w:tcW w:type="dxa" w:w="2880"/>
          </w:tcPr>
          <w:p>
            <w:r/>
            <w:r>
              <w:rPr>
                <w:b w:val="0"/>
                <w:i w:val="0"/>
                <w:strike w:val="0"/>
              </w:rPr>
              <w:t>The dual entry route in FR-62 is cut to one. Onboarding (FR-120) inherits the same change</w:t>
            </w:r>
          </w:p>
        </w:tc>
      </w:tr>
      <w:tr>
        <w:tc>
          <w:tcPr>
            <w:tcW w:type="dxa" w:w="2880"/>
          </w:tcPr>
          <w:p>
            <w:r/>
            <w:r>
              <w:rPr>
                <w:b w:val="0"/>
                <w:i w:val="0"/>
                <w:strike w:val="0"/>
              </w:rPr>
              <w:t xml:space="preserve">Org chart level changes require the </w:t>
            </w:r>
            <w:r>
              <w:rPr>
                <w:b/>
                <w:i w:val="0"/>
                <w:strike w:val="0"/>
              </w:rPr>
              <w:t>"Firm Admin"</w:t>
            </w:r>
            <w:r>
              <w:rPr>
                <w:b w:val="0"/>
                <w:i w:val="0"/>
                <w:strike w:val="0"/>
              </w:rPr>
              <w:t xml:space="preserve"> role</w:t>
            </w:r>
          </w:p>
        </w:tc>
        <w:tc>
          <w:tcPr>
            <w:tcW w:type="dxa" w:w="2880"/>
          </w:tcPr>
          <w:p>
            <w:r/>
            <w:r>
              <w:rPr>
                <w:b w:val="0"/>
                <w:i w:val="0"/>
                <w:strike w:val="0"/>
              </w:rPr>
              <w:t>Section 10.2 — FR-139</w:t>
            </w:r>
          </w:p>
        </w:tc>
        <w:tc>
          <w:tcPr>
            <w:tcW w:type="dxa" w:w="2880"/>
          </w:tcPr>
          <w:p>
            <w:r/>
            <w:r>
              <w:rPr>
                <w:b w:val="0"/>
                <w:i w:val="0"/>
                <w:strike w:val="0"/>
              </w:rPr>
              <w:t>Presumed to be the Firm Super Admin system role under the client's name for it — confirmed as open question UM-01</w:t>
            </w:r>
          </w:p>
        </w:tc>
      </w:tr>
      <w:tr>
        <w:tc>
          <w:tcPr>
            <w:tcW w:type="dxa" w:w="2880"/>
          </w:tcPr>
          <w:p>
            <w:r/>
            <w:r>
              <w:rPr>
                <w:b w:val="0"/>
                <w:i w:val="0"/>
                <w:strike w:val="0"/>
              </w:rPr>
              <w:t>No page displays the org call tree</w:t>
            </w:r>
          </w:p>
        </w:tc>
        <w:tc>
          <w:tcPr>
            <w:tcW w:type="dxa" w:w="2880"/>
          </w:tcPr>
          <w:p>
            <w:r/>
            <w:r>
              <w:rPr>
                <w:b w:val="0"/>
                <w:i w:val="0"/>
                <w:strike w:val="0"/>
              </w:rPr>
              <w:t>Section 10.5 — FR-70 note</w:t>
            </w:r>
          </w:p>
        </w:tc>
        <w:tc>
          <w:tcPr>
            <w:tcW w:type="dxa" w:w="2880"/>
          </w:tcPr>
          <w:p>
            <w:r/>
            <w:r>
              <w:rPr>
                <w:b w:val="0"/>
                <w:i w:val="0"/>
                <w:strike w:val="0"/>
              </w:rPr>
              <w:t>The call tree is captured and gap-checked but deliberately not visualised. A descope decision, recorded so nobody builds it</w:t>
            </w:r>
          </w:p>
        </w:tc>
      </w:tr>
      <w:tr>
        <w:tc>
          <w:tcPr>
            <w:tcW w:type="dxa" w:w="2880"/>
          </w:tcPr>
          <w:p>
            <w:r/>
            <w:r>
              <w:rPr>
                <w:b w:val="0"/>
                <w:i w:val="0"/>
                <w:strike w:val="0"/>
              </w:rPr>
              <w:t>Rule fetches also save each rule's execution frequency and priority</w:t>
            </w:r>
          </w:p>
        </w:tc>
        <w:tc>
          <w:tcPr>
            <w:tcW w:type="dxa" w:w="2880"/>
          </w:tcPr>
          <w:p>
            <w:r/>
            <w:r>
              <w:rPr>
                <w:b w:val="0"/>
                <w:i w:val="0"/>
                <w:strike w:val="0"/>
              </w:rPr>
              <w:t>Section 4.5 — SA-23</w:t>
            </w:r>
          </w:p>
        </w:tc>
        <w:tc>
          <w:tcPr>
            <w:tcW w:type="dxa" w:w="2880"/>
          </w:tcPr>
          <w:p>
            <w:r/>
            <w:r>
              <w:rPr>
                <w:b w:val="0"/>
                <w:i w:val="0"/>
                <w:strike w:val="0"/>
              </w:rPr>
              <w:t>The fetched record now carries the two fields the pool model and SA-10 tagging consume</w:t>
            </w:r>
          </w:p>
        </w:tc>
      </w:tr>
      <w:tr>
        <w:tc>
          <w:tcPr>
            <w:tcW w:type="dxa" w:w="2880"/>
          </w:tcPr>
          <w:p>
            <w:r/>
            <w:r>
              <w:rPr>
                <w:b w:val="0"/>
                <w:i w:val="0"/>
                <w:strike w:val="0"/>
              </w:rPr>
              <w:t>The Super Admin can clone a test as a new one; the platform records the clone history</w:t>
            </w:r>
          </w:p>
        </w:tc>
        <w:tc>
          <w:tcPr>
            <w:tcW w:type="dxa" w:w="2880"/>
          </w:tcPr>
          <w:p>
            <w:r/>
            <w:r>
              <w:rPr>
                <w:b w:val="0"/>
                <w:i w:val="0"/>
                <w:strike w:val="0"/>
              </w:rPr>
              <w:t>Section 4.1 — SA-22</w:t>
            </w:r>
          </w:p>
        </w:tc>
        <w:tc>
          <w:tcPr>
            <w:tcW w:type="dxa" w:w="2880"/>
          </w:tcPr>
          <w:p>
            <w:r/>
            <w:r>
              <w:rPr>
                <w:b w:val="0"/>
                <w:i w:val="0"/>
                <w:strike w:val="0"/>
              </w:rPr>
              <w:t>Content reuse without losing provenance — every clone records what it came from</w:t>
            </w:r>
          </w:p>
        </w:tc>
      </w:tr>
      <w:tr>
        <w:tc>
          <w:tcPr>
            <w:tcW w:type="dxa" w:w="2880"/>
          </w:tcPr>
          <w:p>
            <w:r/>
            <w:r>
              <w:rPr>
                <w:b w:val="0"/>
                <w:i w:val="0"/>
                <w:strike w:val="0"/>
              </w:rPr>
              <w:t>The Super Admin has associate admin roles; final confirmation of their actions rests with Sosinna</w:t>
            </w:r>
          </w:p>
        </w:tc>
        <w:tc>
          <w:tcPr>
            <w:tcW w:type="dxa" w:w="2880"/>
          </w:tcPr>
          <w:p>
            <w:r/>
            <w:r>
              <w:rPr>
                <w:b w:val="0"/>
                <w:i w:val="0"/>
                <w:strike w:val="0"/>
              </w:rPr>
              <w:t>Section 4.6 — SA-24</w:t>
            </w:r>
          </w:p>
        </w:tc>
        <w:tc>
          <w:tcPr>
            <w:tcW w:type="dxa" w:w="2880"/>
          </w:tcPr>
          <w:p>
            <w:r/>
            <w:r>
              <w:rPr>
                <w:b w:val="0"/>
                <w:i w:val="0"/>
                <w:strike w:val="0"/>
              </w:rPr>
              <w:t>The Portal gains a two-tier admin model. What exactly needs Sosinna's confirmation is AD-01</w:t>
            </w:r>
          </w:p>
        </w:tc>
      </w:tr>
      <w:tr>
        <w:tc>
          <w:tcPr>
            <w:tcW w:type="dxa" w:w="2880"/>
          </w:tcPr>
          <w:p>
            <w:r/>
            <w:r>
              <w:rPr>
                <w:b w:val="0"/>
                <w:i w:val="0"/>
                <w:strike w:val="0"/>
              </w:rPr>
              <w:t>A glossary and guidance page in the firm application, managed from a Super Admin page in the Portal</w:t>
            </w:r>
          </w:p>
        </w:tc>
        <w:tc>
          <w:tcPr>
            <w:tcW w:type="dxa" w:w="2880"/>
          </w:tcPr>
          <w:p>
            <w:r/>
            <w:r>
              <w:rPr>
                <w:b w:val="0"/>
                <w:i w:val="0"/>
                <w:strike w:val="0"/>
              </w:rPr>
              <w:t>Sections 9.3 and 4.6 — FR-137, SA-25</w:t>
            </w:r>
          </w:p>
        </w:tc>
        <w:tc>
          <w:tcPr>
            <w:tcW w:type="dxa" w:w="2880"/>
          </w:tcPr>
          <w:p>
            <w:r/>
            <w:r>
              <w:rPr>
                <w:b w:val="0"/>
                <w:i w:val="0"/>
                <w:strike w:val="0"/>
              </w:rPr>
              <w:t>Net-new content surface, both sides</w:t>
            </w:r>
          </w:p>
        </w:tc>
      </w:tr>
      <w:tr>
        <w:tc>
          <w:tcPr>
            <w:tcW w:type="dxa" w:w="2880"/>
          </w:tcPr>
          <w:p>
            <w:r/>
            <w:r>
              <w:rPr>
                <w:b w:val="0"/>
                <w:i w:val="0"/>
                <w:strike w:val="0"/>
              </w:rPr>
              <w:t>The news feed ingests data and AML alerts from vendor sources such as NICE Actimize's AML pages</w:t>
            </w:r>
          </w:p>
        </w:tc>
        <w:tc>
          <w:tcPr>
            <w:tcW w:type="dxa" w:w="2880"/>
          </w:tcPr>
          <w:p>
            <w:r/>
            <w:r>
              <w:rPr>
                <w:b w:val="0"/>
                <w:i w:val="0"/>
                <w:strike w:val="0"/>
              </w:rPr>
              <w:t>Section 9.1 — FR-138</w:t>
            </w:r>
          </w:p>
        </w:tc>
        <w:tc>
          <w:tcPr>
            <w:tcW w:type="dxa" w:w="2880"/>
          </w:tcPr>
          <w:p>
            <w:r/>
            <w:r>
              <w:rPr>
                <w:b w:val="0"/>
                <w:i w:val="0"/>
                <w:strike w:val="0"/>
              </w:rPr>
              <w:t>Extends FR-54, but collides with the official-APIs-only MVP constraint — see NF-01 and RE-05</w:t>
            </w:r>
          </w:p>
        </w:tc>
      </w:tr>
      <w:tr>
        <w:tc>
          <w:tcPr>
            <w:tcW w:type="dxa" w:w="2880"/>
          </w:tcPr>
          <w:p>
            <w:r/>
            <w:r>
              <w:rPr>
                <w:b w:val="0"/>
                <w:i w:val="0"/>
                <w:strike w:val="0"/>
              </w:rPr>
              <w:t>Sosinna's team decides, before onboarding, whether a firm has all the requirements to be evaluated with ControlIQ</w:t>
            </w:r>
          </w:p>
        </w:tc>
        <w:tc>
          <w:tcPr>
            <w:tcW w:type="dxa" w:w="2880"/>
          </w:tcPr>
          <w:p>
            <w:r/>
            <w:r>
              <w:rPr>
                <w:b w:val="0"/>
                <w:i w:val="0"/>
                <w:strike w:val="0"/>
              </w:rPr>
              <w:t>Section 5.2 — SA-18 note</w:t>
            </w:r>
          </w:p>
        </w:tc>
        <w:tc>
          <w:tcPr>
            <w:tcW w:type="dxa" w:w="2880"/>
          </w:tcPr>
          <w:p>
            <w:r/>
            <w:r>
              <w:rPr>
                <w:b w:val="0"/>
                <w:i w:val="0"/>
                <w:strike w:val="0"/>
              </w:rPr>
              <w:t>Names the qualification judgement already implicit in the SA-18 status flow</w:t>
            </w:r>
          </w:p>
        </w:tc>
      </w:tr>
      <w:tr>
        <w:tc>
          <w:tcPr>
            <w:tcW w:type="dxa" w:w="2880"/>
          </w:tcPr>
          <w:p>
            <w:r/>
            <w:r>
              <w:rPr>
                <w:b w:val="0"/>
                <w:i w:val="0"/>
                <w:strike w:val="0"/>
              </w:rPr>
              <w:t xml:space="preserve">Logo and website colour are </w:t>
            </w:r>
            <w:r>
              <w:rPr>
                <w:b/>
                <w:i w:val="0"/>
                <w:strike w:val="0"/>
              </w:rPr>
              <w:t>blue and white</w:t>
            </w:r>
            <w:r>
              <w:rPr>
                <w:b w:val="0"/>
                <w:i w:val="0"/>
                <w:strike w:val="0"/>
              </w:rPr>
              <w:t>; exact colour codes to be finalised in the next discussion</w:t>
            </w:r>
          </w:p>
        </w:tc>
        <w:tc>
          <w:tcPr>
            <w:tcW w:type="dxa" w:w="2880"/>
          </w:tcPr>
          <w:p>
            <w:r/>
            <w:r>
              <w:rPr>
                <w:b w:val="0"/>
                <w:i w:val="0"/>
                <w:strike w:val="0"/>
              </w:rPr>
              <w:t>Section 14 — CC-02</w:t>
            </w:r>
          </w:p>
        </w:tc>
        <w:tc>
          <w:tcPr>
            <w:tcW w:type="dxa" w:w="2880"/>
          </w:tcPr>
          <w:p>
            <w:r/>
            <w:r>
              <w:rPr>
                <w:b w:val="0"/>
                <w:i w:val="0"/>
                <w:strike w:val="0"/>
              </w:rPr>
              <w:t>First concrete branding decision. Codes pending as BR-01</w:t>
            </w:r>
          </w:p>
        </w:tc>
      </w:tr>
    </w:tbl>
    <w:p>
      <w:pPr>
        <w:pStyle w:val="Heading2"/>
      </w:pPr>
      <w:r>
        <w:t>What Changed in v7.0</w:t>
      </w:r>
    </w:p>
    <w:p>
      <w:r>
        <w:rPr>
          <w:b/>
          <w:i/>
          <w:strike w:val="0"/>
          <w:color w:val="843C0C"/>
        </w:rPr>
        <w:t>The client specified the firm onboarding journey end to end. Section 5 is restructured around it: what was a description of the setup wizard is now the whole path from enquiry to first login. Two capabilities are genuinely new to the product — managing enquiries for firms that are not yet customers, and taking payment.</w:t>
      </w:r>
      <w:r>
        <w:rPr>
          <w:b w:val="0"/>
          <w:i w:val="0"/>
          <w:strike w:val="0"/>
        </w:rPr>
        <w:t xml:space="preserve"> </w:t>
      </w:r>
      <w:r>
        <w:rPr>
          <w:b w:val="0"/>
          <w:i/>
          <w:strike w:val="0"/>
          <w:color w:val="843C0C"/>
          <w:sz w:val="16"/>
        </w:rPr>
        <w:t xml:space="preserve"> [Aug 2026 onboarding flow]</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4E79"/>
          </w:tcPr>
          <w:p>
            <w:r>
              <w:rPr>
                <w:b/>
                <w:color w:val="FFFFFF"/>
              </w:rPr>
            </w:r>
            <w:r>
              <w:rPr>
                <w:b/>
                <w:i w:val="0"/>
                <w:strike w:val="0"/>
                <w:color w:val="FFFFFF"/>
              </w:rPr>
              <w:t>Change</w:t>
            </w:r>
          </w:p>
        </w:tc>
        <w:tc>
          <w:tcPr>
            <w:tcW w:type="dxa" w:w="2880"/>
            <w:shd w:val="clear" w:fill="1F4E79"/>
          </w:tcPr>
          <w:p>
            <w:r>
              <w:rPr>
                <w:b/>
                <w:color w:val="FFFFFF"/>
              </w:rPr>
            </w:r>
            <w:r>
              <w:rPr>
                <w:b/>
                <w:i w:val="0"/>
                <w:strike w:val="0"/>
                <w:color w:val="FFFFFF"/>
              </w:rPr>
              <w:t>Where</w:t>
            </w:r>
          </w:p>
        </w:tc>
        <w:tc>
          <w:tcPr>
            <w:tcW w:type="dxa" w:w="2880"/>
            <w:shd w:val="clear" w:fill="1F4E79"/>
          </w:tcPr>
          <w:p>
            <w:r>
              <w:rPr>
                <w:b/>
                <w:color w:val="FFFFFF"/>
              </w:rPr>
            </w:r>
            <w:r>
              <w:rPr>
                <w:b/>
                <w:i w:val="0"/>
                <w:strike w:val="0"/>
                <w:color w:val="FFFFFF"/>
              </w:rPr>
              <w:t>Why it matters</w:t>
            </w:r>
          </w:p>
        </w:tc>
      </w:tr>
      <w:tr>
        <w:tc>
          <w:tcPr>
            <w:tcW w:type="dxa" w:w="2880"/>
          </w:tcPr>
          <w:p>
            <w:r/>
            <w:r>
              <w:rPr>
                <w:b w:val="0"/>
                <w:i w:val="0"/>
                <w:strike w:val="0"/>
              </w:rPr>
              <w:t>Enquiries are received by the platform and worked from a list on Sosinna's dashboard</w:t>
            </w:r>
          </w:p>
        </w:tc>
        <w:tc>
          <w:tcPr>
            <w:tcW w:type="dxa" w:w="2880"/>
          </w:tcPr>
          <w:p>
            <w:r/>
            <w:r>
              <w:rPr>
                <w:b w:val="0"/>
                <w:i w:val="0"/>
                <w:strike w:val="0"/>
              </w:rPr>
              <w:t>Section 5.2 — SA-16 to SA-18</w:t>
            </w:r>
          </w:p>
        </w:tc>
        <w:tc>
          <w:tcPr>
            <w:tcW w:type="dxa" w:w="2880"/>
          </w:tcPr>
          <w:p>
            <w:r/>
            <w:r>
              <w:rPr>
                <w:b w:val="0"/>
                <w:i w:val="0"/>
                <w:strike w:val="0"/>
              </w:rPr>
              <w:t>The Portal now holds records for firms that are not customers and may never be. A new data class with its own retention question (ON-08)</w:t>
            </w:r>
          </w:p>
        </w:tc>
      </w:tr>
      <w:tr>
        <w:tc>
          <w:tcPr>
            <w:tcW w:type="dxa" w:w="2880"/>
          </w:tcPr>
          <w:p>
            <w:r/>
            <w:r>
              <w:rPr>
                <w:b w:val="0"/>
                <w:i w:val="0"/>
                <w:strike w:val="0"/>
              </w:rPr>
              <w:t>The legal agreement stays offline; the platform records only that it happened</w:t>
            </w:r>
          </w:p>
        </w:tc>
        <w:tc>
          <w:tcPr>
            <w:tcW w:type="dxa" w:w="2880"/>
          </w:tcPr>
          <w:p>
            <w:r/>
            <w:r>
              <w:rPr>
                <w:b w:val="0"/>
                <w:i w:val="0"/>
                <w:strike w:val="0"/>
              </w:rPr>
              <w:t>Section 5.3 — SA-19</w:t>
            </w:r>
          </w:p>
        </w:tc>
        <w:tc>
          <w:tcPr>
            <w:tcW w:type="dxa" w:w="2880"/>
          </w:tcPr>
          <w:p>
            <w:r/>
            <w:r>
              <w:rPr>
                <w:b w:val="0"/>
                <w:i w:val="0"/>
                <w:strike w:val="0"/>
              </w:rPr>
              <w:t>Explicitly excludes contract management and e-signature from scope. The record is what authorises the link and sets the amount payable</w:t>
            </w:r>
          </w:p>
        </w:tc>
      </w:tr>
      <w:tr>
        <w:tc>
          <w:tcPr>
            <w:tcW w:type="dxa" w:w="2880"/>
          </w:tcPr>
          <w:p>
            <w:r/>
            <w:r>
              <w:rPr>
                <w:b w:val="0"/>
                <w:i w:val="0"/>
                <w:strike w:val="0"/>
              </w:rPr>
              <w:t>Entry is by an emailed onboarding link generated by Sosinna's team</w:t>
            </w:r>
          </w:p>
        </w:tc>
        <w:tc>
          <w:tcPr>
            <w:tcW w:type="dxa" w:w="2880"/>
          </w:tcPr>
          <w:p>
            <w:r/>
            <w:r>
              <w:rPr>
                <w:b w:val="0"/>
                <w:i w:val="0"/>
                <w:strike w:val="0"/>
              </w:rPr>
              <w:t>Section 5.4 — SA-20, SA-21</w:t>
            </w:r>
          </w:p>
        </w:tc>
        <w:tc>
          <w:tcPr>
            <w:tcW w:type="dxa" w:w="2880"/>
          </w:tcPr>
          <w:p>
            <w:r/>
            <w:r>
              <w:rPr>
                <w:b w:val="0"/>
                <w:i w:val="0"/>
                <w:strike w:val="0"/>
              </w:rPr>
              <w:t>Supersedes MKT-03. The firm creates its own account from the link; there is no self-registration and no admin-created password</w:t>
            </w:r>
          </w:p>
        </w:tc>
      </w:tr>
      <w:tr>
        <w:tc>
          <w:tcPr>
            <w:tcW w:type="dxa" w:w="2880"/>
          </w:tcPr>
          <w:p>
            <w:r/>
            <w:r>
              <w:rPr>
                <w:b w:val="0"/>
                <w:i w:val="0"/>
                <w:strike w:val="0"/>
              </w:rPr>
              <w:t>The firm's first administrator account is created from the link, with MFA, and a second admin must be invited before completion</w:t>
            </w:r>
          </w:p>
        </w:tc>
        <w:tc>
          <w:tcPr>
            <w:tcW w:type="dxa" w:w="2880"/>
          </w:tcPr>
          <w:p>
            <w:r/>
            <w:r>
              <w:rPr>
                <w:b w:val="0"/>
                <w:i w:val="0"/>
                <w:strike w:val="0"/>
              </w:rPr>
              <w:t>Section 5.5 — FR-117</w:t>
            </w:r>
          </w:p>
        </w:tc>
        <w:tc>
          <w:tcPr>
            <w:tcW w:type="dxa" w:w="2880"/>
          </w:tcPr>
          <w:p>
            <w:r/>
            <w:r>
              <w:rPr>
                <w:b w:val="0"/>
                <w:i w:val="0"/>
                <w:strike w:val="0"/>
              </w:rPr>
              <w:t>Satisfies the two-admin rule in FR-15 before first login instead of warning about it afterwards</w:t>
            </w:r>
          </w:p>
        </w:tc>
      </w:tr>
      <w:tr>
        <w:tc>
          <w:tcPr>
            <w:tcW w:type="dxa" w:w="2880"/>
          </w:tcPr>
          <w:p>
            <w:r/>
            <w:r>
              <w:rPr>
                <w:b w:val="0"/>
                <w:i w:val="0"/>
                <w:strike w:val="0"/>
              </w:rPr>
              <w:t>Onboarding is resumable and validates each step</w:t>
            </w:r>
          </w:p>
        </w:tc>
        <w:tc>
          <w:tcPr>
            <w:tcW w:type="dxa" w:w="2880"/>
          </w:tcPr>
          <w:p>
            <w:r/>
            <w:r>
              <w:rPr>
                <w:b w:val="0"/>
                <w:i w:val="0"/>
                <w:strike w:val="0"/>
              </w:rPr>
              <w:t>Section 5.5 — FR-118, FR-119</w:t>
            </w:r>
          </w:p>
        </w:tc>
        <w:tc>
          <w:tcPr>
            <w:tcW w:type="dxa" w:w="2880"/>
          </w:tcPr>
          <w:p>
            <w:r/>
            <w:r>
              <w:rPr>
                <w:b w:val="0"/>
                <w:i w:val="0"/>
                <w:strike w:val="0"/>
              </w:rPr>
              <w:t>A firm gathering financial reports and staff data will not finish in one sitting</w:t>
            </w:r>
          </w:p>
        </w:tc>
      </w:tr>
      <w:tr>
        <w:tc>
          <w:tcPr>
            <w:tcW w:type="dxa" w:w="2880"/>
          </w:tcPr>
          <w:p>
            <w:r/>
            <w:r>
              <w:rPr>
                <w:b w:val="0"/>
                <w:i w:val="0"/>
                <w:strike w:val="0"/>
              </w:rPr>
              <w:t>Staff, reporting lines and the call tree are captured during onboarding and reviewed for gaps</w:t>
            </w:r>
          </w:p>
        </w:tc>
        <w:tc>
          <w:tcPr>
            <w:tcW w:type="dxa" w:w="2880"/>
          </w:tcPr>
          <w:p>
            <w:r/>
            <w:r>
              <w:rPr>
                <w:b w:val="0"/>
                <w:i w:val="0"/>
                <w:strike w:val="0"/>
              </w:rPr>
              <w:t>Section 5.6 — FR-120 to FR-122</w:t>
            </w:r>
          </w:p>
        </w:tc>
        <w:tc>
          <w:tcPr>
            <w:tcW w:type="dxa" w:w="2880"/>
          </w:tcPr>
          <w:p>
            <w:r/>
            <w:r>
              <w:rPr>
                <w:b w:val="0"/>
                <w:i w:val="0"/>
                <w:strike w:val="0"/>
              </w:rPr>
              <w:t>Every employee needs a call contact and a reporting manager. Also closes a real dependency: FR-82 tags tests to business owners drawn from these records</w:t>
            </w:r>
          </w:p>
        </w:tc>
      </w:tr>
      <w:tr>
        <w:tc>
          <w:tcPr>
            <w:tcW w:type="dxa" w:w="2880"/>
          </w:tcPr>
          <w:p>
            <w:r/>
            <w:r>
              <w:rPr>
                <w:b/>
                <w:i w:val="0"/>
                <w:strike w:val="0"/>
              </w:rPr>
              <w:t>Payment happens in the platform, after the details and before first login</w:t>
            </w:r>
          </w:p>
        </w:tc>
        <w:tc>
          <w:tcPr>
            <w:tcW w:type="dxa" w:w="2880"/>
          </w:tcPr>
          <w:p>
            <w:r/>
            <w:r>
              <w:rPr>
                <w:b w:val="0"/>
                <w:i w:val="0"/>
                <w:strike w:val="0"/>
              </w:rPr>
              <w:t>Section 5.7 — FR-123 to FR-126</w:t>
            </w:r>
          </w:p>
        </w:tc>
        <w:tc>
          <w:tcPr>
            <w:tcW w:type="dxa" w:w="2880"/>
          </w:tcPr>
          <w:p>
            <w:r/>
            <w:r>
              <w:rPr>
                <w:b w:val="0"/>
                <w:i w:val="0"/>
                <w:strike w:val="0"/>
              </w:rPr>
              <w:t>The largest net-new build in this revision, and the first time money moves through the product. Contradicts MKT-02 and CC-06 as written — see GAP-18, GAP-19, ON-01</w:t>
            </w:r>
          </w:p>
        </w:tc>
      </w:tr>
      <w:tr>
        <w:tc>
          <w:tcPr>
            <w:tcW w:type="dxa" w:w="2880"/>
          </w:tcPr>
          <w:p>
            <w:r/>
            <w:r>
              <w:rPr>
                <w:b w:val="0"/>
                <w:i w:val="0"/>
                <w:strike w:val="0"/>
              </w:rPr>
              <w:t>A failed payment can be retried with nothing lost</w:t>
            </w:r>
          </w:p>
        </w:tc>
        <w:tc>
          <w:tcPr>
            <w:tcW w:type="dxa" w:w="2880"/>
          </w:tcPr>
          <w:p>
            <w:r/>
            <w:r>
              <w:rPr>
                <w:b w:val="0"/>
                <w:i w:val="0"/>
                <w:strike w:val="0"/>
              </w:rPr>
              <w:t>Section 5.7 — FR-126</w:t>
            </w:r>
          </w:p>
        </w:tc>
        <w:tc>
          <w:tcPr>
            <w:tcW w:type="dxa" w:w="2880"/>
          </w:tcPr>
          <w:p>
            <w:r/>
            <w:r>
              <w:rPr>
                <w:b w:val="0"/>
                <w:i w:val="0"/>
                <w:strike w:val="0"/>
              </w:rPr>
              <w:t>A firm stuck at payment has already done all the work and cannot get in</w:t>
            </w:r>
          </w:p>
        </w:tc>
      </w:tr>
      <w:tr>
        <w:tc>
          <w:tcPr>
            <w:tcW w:type="dxa" w:w="2880"/>
          </w:tcPr>
          <w:p>
            <w:r/>
            <w:r>
              <w:rPr>
                <w:b w:val="0"/>
                <w:i w:val="0"/>
                <w:strike w:val="0"/>
              </w:rPr>
              <w:t>Login is gated on activation; no partial or read-only access before payment</w:t>
            </w:r>
          </w:p>
        </w:tc>
        <w:tc>
          <w:tcPr>
            <w:tcW w:type="dxa" w:w="2880"/>
          </w:tcPr>
          <w:p>
            <w:r/>
            <w:r>
              <w:rPr>
                <w:b w:val="0"/>
                <w:i w:val="0"/>
                <w:strike w:val="0"/>
              </w:rPr>
              <w:t>Section 5.8 — FR-127</w:t>
            </w:r>
          </w:p>
        </w:tc>
        <w:tc>
          <w:tcPr>
            <w:tcW w:type="dxa" w:w="2880"/>
          </w:tcPr>
          <w:p>
            <w:r/>
            <w:r>
              <w:rPr>
                <w:b w:val="0"/>
                <w:i w:val="0"/>
                <w:strike w:val="0"/>
              </w:rPr>
              <w:t>Makes the tenant's billing state a hard access control, not a banner</w:t>
            </w:r>
          </w:p>
        </w:tc>
      </w:tr>
      <w:tr>
        <w:tc>
          <w:tcPr>
            <w:tcW w:type="dxa" w:w="2880"/>
          </w:tcPr>
          <w:p>
            <w:r/>
            <w:r>
              <w:rPr>
                <w:b w:val="0"/>
                <w:i w:val="0"/>
                <w:strike w:val="0"/>
              </w:rPr>
              <w:t>"Onboarded" is defined as a checklist the Portal reports against</w:t>
            </w:r>
          </w:p>
        </w:tc>
        <w:tc>
          <w:tcPr>
            <w:tcW w:type="dxa" w:w="2880"/>
          </w:tcPr>
          <w:p>
            <w:r/>
            <w:r>
              <w:rPr>
                <w:b w:val="0"/>
                <w:i w:val="0"/>
                <w:strike w:val="0"/>
              </w:rPr>
              <w:t>Section 5.8 — FR-128</w:t>
            </w:r>
          </w:p>
        </w:tc>
        <w:tc>
          <w:tcPr>
            <w:tcW w:type="dxa" w:w="2880"/>
          </w:tcPr>
          <w:p>
            <w:r/>
            <w:r>
              <w:rPr>
                <w:b w:val="0"/>
                <w:i w:val="0"/>
                <w:strike w:val="0"/>
              </w:rPr>
              <w:t>Sosinna's team can see exactly where a stalled firm stopped</w:t>
            </w:r>
          </w:p>
        </w:tc>
      </w:tr>
      <w:tr>
        <w:tc>
          <w:tcPr>
            <w:tcW w:type="dxa" w:w="2880"/>
          </w:tcPr>
          <w:p>
            <w:r/>
            <w:r>
              <w:rPr>
                <w:b w:val="0"/>
                <w:i w:val="0"/>
                <w:strike w:val="0"/>
              </w:rPr>
              <w:t>Card data never touches the platform</w:t>
            </w:r>
          </w:p>
        </w:tc>
        <w:tc>
          <w:tcPr>
            <w:tcW w:type="dxa" w:w="2880"/>
          </w:tcPr>
          <w:p>
            <w:r/>
            <w:r>
              <w:rPr>
                <w:b w:val="0"/>
                <w:i w:val="0"/>
                <w:strike w:val="0"/>
              </w:rPr>
              <w:t>Section 13.1 — NFR-12</w:t>
            </w:r>
          </w:p>
        </w:tc>
        <w:tc>
          <w:tcPr>
            <w:tcW w:type="dxa" w:w="2880"/>
          </w:tcPr>
          <w:p>
            <w:r/>
            <w:r>
              <w:rPr>
                <w:b w:val="0"/>
                <w:i w:val="0"/>
                <w:strike w:val="0"/>
              </w:rPr>
              <w:t>Keeps PCI obligations at the lightest tier and keeps card data out of the six-year retention regime, where it must not be</w:t>
            </w:r>
          </w:p>
        </w:tc>
      </w:tr>
    </w:tbl>
    <w:p>
      <w:pPr>
        <w:pStyle w:val="Heading2"/>
      </w:pPr>
      <w:r>
        <w:t>What Changed in v6.0</w:t>
      </w:r>
    </w:p>
    <w:p>
      <w:r>
        <w:rPr>
          <w:b/>
          <w:i/>
          <w:strike w:val="0"/>
          <w:color w:val="008080"/>
        </w:rPr>
        <w:t>The 11 August 2026 Compliance Testing Workflow Review walked the end-to-end workflow and the wireframes. Its main effect is confirmation: the pending-item pool, the records-request workflow, the AI document check, the priority configuration, the business-owner tagging, the N/A rules and the org chart analytics were all restated by the client in the same shape v5.0 records them. Where the minutes only confirm, this document says so and leaves the requirement standing. The table below lists what is genuinely new or changed.</w:t>
      </w:r>
      <w:r>
        <w:rPr>
          <w:b w:val="0"/>
          <w:i w:val="0"/>
          <w:strike w:val="0"/>
        </w:rPr>
        <w:t xml:space="preserve"> </w:t>
      </w:r>
      <w:r>
        <w:rPr>
          <w:b w:val="0"/>
          <w:i/>
          <w:strike w:val="0"/>
          <w:color w:val="008080"/>
          <w:sz w:val="16"/>
        </w:rPr>
        <w:t xml:space="preserve"> [11 Aug 2026 MOM]</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4E79"/>
          </w:tcPr>
          <w:p>
            <w:r>
              <w:rPr>
                <w:b/>
                <w:color w:val="FFFFFF"/>
              </w:rPr>
            </w:r>
            <w:r>
              <w:rPr>
                <w:b/>
                <w:i w:val="0"/>
                <w:strike w:val="0"/>
                <w:color w:val="FFFFFF"/>
              </w:rPr>
              <w:t>Change</w:t>
            </w:r>
          </w:p>
        </w:tc>
        <w:tc>
          <w:tcPr>
            <w:tcW w:type="dxa" w:w="2880"/>
            <w:shd w:val="clear" w:fill="1F4E79"/>
          </w:tcPr>
          <w:p>
            <w:r>
              <w:rPr>
                <w:b/>
                <w:color w:val="FFFFFF"/>
              </w:rPr>
            </w:r>
            <w:r>
              <w:rPr>
                <w:b/>
                <w:i w:val="0"/>
                <w:strike w:val="0"/>
                <w:color w:val="FFFFFF"/>
              </w:rPr>
              <w:t>Where</w:t>
            </w:r>
          </w:p>
        </w:tc>
        <w:tc>
          <w:tcPr>
            <w:tcW w:type="dxa" w:w="2880"/>
            <w:shd w:val="clear" w:fill="1F4E79"/>
          </w:tcPr>
          <w:p>
            <w:r>
              <w:rPr>
                <w:b/>
                <w:color w:val="FFFFFF"/>
              </w:rPr>
            </w:r>
            <w:r>
              <w:rPr>
                <w:b/>
                <w:i w:val="0"/>
                <w:strike w:val="0"/>
                <w:color w:val="FFFFFF"/>
              </w:rPr>
              <w:t>Why it matters</w:t>
            </w:r>
          </w:p>
        </w:tc>
      </w:tr>
      <w:tr>
        <w:tc>
          <w:tcPr>
            <w:tcW w:type="dxa" w:w="2880"/>
          </w:tcPr>
          <w:p>
            <w:r/>
            <w:r>
              <w:rPr>
                <w:b w:val="0"/>
                <w:i w:val="0"/>
                <w:strike w:val="0"/>
              </w:rPr>
              <w:t>One test can be split by article across several testers — the CCO "fans out" a large regulation</w:t>
            </w:r>
          </w:p>
        </w:tc>
        <w:tc>
          <w:tcPr>
            <w:tcW w:type="dxa" w:w="2880"/>
          </w:tcPr>
          <w:p>
            <w:r/>
            <w:r>
              <w:rPr>
                <w:b w:val="0"/>
                <w:i w:val="0"/>
                <w:strike w:val="0"/>
              </w:rPr>
              <w:t>Section 7.2 — FR-106</w:t>
            </w:r>
          </w:p>
        </w:tc>
        <w:tc>
          <w:tcPr>
            <w:tcW w:type="dxa" w:w="2880"/>
          </w:tcPr>
          <w:p>
            <w:r/>
            <w:r>
              <w:rPr>
                <w:b w:val="0"/>
                <w:i w:val="0"/>
                <w:strike w:val="0"/>
              </w:rPr>
              <w:t>A DORA-scale test finishes faster, but it breaks the v5.0 one-Lead-Tester-per-test rule and needs an accountability answer (GAP-15)</w:t>
            </w:r>
          </w:p>
        </w:tc>
      </w:tr>
      <w:tr>
        <w:tc>
          <w:tcPr>
            <w:tcW w:type="dxa" w:w="2880"/>
          </w:tcPr>
          <w:p>
            <w:r/>
            <w:r>
              <w:rPr>
                <w:b w:val="0"/>
                <w:i w:val="0"/>
                <w:strike w:val="0"/>
              </w:rPr>
              <w:t xml:space="preserve">Scope is now explicitly two-dimensional: a date range </w:t>
            </w:r>
            <w:r>
              <w:rPr>
                <w:b/>
                <w:i w:val="0"/>
                <w:strike w:val="0"/>
              </w:rPr>
              <w:t>and</w:t>
            </w:r>
            <w:r>
              <w:rPr>
                <w:b w:val="0"/>
                <w:i w:val="0"/>
                <w:strike w:val="0"/>
              </w:rPr>
              <w:t xml:space="preserve"> a named subset of articles</w:t>
            </w:r>
          </w:p>
        </w:tc>
        <w:tc>
          <w:tcPr>
            <w:tcW w:type="dxa" w:w="2880"/>
          </w:tcPr>
          <w:p>
            <w:r/>
            <w:r>
              <w:rPr>
                <w:b w:val="0"/>
                <w:i w:val="0"/>
                <w:strike w:val="0"/>
              </w:rPr>
              <w:t>Section 7.2 — FR-105</w:t>
            </w:r>
          </w:p>
        </w:tc>
        <w:tc>
          <w:tcPr>
            <w:tcW w:type="dxa" w:w="2880"/>
          </w:tcPr>
          <w:p>
            <w:r/>
            <w:r>
              <w:rPr>
                <w:b w:val="0"/>
                <w:i w:val="0"/>
                <w:strike w:val="0"/>
              </w:rPr>
              <w:t>FR-80 already fixed the date range; the minutes added article scoping for regulations too big to test whole</w:t>
            </w:r>
          </w:p>
        </w:tc>
      </w:tr>
      <w:tr>
        <w:tc>
          <w:tcPr>
            <w:tcW w:type="dxa" w:w="2880"/>
          </w:tcPr>
          <w:p>
            <w:r/>
            <w:r>
              <w:rPr>
                <w:b w:val="0"/>
                <w:i w:val="0"/>
                <w:strike w:val="0"/>
              </w:rPr>
              <w:t>A two-week response window is the default turnaround for a records request</w:t>
            </w:r>
          </w:p>
        </w:tc>
        <w:tc>
          <w:tcPr>
            <w:tcW w:type="dxa" w:w="2880"/>
          </w:tcPr>
          <w:p>
            <w:r/>
            <w:r>
              <w:rPr>
                <w:b w:val="0"/>
                <w:i w:val="0"/>
                <w:strike w:val="0"/>
              </w:rPr>
              <w:t>Section 7.4 — FR-109</w:t>
            </w:r>
          </w:p>
        </w:tc>
        <w:tc>
          <w:tcPr>
            <w:tcW w:type="dxa" w:w="2880"/>
          </w:tcPr>
          <w:p>
            <w:r/>
            <w:r>
              <w:rPr>
                <w:b w:val="0"/>
                <w:i w:val="0"/>
                <w:strike w:val="0"/>
              </w:rPr>
              <w:t>Gives the delay analytics in FR-85 to FR-87 an expected baseline to measure against. Resolves EV-04</w:t>
            </w:r>
          </w:p>
        </w:tc>
      </w:tr>
      <w:tr>
        <w:tc>
          <w:tcPr>
            <w:tcW w:type="dxa" w:w="2880"/>
          </w:tcPr>
          <w:p>
            <w:r/>
            <w:r>
              <w:rPr>
                <w:b w:val="0"/>
                <w:i w:val="0"/>
                <w:strike w:val="0"/>
              </w:rPr>
              <w:t>Evidence must be uploaded to the platform — email and WhatsApp are not acceptable channels</w:t>
            </w:r>
          </w:p>
        </w:tc>
        <w:tc>
          <w:tcPr>
            <w:tcW w:type="dxa" w:w="2880"/>
          </w:tcPr>
          <w:p>
            <w:r/>
            <w:r>
              <w:rPr>
                <w:b w:val="0"/>
                <w:i w:val="0"/>
                <w:strike w:val="0"/>
              </w:rPr>
              <w:t>Section 7.4 — FR-108</w:t>
            </w:r>
          </w:p>
        </w:tc>
        <w:tc>
          <w:tcPr>
            <w:tcW w:type="dxa" w:w="2880"/>
          </w:tcPr>
          <w:p>
            <w:r/>
            <w:r>
              <w:rPr>
                <w:b w:val="0"/>
                <w:i w:val="0"/>
                <w:strike w:val="0"/>
              </w:rPr>
              <w:t>Stated as an audit-trail requirement, not a preference. Was implied by FR-83; now explicit</w:t>
            </w:r>
          </w:p>
        </w:tc>
      </w:tr>
      <w:tr>
        <w:tc>
          <w:tcPr>
            <w:tcW w:type="dxa" w:w="2880"/>
          </w:tcPr>
          <w:p>
            <w:r/>
            <w:r>
              <w:rPr>
                <w:b w:val="0"/>
                <w:i w:val="0"/>
                <w:strike w:val="0"/>
              </w:rPr>
              <w:t>The AI document check is justified as cost control as well as quality control</w:t>
            </w:r>
          </w:p>
        </w:tc>
        <w:tc>
          <w:tcPr>
            <w:tcW w:type="dxa" w:w="2880"/>
          </w:tcPr>
          <w:p>
            <w:r/>
            <w:r>
              <w:rPr>
                <w:b w:val="0"/>
                <w:i w:val="0"/>
                <w:strike w:val="0"/>
              </w:rPr>
              <w:t>Section 7.4 — FR-110</w:t>
            </w:r>
          </w:p>
        </w:tc>
        <w:tc>
          <w:tcPr>
            <w:tcW w:type="dxa" w:w="2880"/>
          </w:tcPr>
          <w:p>
            <w:r/>
            <w:r>
              <w:rPr>
                <w:b w:val="0"/>
                <w:i w:val="0"/>
                <w:strike w:val="0"/>
              </w:rPr>
              <w:t>A mismatched file must not be allowed to consume a full AI test run. Changes where the check sits in the pipeline</w:t>
            </w:r>
          </w:p>
        </w:tc>
      </w:tr>
      <w:tr>
        <w:tc>
          <w:tcPr>
            <w:tcW w:type="dxa" w:w="2880"/>
          </w:tcPr>
          <w:p>
            <w:r/>
            <w:r>
              <w:rPr>
                <w:b w:val="0"/>
                <w:i w:val="0"/>
                <w:strike w:val="0"/>
              </w:rPr>
              <w:t>Gap identification after evidence review: firm policy vs. regulatory requirement</w:t>
            </w:r>
          </w:p>
        </w:tc>
        <w:tc>
          <w:tcPr>
            <w:tcW w:type="dxa" w:w="2880"/>
          </w:tcPr>
          <w:p>
            <w:r/>
            <w:r>
              <w:rPr>
                <w:b w:val="0"/>
                <w:i w:val="0"/>
                <w:strike w:val="0"/>
              </w:rPr>
              <w:t>New Section 7.5 — FR-112</w:t>
            </w:r>
          </w:p>
        </w:tc>
        <w:tc>
          <w:tcPr>
            <w:tcW w:type="dxa" w:w="2880"/>
          </w:tcPr>
          <w:p>
            <w:r/>
            <w:r>
              <w:rPr>
                <w:b w:val="0"/>
                <w:i w:val="0"/>
                <w:strike w:val="0"/>
              </w:rPr>
              <w:t>The testing module produces gaps of its own; previously only the WSP module (FR-34) did</w:t>
            </w:r>
          </w:p>
        </w:tc>
      </w:tr>
      <w:tr>
        <w:tc>
          <w:tcPr>
            <w:tcW w:type="dxa" w:w="2880"/>
          </w:tcPr>
          <w:p>
            <w:r/>
            <w:r>
              <w:rPr>
                <w:b w:val="0"/>
                <w:i w:val="0"/>
                <w:strike w:val="0"/>
              </w:rPr>
              <w:t xml:space="preserve">N/A requires an uploaded justification </w:t>
            </w:r>
            <w:r>
              <w:rPr>
                <w:b/>
                <w:i w:val="0"/>
                <w:strike w:val="0"/>
              </w:rPr>
              <w:t>file</w:t>
            </w:r>
            <w:r>
              <w:rPr>
                <w:b w:val="0"/>
                <w:i w:val="0"/>
                <w:strike w:val="0"/>
              </w:rPr>
              <w:t>, not only written text</w:t>
            </w:r>
          </w:p>
        </w:tc>
        <w:tc>
          <w:tcPr>
            <w:tcW w:type="dxa" w:w="2880"/>
          </w:tcPr>
          <w:p>
            <w:r/>
            <w:r>
              <w:rPr>
                <w:b w:val="0"/>
                <w:i w:val="0"/>
                <w:strike w:val="0"/>
              </w:rPr>
              <w:t>Section 7.2 — FR-107</w:t>
            </w:r>
          </w:p>
        </w:tc>
        <w:tc>
          <w:tcPr>
            <w:tcW w:type="dxa" w:w="2880"/>
          </w:tcPr>
          <w:p>
            <w:r/>
            <w:r>
              <w:rPr>
                <w:b w:val="0"/>
                <w:i w:val="0"/>
                <w:strike w:val="0"/>
              </w:rPr>
              <w:t>Tightens FR-94. The file is what goes in the report appendix</w:t>
            </w:r>
          </w:p>
        </w:tc>
      </w:tr>
      <w:tr>
        <w:tc>
          <w:tcPr>
            <w:tcW w:type="dxa" w:w="2880"/>
          </w:tcPr>
          <w:p>
            <w:r/>
            <w:r>
              <w:rPr>
                <w:b w:val="0"/>
                <w:i w:val="0"/>
                <w:strike w:val="0"/>
              </w:rPr>
              <w:t>Wireframes reviewed and accepted in principle: CCO Kanban board, calendar of scheduled reviews, remediation dashboards</w:t>
            </w:r>
          </w:p>
        </w:tc>
        <w:tc>
          <w:tcPr>
            <w:tcW w:type="dxa" w:w="2880"/>
          </w:tcPr>
          <w:p>
            <w:r/>
            <w:r>
              <w:rPr>
                <w:b w:val="0"/>
                <w:i w:val="0"/>
                <w:strike w:val="0"/>
              </w:rPr>
              <w:t>Section 9.1 — FR-113 to FR-115</w:t>
            </w:r>
          </w:p>
        </w:tc>
        <w:tc>
          <w:tcPr>
            <w:tcW w:type="dxa" w:w="2880"/>
          </w:tcPr>
          <w:p>
            <w:r/>
            <w:r>
              <w:rPr>
                <w:b w:val="0"/>
                <w:i w:val="0"/>
                <w:strike w:val="0"/>
              </w:rPr>
              <w:t>Confirms a calendar survives the pool model — for assigned work only</w:t>
            </w:r>
          </w:p>
        </w:tc>
      </w:tr>
      <w:tr>
        <w:tc>
          <w:tcPr>
            <w:tcW w:type="dxa" w:w="2880"/>
          </w:tcPr>
          <w:p>
            <w:r/>
            <w:r>
              <w:rPr>
                <w:b w:val="0"/>
                <w:i w:val="0"/>
                <w:strike w:val="0"/>
              </w:rPr>
              <w:t>A follow-up "request portal" for back-and-forth on missing or incorrect documents was proposed</w:t>
            </w:r>
          </w:p>
        </w:tc>
        <w:tc>
          <w:tcPr>
            <w:tcW w:type="dxa" w:w="2880"/>
          </w:tcPr>
          <w:p>
            <w:r/>
            <w:r>
              <w:rPr>
                <w:b w:val="0"/>
                <w:i w:val="0"/>
                <w:strike w:val="0"/>
              </w:rPr>
              <w:t>Section 7.4 — FR-111</w:t>
            </w:r>
          </w:p>
        </w:tc>
        <w:tc>
          <w:tcPr>
            <w:tcW w:type="dxa" w:w="2880"/>
          </w:tcPr>
          <w:p>
            <w:r/>
            <w:r>
              <w:rPr>
                <w:b w:val="0"/>
                <w:i w:val="0"/>
                <w:strike w:val="0"/>
              </w:rPr>
              <w:t xml:space="preserve">Explicitly </w:t>
            </w:r>
            <w:r>
              <w:rPr>
                <w:b/>
                <w:i w:val="0"/>
                <w:strike w:val="0"/>
              </w:rPr>
              <w:t>not yet approved</w:t>
            </w:r>
            <w:r>
              <w:rPr>
                <w:b w:val="0"/>
                <w:i w:val="0"/>
                <w:strike w:val="0"/>
              </w:rPr>
              <w:t xml:space="preserve"> — the client asked for a development-effort assessment first</w:t>
            </w:r>
          </w:p>
        </w:tc>
      </w:tr>
      <w:tr>
        <w:tc>
          <w:tcPr>
            <w:tcW w:type="dxa" w:w="2880"/>
          </w:tcPr>
          <w:p>
            <w:r/>
            <w:r>
              <w:rPr>
                <w:b w:val="0"/>
                <w:i w:val="0"/>
                <w:strike w:val="0"/>
              </w:rPr>
              <w:t xml:space="preserve">Onboarding derives applicable </w:t>
            </w:r>
            <w:r>
              <w:rPr>
                <w:b/>
                <w:i w:val="0"/>
                <w:strike w:val="0"/>
              </w:rPr>
              <w:t>regulations</w:t>
            </w:r>
            <w:r>
              <w:rPr>
                <w:b w:val="0"/>
                <w:i w:val="0"/>
                <w:strike w:val="0"/>
              </w:rPr>
              <w:t xml:space="preserve"> as well as service lines</w:t>
            </w:r>
          </w:p>
        </w:tc>
        <w:tc>
          <w:tcPr>
            <w:tcW w:type="dxa" w:w="2880"/>
          </w:tcPr>
          <w:p>
            <w:r/>
            <w:r>
              <w:rPr>
                <w:b w:val="0"/>
                <w:i w:val="0"/>
                <w:strike w:val="0"/>
              </w:rPr>
              <w:t>Section 5 — FR-104</w:t>
            </w:r>
          </w:p>
        </w:tc>
        <w:tc>
          <w:tcPr>
            <w:tcW w:type="dxa" w:w="2880"/>
          </w:tcPr>
          <w:p>
            <w:r/>
            <w:r>
              <w:rPr>
                <w:b w:val="0"/>
                <w:i w:val="0"/>
                <w:strike w:val="0"/>
              </w:rPr>
              <w:t>The wizard's output is the firm's regulatory perimeter, not just its test set</w:t>
            </w:r>
          </w:p>
        </w:tc>
      </w:tr>
      <w:tr>
        <w:tc>
          <w:tcPr>
            <w:tcW w:type="dxa" w:w="2880"/>
          </w:tcPr>
          <w:p>
            <w:r/>
            <w:r>
              <w:rPr>
                <w:b w:val="0"/>
                <w:i w:val="0"/>
                <w:strike w:val="0"/>
              </w:rPr>
              <w:t>The org chart doubles as an employee directory that highlights compliance staff</w:t>
            </w:r>
          </w:p>
        </w:tc>
        <w:tc>
          <w:tcPr>
            <w:tcW w:type="dxa" w:w="2880"/>
          </w:tcPr>
          <w:p>
            <w:r/>
            <w:r>
              <w:rPr>
                <w:b w:val="0"/>
                <w:i w:val="0"/>
                <w:strike w:val="0"/>
              </w:rPr>
              <w:t>Section 10.6 — FR-116</w:t>
            </w:r>
          </w:p>
        </w:tc>
        <w:tc>
          <w:tcPr>
            <w:tcW w:type="dxa" w:w="2880"/>
          </w:tcPr>
          <w:p>
            <w:r/>
            <w:r>
              <w:rPr>
                <w:b w:val="0"/>
                <w:i w:val="0"/>
                <w:strike w:val="0"/>
              </w:rPr>
              <w:t>The analytics dashboard in FR-102 counted; the directory is the list behind the counts</w:t>
            </w:r>
          </w:p>
        </w:tc>
      </w:tr>
      <w:tr>
        <w:tc>
          <w:tcPr>
            <w:tcW w:type="dxa" w:w="2880"/>
          </w:tcPr>
          <w:p>
            <w:r/>
            <w:r>
              <w:rPr>
                <w:b w:val="0"/>
                <w:i w:val="0"/>
                <w:strike w:val="0"/>
              </w:rPr>
              <w:t>Super Admin is notified in the dashboard when MiCA or DORA is updated</w:t>
            </w:r>
          </w:p>
        </w:tc>
        <w:tc>
          <w:tcPr>
            <w:tcW w:type="dxa" w:w="2880"/>
          </w:tcPr>
          <w:p>
            <w:r/>
            <w:r>
              <w:rPr>
                <w:b w:val="0"/>
                <w:i w:val="0"/>
                <w:strike w:val="0"/>
              </w:rPr>
              <w:t>Section 4.5 — SA-15</w:t>
            </w:r>
          </w:p>
        </w:tc>
        <w:tc>
          <w:tcPr>
            <w:tcW w:type="dxa" w:w="2880"/>
          </w:tcPr>
          <w:p>
            <w:r/>
            <w:r>
              <w:rPr>
                <w:b w:val="0"/>
                <w:i w:val="0"/>
                <w:strike w:val="0"/>
              </w:rPr>
              <w:t>Names the trigger that restarts the SA-13 review-edit-tag-publish cycle</w:t>
            </w:r>
          </w:p>
        </w:tc>
      </w:tr>
    </w:tbl>
    <w:p>
      <w:pPr>
        <w:pStyle w:val="Heading2"/>
      </w:pPr>
      <w:r>
        <w:t>What Changed in v5.0</w:t>
      </w:r>
    </w:p>
    <w:p>
      <w:r>
        <w:rPr>
          <w:b/>
          <w:i/>
          <w:strike w:val="0"/>
          <w:color w:val="7030A0"/>
        </w:rPr>
        <w:t>This table is the short version of the August 2026 meeting. Every row is expanded, with feature IDs, in the section named.</w:t>
      </w:r>
      <w:r>
        <w:rPr>
          <w:b w:val="0"/>
          <w:i w:val="0"/>
          <w:strike w:val="0"/>
        </w:rPr>
        <w:t xml:space="preserve"> </w:t>
      </w:r>
      <w:r>
        <w:rPr>
          <w:b w:val="0"/>
          <w:i/>
          <w:strike w:val="0"/>
          <w:color w:val="7030A0"/>
          <w:sz w:val="16"/>
        </w:rPr>
        <w:t xml:space="preserve"> [Aug 2026 client MOM]</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4E79"/>
          </w:tcPr>
          <w:p>
            <w:r>
              <w:rPr>
                <w:b/>
                <w:color w:val="FFFFFF"/>
              </w:rPr>
            </w:r>
            <w:r>
              <w:rPr>
                <w:b/>
                <w:i w:val="0"/>
                <w:strike w:val="0"/>
                <w:color w:val="FFFFFF"/>
              </w:rPr>
              <w:t>Change</w:t>
            </w:r>
          </w:p>
        </w:tc>
        <w:tc>
          <w:tcPr>
            <w:tcW w:type="dxa" w:w="2880"/>
            <w:shd w:val="clear" w:fill="1F4E79"/>
          </w:tcPr>
          <w:p>
            <w:r>
              <w:rPr>
                <w:b/>
                <w:color w:val="FFFFFF"/>
              </w:rPr>
            </w:r>
            <w:r>
              <w:rPr>
                <w:b/>
                <w:i w:val="0"/>
                <w:strike w:val="0"/>
                <w:color w:val="FFFFFF"/>
              </w:rPr>
              <w:t>Where</w:t>
            </w:r>
          </w:p>
        </w:tc>
        <w:tc>
          <w:tcPr>
            <w:tcW w:type="dxa" w:w="2880"/>
            <w:shd w:val="clear" w:fill="1F4E79"/>
          </w:tcPr>
          <w:p>
            <w:r>
              <w:rPr>
                <w:b/>
                <w:color w:val="FFFFFF"/>
              </w:rPr>
            </w:r>
            <w:r>
              <w:rPr>
                <w:b/>
                <w:i w:val="0"/>
                <w:strike w:val="0"/>
                <w:color w:val="FFFFFF"/>
              </w:rPr>
              <w:t>Why it matters</w:t>
            </w:r>
          </w:p>
        </w:tc>
      </w:tr>
      <w:tr>
        <w:tc>
          <w:tcPr>
            <w:tcW w:type="dxa" w:w="2880"/>
          </w:tcPr>
          <w:p>
            <w:r/>
            <w:r>
              <w:rPr>
                <w:b/>
                <w:i w:val="0"/>
                <w:strike w:val="0"/>
              </w:rPr>
              <w:t>The product is renamed ComplianceIQ → ControlIQ</w:t>
            </w:r>
          </w:p>
        </w:tc>
        <w:tc>
          <w:tcPr>
            <w:tcW w:type="dxa" w:w="2880"/>
          </w:tcPr>
          <w:p>
            <w:r/>
            <w:r>
              <w:rPr>
                <w:b w:val="0"/>
                <w:i w:val="0"/>
                <w:strike w:val="0"/>
              </w:rPr>
              <w:t>Document-wide; branding in Section 14, CC-02</w:t>
            </w:r>
          </w:p>
        </w:tc>
        <w:tc>
          <w:tcPr>
            <w:tcW w:type="dxa" w:w="2880"/>
          </w:tcPr>
          <w:p>
            <w:r/>
            <w:r>
              <w:rPr>
                <w:b w:val="0"/>
                <w:i w:val="0"/>
                <w:strike w:val="0"/>
              </w:rPr>
              <w:t>Affects report branding, the marketing site, the UI, email templates, and the domain decision</w:t>
            </w:r>
          </w:p>
        </w:tc>
      </w:tr>
      <w:tr>
        <w:tc>
          <w:tcPr>
            <w:tcW w:type="dxa" w:w="2880"/>
          </w:tcPr>
          <w:p>
            <w:r/>
            <w:r>
              <w:rPr>
                <w:b w:val="0"/>
                <w:i w:val="0"/>
                <w:strike w:val="0"/>
              </w:rPr>
              <w:t>Test priority is configured by hand in the Admin Portal (high vs. low risk) and read by the firm application</w:t>
            </w:r>
          </w:p>
        </w:tc>
        <w:tc>
          <w:tcPr>
            <w:tcW w:type="dxa" w:w="2880"/>
          </w:tcPr>
          <w:p>
            <w:r/>
            <w:r>
              <w:rPr>
                <w:b w:val="0"/>
                <w:i w:val="0"/>
                <w:strike w:val="0"/>
              </w:rPr>
              <w:t>Section 4.4 — SA-09 to SA-11</w:t>
            </w:r>
          </w:p>
        </w:tc>
        <w:tc>
          <w:tcPr>
            <w:tcW w:type="dxa" w:w="2880"/>
          </w:tcPr>
          <w:p>
            <w:r/>
            <w:r>
              <w:rPr>
                <w:b w:val="0"/>
                <w:i w:val="0"/>
                <w:strike w:val="0"/>
              </w:rPr>
              <w:t>The platform does not guess what matters most; Sosinna's team decides, centrally, once</w:t>
            </w:r>
          </w:p>
        </w:tc>
      </w:tr>
      <w:tr>
        <w:tc>
          <w:tcPr>
            <w:tcW w:type="dxa" w:w="2880"/>
          </w:tcPr>
          <w:p>
            <w:r/>
            <w:r>
              <w:rPr>
                <w:b w:val="0"/>
                <w:i w:val="0"/>
                <w:strike w:val="0"/>
              </w:rPr>
              <w:t>EU regulations are fetched from official APIs, formatted, then reviewed, edited, tagged and published</w:t>
            </w:r>
          </w:p>
        </w:tc>
        <w:tc>
          <w:tcPr>
            <w:tcW w:type="dxa" w:w="2880"/>
          </w:tcPr>
          <w:p>
            <w:r/>
            <w:r>
              <w:rPr>
                <w:b w:val="0"/>
                <w:i w:val="0"/>
                <w:strike w:val="0"/>
              </w:rPr>
              <w:t>Section 4.5 — SA-12 to SA-14</w:t>
            </w:r>
          </w:p>
        </w:tc>
        <w:tc>
          <w:tcPr>
            <w:tcW w:type="dxa" w:w="2880"/>
          </w:tcPr>
          <w:p>
            <w:r/>
            <w:r>
              <w:rPr>
                <w:b w:val="0"/>
                <w:i w:val="0"/>
                <w:strike w:val="0"/>
              </w:rPr>
              <w:t>Turns regulation monitoring into a content pipeline with a human gate, not just a change alert</w:t>
            </w:r>
          </w:p>
        </w:tc>
      </w:tr>
      <w:tr>
        <w:tc>
          <w:tcPr>
            <w:tcW w:type="dxa" w:w="2880"/>
          </w:tcPr>
          <w:p>
            <w:r/>
            <w:r>
              <w:rPr>
                <w:b w:val="0"/>
                <w:i w:val="0"/>
                <w:strike w:val="0"/>
              </w:rPr>
              <w:t>Scheduling changed: no more auto-scheduled entry per test. Pending work sits in a pool the CCO assigns from</w:t>
            </w:r>
          </w:p>
        </w:tc>
        <w:tc>
          <w:tcPr>
            <w:tcW w:type="dxa" w:w="2880"/>
          </w:tcPr>
          <w:p>
            <w:r/>
            <w:r>
              <w:rPr>
                <w:b w:val="0"/>
                <w:i w:val="0"/>
                <w:strike w:val="0"/>
              </w:rPr>
              <w:t>Section 7.2 — FR-78, FR-79</w:t>
            </w:r>
          </w:p>
        </w:tc>
        <w:tc>
          <w:tcPr>
            <w:tcW w:type="dxa" w:w="2880"/>
          </w:tcPr>
          <w:p>
            <w:r/>
            <w:r>
              <w:rPr>
                <w:b w:val="0"/>
                <w:i w:val="0"/>
                <w:strike w:val="0"/>
              </w:rPr>
              <w:t>Avoids a calendar with hundreds of entries nobody is working on</w:t>
            </w:r>
          </w:p>
        </w:tc>
      </w:tr>
      <w:tr>
        <w:tc>
          <w:tcPr>
            <w:tcW w:type="dxa" w:w="2880"/>
          </w:tcPr>
          <w:p>
            <w:r/>
            <w:r>
              <w:rPr>
                <w:b w:val="0"/>
                <w:i w:val="0"/>
                <w:strike w:val="0"/>
              </w:rPr>
              <w:t>Every test now has a mandatory scope period (e.g. January to June 2026)</w:t>
            </w:r>
          </w:p>
        </w:tc>
        <w:tc>
          <w:tcPr>
            <w:tcW w:type="dxa" w:w="2880"/>
          </w:tcPr>
          <w:p>
            <w:r/>
            <w:r>
              <w:rPr>
                <w:b w:val="0"/>
                <w:i w:val="0"/>
                <w:strike w:val="0"/>
              </w:rPr>
              <w:t>Section 7.2 — FR-80</w:t>
            </w:r>
          </w:p>
        </w:tc>
        <w:tc>
          <w:tcPr>
            <w:tcW w:type="dxa" w:w="2880"/>
          </w:tcPr>
          <w:p>
            <w:r/>
            <w:r>
              <w:rPr>
                <w:b w:val="0"/>
                <w:i w:val="0"/>
                <w:strike w:val="0"/>
              </w:rPr>
              <w:t>Stops a tester having to review "everything under the sun"</w:t>
            </w:r>
          </w:p>
        </w:tc>
      </w:tr>
      <w:tr>
        <w:tc>
          <w:tcPr>
            <w:tcW w:type="dxa" w:w="2880"/>
          </w:tcPr>
          <w:p>
            <w:r/>
            <w:r>
              <w:rPr>
                <w:b w:val="0"/>
                <w:i w:val="0"/>
                <w:strike w:val="0"/>
              </w:rPr>
              <w:t>New Records Request workflow: announcement letter, request list, request and receipt dates, delay analytics</w:t>
            </w:r>
          </w:p>
        </w:tc>
        <w:tc>
          <w:tcPr>
            <w:tcW w:type="dxa" w:w="2880"/>
          </w:tcPr>
          <w:p>
            <w:r/>
            <w:r>
              <w:rPr>
                <w:b w:val="0"/>
                <w:i w:val="0"/>
                <w:strike w:val="0"/>
              </w:rPr>
              <w:t>Section 7.4 — FR-83 to FR-87</w:t>
            </w:r>
          </w:p>
        </w:tc>
        <w:tc>
          <w:tcPr>
            <w:tcW w:type="dxa" w:w="2880"/>
          </w:tcPr>
          <w:p>
            <w:r/>
            <w:r>
              <w:rPr>
                <w:b w:val="0"/>
                <w:i w:val="0"/>
                <w:strike w:val="0"/>
              </w:rPr>
              <w:t>Collection delay is treated as compliance information, because it indicates weak internal control</w:t>
            </w:r>
          </w:p>
        </w:tc>
      </w:tr>
      <w:tr>
        <w:tc>
          <w:tcPr>
            <w:tcW w:type="dxa" w:w="2880"/>
          </w:tcPr>
          <w:p>
            <w:r/>
            <w:r>
              <w:rPr>
                <w:b w:val="0"/>
                <w:i w:val="0"/>
                <w:strike w:val="0"/>
              </w:rPr>
              <w:t>Uploaded documents are checked — initially by AI — against what was actually requested</w:t>
            </w:r>
          </w:p>
        </w:tc>
        <w:tc>
          <w:tcPr>
            <w:tcW w:type="dxa" w:w="2880"/>
          </w:tcPr>
          <w:p>
            <w:r/>
            <w:r>
              <w:rPr>
                <w:b w:val="0"/>
                <w:i w:val="0"/>
                <w:strike w:val="0"/>
              </w:rPr>
              <w:t>Section 7.4 — FR-88, FR-89</w:t>
            </w:r>
          </w:p>
        </w:tc>
        <w:tc>
          <w:tcPr>
            <w:tcW w:type="dxa" w:w="2880"/>
          </w:tcPr>
          <w:p>
            <w:r/>
            <w:r>
              <w:rPr>
                <w:b w:val="0"/>
                <w:i w:val="0"/>
                <w:strike w:val="0"/>
              </w:rPr>
              <w:t>Catches the lunch-receipt-instead-of-call-tree case before a tester's time is spent on it</w:t>
            </w:r>
          </w:p>
        </w:tc>
      </w:tr>
      <w:tr>
        <w:tc>
          <w:tcPr>
            <w:tcW w:type="dxa" w:w="2880"/>
          </w:tcPr>
          <w:p>
            <w:r/>
            <w:r>
              <w:rPr>
                <w:b w:val="0"/>
                <w:i w:val="0"/>
                <w:strike w:val="0"/>
              </w:rPr>
              <w:t>Human verification stays mandatory for financial systems and critical controls</w:t>
            </w:r>
          </w:p>
        </w:tc>
        <w:tc>
          <w:tcPr>
            <w:tcW w:type="dxa" w:w="2880"/>
          </w:tcPr>
          <w:p>
            <w:r/>
            <w:r>
              <w:rPr>
                <w:b w:val="0"/>
                <w:i w:val="0"/>
                <w:strike w:val="0"/>
              </w:rPr>
              <w:t>Section 7.4 — FR-90</w:t>
            </w:r>
          </w:p>
        </w:tc>
        <w:tc>
          <w:tcPr>
            <w:tcW w:type="dxa" w:w="2880"/>
          </w:tcPr>
          <w:p>
            <w:r/>
            <w:r>
              <w:rPr>
                <w:b w:val="0"/>
                <w:i w:val="0"/>
                <w:strike w:val="0"/>
              </w:rPr>
              <w:t>AI screens; a person still signs off, until comfort is established</w:t>
            </w:r>
          </w:p>
        </w:tc>
      </w:tr>
      <w:tr>
        <w:tc>
          <w:tcPr>
            <w:tcW w:type="dxa" w:w="2880"/>
          </w:tcPr>
          <w:p>
            <w:r/>
            <w:r>
              <w:rPr>
                <w:b w:val="0"/>
                <w:i w:val="0"/>
                <w:strike w:val="0"/>
              </w:rPr>
              <w:t>Tests are tagged to a business owner (e.g. the CTO for system tests)</w:t>
            </w:r>
          </w:p>
        </w:tc>
        <w:tc>
          <w:tcPr>
            <w:tcW w:type="dxa" w:w="2880"/>
          </w:tcPr>
          <w:p>
            <w:r/>
            <w:r>
              <w:rPr>
                <w:b w:val="0"/>
                <w:i w:val="0"/>
                <w:strike w:val="0"/>
              </w:rPr>
              <w:t>Section 7.2 — FR-82</w:t>
            </w:r>
          </w:p>
        </w:tc>
        <w:tc>
          <w:tcPr>
            <w:tcW w:type="dxa" w:w="2880"/>
          </w:tcPr>
          <w:p>
            <w:r/>
            <w:r>
              <w:rPr>
                <w:b w:val="0"/>
                <w:i w:val="0"/>
                <w:strike w:val="0"/>
              </w:rPr>
              <w:t>Accountability for producing records sits with a named person</w:t>
            </w:r>
          </w:p>
        </w:tc>
      </w:tr>
      <w:tr>
        <w:tc>
          <w:tcPr>
            <w:tcW w:type="dxa" w:w="2880"/>
          </w:tcPr>
          <w:p>
            <w:r/>
            <w:r>
              <w:rPr>
                <w:b w:val="0"/>
                <w:i w:val="0"/>
                <w:strike w:val="0"/>
              </w:rPr>
              <w:t>The CCO gets a holistic view of all testers and their progress across regulation pillars</w:t>
            </w:r>
          </w:p>
        </w:tc>
        <w:tc>
          <w:tcPr>
            <w:tcW w:type="dxa" w:w="2880"/>
          </w:tcPr>
          <w:p>
            <w:r/>
            <w:r>
              <w:rPr>
                <w:b w:val="0"/>
                <w:i w:val="0"/>
                <w:strike w:val="0"/>
              </w:rPr>
              <w:t>Sections 7.2 and 9.1 — FR-81, FR-97</w:t>
            </w:r>
          </w:p>
        </w:tc>
        <w:tc>
          <w:tcPr>
            <w:tcW w:type="dxa" w:w="2880"/>
          </w:tcPr>
          <w:p>
            <w:r/>
            <w:r>
              <w:rPr>
                <w:b w:val="0"/>
                <w:i w:val="0"/>
                <w:strike w:val="0"/>
              </w:rPr>
              <w:t>One lead tester per unit, but one CCO watching the whole programme</w:t>
            </w:r>
          </w:p>
        </w:tc>
      </w:tr>
      <w:tr>
        <w:tc>
          <w:tcPr>
            <w:tcW w:type="dxa" w:w="2880"/>
          </w:tcPr>
          <w:p>
            <w:r/>
            <w:r>
              <w:rPr>
                <w:b w:val="0"/>
                <w:i w:val="0"/>
                <w:strike w:val="0"/>
              </w:rPr>
              <w:t>Not Applicable is a CCO decision, needs written justification, and appears in a report appendix</w:t>
            </w:r>
          </w:p>
        </w:tc>
        <w:tc>
          <w:tcPr>
            <w:tcW w:type="dxa" w:w="2880"/>
          </w:tcPr>
          <w:p>
            <w:r/>
            <w:r>
              <w:rPr>
                <w:b w:val="0"/>
                <w:i w:val="0"/>
                <w:strike w:val="0"/>
              </w:rPr>
              <w:t>Sections 7.2 and 9.2 — FR-94, FR-99</w:t>
            </w:r>
          </w:p>
        </w:tc>
        <w:tc>
          <w:tcPr>
            <w:tcW w:type="dxa" w:w="2880"/>
          </w:tcPr>
          <w:p>
            <w:r/>
            <w:r>
              <w:rPr>
                <w:b w:val="0"/>
                <w:i w:val="0"/>
                <w:strike w:val="0"/>
              </w:rPr>
              <w:t>N/A becomes a documented, reviewable decision</w:t>
            </w:r>
          </w:p>
        </w:tc>
      </w:tr>
      <w:tr>
        <w:tc>
          <w:tcPr>
            <w:tcW w:type="dxa" w:w="2880"/>
          </w:tcPr>
          <w:p>
            <w:r/>
            <w:r>
              <w:rPr>
                <w:b w:val="0"/>
                <w:i w:val="0"/>
                <w:strike w:val="0"/>
              </w:rPr>
              <w:t>Financial reports are collected at onboarding to help derive service lines</w:t>
            </w:r>
          </w:p>
        </w:tc>
        <w:tc>
          <w:tcPr>
            <w:tcW w:type="dxa" w:w="2880"/>
          </w:tcPr>
          <w:p>
            <w:r/>
            <w:r>
              <w:rPr>
                <w:b w:val="0"/>
                <w:i w:val="0"/>
                <w:strike w:val="0"/>
              </w:rPr>
              <w:t>Section 5 — FR-92, FR-93</w:t>
            </w:r>
          </w:p>
        </w:tc>
        <w:tc>
          <w:tcPr>
            <w:tcW w:type="dxa" w:w="2880"/>
          </w:tcPr>
          <w:p>
            <w:r/>
            <w:r>
              <w:rPr>
                <w:b w:val="0"/>
                <w:i w:val="0"/>
                <w:strike w:val="0"/>
              </w:rPr>
              <w:t>A second input alongside the revenue template; the CCO still confirms</w:t>
            </w:r>
          </w:p>
        </w:tc>
      </w:tr>
      <w:tr>
        <w:tc>
          <w:tcPr>
            <w:tcW w:type="dxa" w:w="2880"/>
          </w:tcPr>
          <w:p>
            <w:r/>
            <w:r>
              <w:rPr>
                <w:b w:val="0"/>
                <w:i w:val="0"/>
                <w:strike w:val="0"/>
              </w:rPr>
              <w:t>Org chart tracks headcount versus system entitlements, with an analytics dashboard</w:t>
            </w:r>
          </w:p>
        </w:tc>
        <w:tc>
          <w:tcPr>
            <w:tcW w:type="dxa" w:w="2880"/>
          </w:tcPr>
          <w:p>
            <w:r/>
            <w:r>
              <w:rPr>
                <w:b w:val="0"/>
                <w:i w:val="0"/>
                <w:strike w:val="0"/>
              </w:rPr>
              <w:t>Section 10 — FR-101 to FR-103</w:t>
            </w:r>
          </w:p>
        </w:tc>
        <w:tc>
          <w:tcPr>
            <w:tcW w:type="dxa" w:w="2880"/>
          </w:tcPr>
          <w:p>
            <w:r/>
            <w:r>
              <w:rPr>
                <w:b w:val="0"/>
                <w:i w:val="0"/>
                <w:strike w:val="0"/>
              </w:rPr>
              <w:t>Surfaces staff without managers, staff without communication channels, and total hardware</w:t>
            </w:r>
          </w:p>
        </w:tc>
      </w:tr>
      <w:tr>
        <w:tc>
          <w:tcPr>
            <w:tcW w:type="dxa" w:w="2880"/>
          </w:tcPr>
          <w:p>
            <w:r/>
            <w:r>
              <w:rPr>
                <w:b w:val="0"/>
                <w:i w:val="0"/>
                <w:strike w:val="0"/>
              </w:rPr>
              <w:t>The final report states the calculated risk rating and current remediation status</w:t>
            </w:r>
          </w:p>
        </w:tc>
        <w:tc>
          <w:tcPr>
            <w:tcW w:type="dxa" w:w="2880"/>
          </w:tcPr>
          <w:p>
            <w:r/>
            <w:r>
              <w:rPr>
                <w:b w:val="0"/>
                <w:i w:val="0"/>
                <w:strike w:val="0"/>
              </w:rPr>
              <w:t>Section 9.2 — FR-98 to FR-100</w:t>
            </w:r>
          </w:p>
        </w:tc>
        <w:tc>
          <w:tcPr>
            <w:tcW w:type="dxa" w:w="2880"/>
          </w:tcPr>
          <w:p>
            <w:r/>
            <w:r>
              <w:rPr>
                <w:b w:val="0"/>
                <w:i w:val="0"/>
                <w:strike w:val="0"/>
              </w:rPr>
              <w:t>Report reads: findings, then risk ratings from the gaps found, then remediation status</w:t>
            </w:r>
          </w:p>
        </w:tc>
      </w:tr>
    </w:tbl>
    <w:p>
      <w:pPr>
        <w:pStyle w:val="Heading1"/>
      </w:pPr>
      <w:r>
        <w:t>1. What Is ControlIQ?</w:t>
      </w:r>
    </w:p>
    <w:p>
      <w:r>
        <w:rPr>
          <w:b w:val="0"/>
          <w:i w:val="0"/>
          <w:strike w:val="0"/>
        </w:rPr>
        <w:t>ControlIQ is a software platform that helps crypto companies stay on the right side of European financial regulation. It is built specifically for Crypto Asset Service Providers — companies that are licensed by a national financial regulator (such as the Banco de Portugal or the BaFin in Germany) to offer services involving crypto-assets.</w:t>
      </w:r>
    </w:p>
    <w:p>
      <w:r>
        <w:rPr>
          <w:b w:val="0"/>
          <w:i w:val="0"/>
          <w:strike w:val="0"/>
        </w:rPr>
        <w:t>Right now, most compliance work at these companies happens in spreadsheets, shared drives, and email threads. Testing is done manually. Evidence is scattered. Reports are produced by consultants at high cost and low frequency. If a regulator asks to see proof of compliance, pulling it all together takes weeks.</w:t>
      </w:r>
    </w:p>
    <w:p>
      <w:r>
        <w:rPr>
          <w:b w:val="0"/>
          <w:i w:val="0"/>
          <w:strike w:val="0"/>
        </w:rPr>
        <w:t>ControlIQ replaces that with a single, structured platform where the compliance team can plan tests, run them step by step, store evidence, record what they found, agree on how to fix problems, and produce a professional report — all in one place, continuously, not just at audit time.</w:t>
      </w:r>
    </w:p>
    <w:p>
      <w:r>
        <w:rPr>
          <w:b w:val="0"/>
          <w:i w:val="0"/>
          <w:strike w:val="0"/>
        </w:rPr>
        <w:t>The platform is built around two major EU regulations:</w:t>
      </w:r>
    </w:p>
    <w:p>
      <w:pPr>
        <w:pStyle w:val="ListBullet"/>
      </w:pPr>
      <w:r>
        <w:rPr>
          <w:b w:val="0"/>
          <w:i w:val="0"/>
          <w:strike w:val="0"/>
        </w:rPr>
        <w:t>MiCA (Markets in Crypto-Assets Regulation, EU 2023/1114) — the main licensing and conduct regulation for crypto companies operating in Europe.</w:t>
      </w:r>
    </w:p>
    <w:p>
      <w:pPr>
        <w:pStyle w:val="ListBullet"/>
      </w:pPr>
      <w:r>
        <w:rPr>
          <w:b w:val="0"/>
          <w:i w:val="0"/>
          <w:strike w:val="0"/>
        </w:rPr>
        <w:t>DORA (Digital Operational Resilience Act, EU 2022/2554) — the regulation that governs how financial firms manage their IT systems, deal with IT incidents, and oversee third-party technology providers.</w:t>
      </w:r>
    </w:p>
    <w:p>
      <w:r>
        <w:rPr>
          <w:b w:val="0"/>
          <w:i w:val="0"/>
          <w:strike w:val="0"/>
        </w:rPr>
        <w:t>ControlIQ is a B2B SaaS product. 'B2B' means it sells to businesses, not individuals. 'SaaS' (Software as a Service) means it runs in the cloud and is accessed through a web browser — there is nothing to install. Each client company pays a subscription fee to use it.</w:t>
      </w:r>
    </w:p>
    <w:p>
      <w:pPr>
        <w:pStyle w:val="Heading2"/>
      </w:pPr>
      <w:r>
        <w:t>1.1 The Two Parts of the Platform</w:t>
      </w:r>
    </w:p>
    <w:p>
      <w:r>
        <w:rPr>
          <w:b w:val="0"/>
          <w:i w:val="0"/>
          <w:strike w:val="0"/>
        </w:rPr>
        <w:t>ControlIQ is made up of two separate but connected applications: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4E79"/>
          </w:tcPr>
          <w:p>
            <w:r>
              <w:rPr>
                <w:b/>
                <w:color w:val="FFFFFF"/>
              </w:rPr>
            </w:r>
            <w:r>
              <w:rPr>
                <w:b/>
                <w:i w:val="0"/>
                <w:strike w:val="0"/>
                <w:color w:val="FFFFFF"/>
              </w:rPr>
              <w:t>Application</w:t>
            </w:r>
          </w:p>
        </w:tc>
        <w:tc>
          <w:tcPr>
            <w:tcW w:type="dxa" w:w="2880"/>
            <w:shd w:val="clear" w:fill="1F4E79"/>
          </w:tcPr>
          <w:p>
            <w:r>
              <w:rPr>
                <w:b/>
                <w:color w:val="FFFFFF"/>
              </w:rPr>
            </w:r>
            <w:r>
              <w:rPr>
                <w:b/>
                <w:i w:val="0"/>
                <w:strike w:val="0"/>
                <w:color w:val="FFFFFF"/>
              </w:rPr>
              <w:t>Who uses it</w:t>
            </w:r>
          </w:p>
        </w:tc>
        <w:tc>
          <w:tcPr>
            <w:tcW w:type="dxa" w:w="2880"/>
            <w:shd w:val="clear" w:fill="1F4E79"/>
          </w:tcPr>
          <w:p>
            <w:r>
              <w:rPr>
                <w:b/>
                <w:color w:val="FFFFFF"/>
              </w:rPr>
            </w:r>
            <w:r>
              <w:rPr>
                <w:b/>
                <w:i w:val="0"/>
                <w:strike w:val="0"/>
                <w:color w:val="FFFFFF"/>
              </w:rPr>
              <w:t>What it is for</w:t>
            </w:r>
          </w:p>
        </w:tc>
      </w:tr>
      <w:tr>
        <w:tc>
          <w:tcPr>
            <w:tcW w:type="dxa" w:w="2880"/>
          </w:tcPr>
          <w:p>
            <w:r/>
            <w:r>
              <w:rPr>
                <w:b w:val="0"/>
                <w:i w:val="0"/>
                <w:strike w:val="0"/>
              </w:rPr>
              <w:t>The Firm Application</w:t>
            </w:r>
          </w:p>
        </w:tc>
        <w:tc>
          <w:tcPr>
            <w:tcW w:type="dxa" w:w="2880"/>
          </w:tcPr>
          <w:p>
            <w:r/>
            <w:r>
              <w:rPr>
                <w:b w:val="0"/>
                <w:i w:val="0"/>
                <w:strike w:val="0"/>
              </w:rPr>
              <w:t>The compliance team at each crypto company (CCO, compliance officers, senior management, IT staff)</w:t>
            </w:r>
          </w:p>
        </w:tc>
        <w:tc>
          <w:tcPr>
            <w:tcW w:type="dxa" w:w="2880"/>
          </w:tcPr>
          <w:p>
            <w:r/>
            <w:r>
              <w:rPr>
                <w:b w:val="0"/>
                <w:i w:val="0"/>
                <w:strike w:val="0"/>
              </w:rPr>
              <w:t>The day-to-day compliance platform. Running tests, managing findings, tracking remediation, generating reports.</w:t>
            </w:r>
          </w:p>
        </w:tc>
      </w:tr>
      <w:tr>
        <w:tc>
          <w:tcPr>
            <w:tcW w:type="dxa" w:w="2880"/>
          </w:tcPr>
          <w:p>
            <w:r/>
            <w:r>
              <w:rPr>
                <w:b w:val="0"/>
                <w:i w:val="0"/>
                <w:strike w:val="0"/>
              </w:rPr>
              <w:t>The Platform Admin Portal</w:t>
            </w:r>
          </w:p>
        </w:tc>
        <w:tc>
          <w:tcPr>
            <w:tcW w:type="dxa" w:w="2880"/>
          </w:tcPr>
          <w:p>
            <w:r/>
            <w:r>
              <w:rPr>
                <w:b w:val="0"/>
                <w:i w:val="0"/>
                <w:strike w:val="0"/>
              </w:rPr>
              <w:t>Sosinna's team at Synergy Consulting Group</w:t>
            </w:r>
          </w:p>
        </w:tc>
        <w:tc>
          <w:tcPr>
            <w:tcW w:type="dxa" w:w="2880"/>
          </w:tcPr>
          <w:p>
            <w:r/>
            <w:r>
              <w:rPr>
                <w:b w:val="0"/>
                <w:i w:val="0"/>
                <w:strike w:val="0"/>
              </w:rPr>
              <w:t>The back-office tool where the compliance testing library is built and maintained. This is where test procedures are written, regulation changes are tracked, and client firms are managed.</w:t>
            </w:r>
          </w:p>
        </w:tc>
      </w:tr>
    </w:tbl>
    <w:tbl>
      <w:tblPr>
        <w:tblStyle w:val="TableGrid"/>
        <w:tblW w:type="auto" w:w="0"/>
        <w:tblLook w:firstColumn="1" w:firstRow="1" w:lastColumn="0" w:lastRow="0" w:noHBand="0" w:noVBand="1" w:val="04A0"/>
      </w:tblPr>
      <w:tblGrid>
        <w:gridCol w:w="8640"/>
      </w:tblGrid>
      <w:tr>
        <w:tc>
          <w:tcPr>
            <w:tcW w:type="dxa" w:w="8640"/>
            <w:shd w:val="clear" w:fill="DDEBF7"/>
          </w:tcPr>
          <w:p>
            <w:r>
              <w:rPr>
                <w:b/>
                <w:i w:val="0"/>
                <w:strike w:val="0"/>
              </w:rPr>
              <w:t>📌 Note</w:t>
            </w:r>
          </w:p>
          <w:p>
            <w:pPr>
              <w:pStyle w:val="ListBullet"/>
            </w:pPr>
            <w:r>
              <w:rPr>
                <w:b w:val="0"/>
                <w:i w:val="0"/>
                <w:strike w:val="0"/>
              </w:rPr>
              <w:t>The Platform Admin Portal is in scope for the initial build. Without it, there are no tests for firms to run.</w:t>
            </w:r>
          </w:p>
          <w:p>
            <w:pPr>
              <w:pStyle w:val="ListBullet"/>
            </w:pPr>
            <w:r>
              <w:rPr>
                <w:b w:val="0"/>
                <w:i w:val="0"/>
                <w:strike w:val="0"/>
              </w:rPr>
              <w:t>The Portal is not visible to any firm's users. It is a separate login, separate interface, used only by Sosinna's team.</w:t>
            </w:r>
          </w:p>
          <w:p>
            <w:pPr>
              <w:pStyle w:val="ListBullet"/>
            </w:pPr>
            <w:r>
              <w:rPr>
                <w:b w:val="0"/>
                <w:i w:val="0"/>
                <w:strike w:val="0"/>
              </w:rPr>
              <w:t>The compliance testing content in the Portal — the test procedures, the requirement IDs, the evidence checklists — is the core intellectual property of ControlIQ.</w:t>
            </w:r>
          </w:p>
          <w:p>
            <w:pPr>
              <w:pStyle w:val="ListBullet"/>
            </w:pPr>
            <w:r>
              <w:rPr>
                <w:b/>
                <w:i/>
                <w:strike w:val="0"/>
                <w:color w:val="C55A11"/>
              </w:rPr>
              <w:t>See Section 14, CC-03 for the full, now-confirmed IP ownership terms — the scope is broader than just this content.</w:t>
            </w:r>
            <w:r>
              <w:rPr>
                <w:b w:val="0"/>
                <w:i w:val="0"/>
                <w:strike w:val="0"/>
              </w:rPr>
              <w:t xml:space="preserve"> </w:t>
            </w:r>
            <w:r>
              <w:rPr>
                <w:b w:val="0"/>
                <w:i/>
                <w:strike w:val="0"/>
                <w:color w:val="C55A11"/>
                <w:sz w:val="16"/>
              </w:rPr>
              <w:t xml:space="preserve"> [Sosinna's Drive comment]</w:t>
            </w:r>
          </w:p>
        </w:tc>
      </w:tr>
    </w:tbl>
    <w:p>
      <w:pPr>
        <w:pStyle w:val="Heading2"/>
      </w:pPr>
      <w:r>
        <w:t>1.3 Marketing Website &amp; Subscription Entry Point</w:t>
      </w:r>
    </w:p>
    <w:p>
      <w:r>
        <w:rPr>
          <w:b/>
          <w:i/>
          <w:strike w:val="0"/>
          <w:color w:val="1155CC"/>
        </w:rPr>
        <w:t>NEW — added following the 25 Jun FRD Review call, approved for scope by Jomin (3 Jul 2026)</w:t>
      </w:r>
      <w:r>
        <w:rPr>
          <w:b w:val="0"/>
          <w:i w:val="0"/>
          <w:strike w:val="0"/>
        </w:rPr>
        <w:t xml:space="preserve"> </w:t>
      </w:r>
      <w:r>
        <w:rPr>
          <w:b w:val="0"/>
          <w:i/>
          <w:strike w:val="0"/>
          <w:color w:val="1155CC"/>
          <w:sz w:val="16"/>
        </w:rPr>
        <w:t xml:space="preserve"> [25 Jun FRD call]</w:t>
      </w:r>
    </w:p>
    <w:p>
      <w:r>
        <w:rPr>
          <w:b w:val="0"/>
          <w:i w:val="0"/>
          <w:strike w:val="0"/>
        </w:rPr>
        <w:t>This was not part of earlier versions of this document. It surfaced as a gap during the FRD Review call: the platform needs a public-facing marketing website that introduces ControlIQ before a firm ever reaches the onboarding wizard in Section 5.</w:t>
      </w:r>
    </w:p>
    <w:p>
      <w:r>
        <w:rPr>
          <w:b/>
          <w:i w:val="0"/>
          <w:strike w:val="0"/>
          <w:color w:val="1155CC"/>
        </w:rPr>
        <w:t>[MKT-01]</w:t>
      </w:r>
      <w:r>
        <w:rPr>
          <w:b w:val="0"/>
          <w:i w:val="0"/>
          <w:strike w:val="0"/>
        </w:rPr>
        <w:t xml:space="preserve"> A public marketing website introduces ControlIQ, explains the two-application structure at a high level, and describes the two indicative plan types (Enterprise vs. seat-based) without publishing fixed prices.</w:t>
      </w:r>
    </w:p>
    <w:p>
      <w:r>
        <w:rPr>
          <w:b/>
          <w:i w:val="0"/>
          <w:strike w:val="0"/>
          <w:color w:val="1155CC"/>
        </w:rPr>
        <w:t>[MKT-02]</w:t>
      </w:r>
      <w:r>
        <w:rPr>
          <w:b w:val="0"/>
          <w:i w:val="0"/>
          <w:strike w:val="0"/>
        </w:rPr>
        <w:t xml:space="preserve"> The marketing site does not process payment or plan selection directly. There is no self-serve checkout. </w:t>
      </w:r>
      <w:r>
        <w:rPr>
          <w:b/>
          <w:i w:val="0"/>
          <w:strike w:val="0"/>
        </w:rPr>
        <w:t>📞 From the 25 Jun FRD Review call:</w:t>
      </w:r>
      <w:r>
        <w:rPr>
          <w:b w:val="0"/>
          <w:i w:val="0"/>
          <w:strike w:val="0"/>
        </w:rPr>
        <w:t xml:space="preserve"> </w:t>
      </w:r>
      <w:r>
        <w:rPr>
          <w:b w:val="0"/>
          <w:i/>
          <w:strike w:val="0"/>
          <w:color w:val="1155CC"/>
        </w:rPr>
        <w:t>Confirmed on the call — pricing is sales-assisted, not self-serve. Every prospective firm goes through a demo and scoping conversation with Sosinna's team before an account is created (see Section 14, CC-01). The site's job is lead capture — a 'request a demo' flow — not a shopping cart.</w:t>
      </w:r>
      <w:r>
        <w:rPr>
          <w:b w:val="0"/>
          <w:i w:val="0"/>
          <w:strike w:val="0"/>
        </w:rPr>
        <w:t xml:space="preserve"> </w:t>
      </w:r>
      <w:r>
        <w:rPr>
          <w:b w:val="0"/>
          <w:i/>
          <w:strike w:val="0"/>
          <w:color w:val="1155CC"/>
          <w:sz w:val="16"/>
        </w:rPr>
        <w:t xml:space="preserve"> [25 Jun FRD call]</w:t>
      </w:r>
    </w:p>
    <w:p>
      <w:r>
        <w:rPr>
          <w:b/>
          <w:i w:val="0"/>
          <w:strike w:val="0"/>
          <w:color w:val="1155CC"/>
        </w:rPr>
        <w:t>[MKT-03]</w:t>
      </w:r>
      <w:r>
        <w:rPr>
          <w:b w:val="0"/>
          <w:i w:val="0"/>
          <w:strike w:val="0"/>
        </w:rPr>
        <w:t xml:space="preserve"> Once a firm is qualified and a plan is agreed off-platform, Sosinna's team (or Jomin's team during onboarding support) creates the account and the firm proceeds through the Section 5 setup wizard. </w:t>
      </w:r>
      <w:r>
        <w:rPr>
          <w:b/>
          <w:i/>
          <w:strike w:val="0"/>
          <w:color w:val="843C0C"/>
        </w:rPr>
        <w:t>REVISED in v7.0: Sosinna's team no longer creates the account. They record that the offline agreement is complete (SA-19) and generate an onboarding link, which is emailed to the firm; the firm then creates its own first administrator account from that link (FR-117). The sales-assisted principle is unchanged — a firm still cannot get in without Sosinna's team acting — but the mechanism is an invitation, not an admin-provisioned login.</w:t>
      </w:r>
      <w:r>
        <w:rPr>
          <w:b w:val="0"/>
          <w:i w:val="0"/>
          <w:strike w:val="0"/>
        </w:rPr>
        <w:t xml:space="preserve"> </w:t>
      </w:r>
      <w:r>
        <w:rPr>
          <w:b w:val="0"/>
          <w:i/>
          <w:strike w:val="0"/>
          <w:color w:val="843C0C"/>
          <w:sz w:val="16"/>
        </w:rPr>
        <w:t xml:space="preserve"> [Aug 2026 onboarding flow]</w:t>
      </w:r>
    </w:p>
    <w:tbl>
      <w:tblPr>
        <w:tblStyle w:val="TableGrid"/>
        <w:tblW w:type="auto" w:w="0"/>
        <w:tblLook w:firstColumn="1" w:firstRow="1" w:lastColumn="0" w:lastRow="0" w:noHBand="0" w:noVBand="1" w:val="04A0"/>
      </w:tblPr>
      <w:tblGrid>
        <w:gridCol w:w="8640"/>
      </w:tblGrid>
      <w:tr>
        <w:tc>
          <w:tcPr>
            <w:tcW w:type="dxa" w:w="8640"/>
            <w:shd w:val="clear" w:fill="F5E6D9"/>
          </w:tcPr>
          <w:p>
            <w:r>
              <w:rPr>
                <w:b/>
                <w:i w:val="0"/>
                <w:strike w:val="0"/>
              </w:rPr>
              <w:t>NOTE</w:t>
            </w:r>
            <w:r>
              <w:rPr>
                <w:b w:val="0"/>
                <w:i w:val="0"/>
                <w:strike w:val="0"/>
              </w:rPr>
              <w:t xml:space="preserve"> </w:t>
            </w:r>
            <w:r>
              <w:rPr>
                <w:b w:val="0"/>
                <w:i/>
                <w:strike w:val="0"/>
              </w:rPr>
              <w:t>(brown — new in v7.0)</w:t>
            </w:r>
          </w:p>
          <w:p>
            <w:r>
              <w:rPr>
                <w:b/>
                <w:i/>
                <w:strike w:val="0"/>
                <w:color w:val="843C0C"/>
              </w:rPr>
              <w:t xml:space="preserve">⚠ MKT-02 needs restating. It says the marketing site does not process payment and there is no self-serve checkout. That remains true of the </w:t>
            </w:r>
            <w:r>
              <w:rPr>
                <w:b/>
                <w:i/>
                <w:strike w:val="0"/>
                <w:color w:val="843C0C"/>
              </w:rPr>
              <w:t>marketing site</w:t>
            </w:r>
            <w:r>
              <w:rPr>
                <w:b/>
                <w:i/>
                <w:strike w:val="0"/>
                <w:color w:val="843C0C"/>
              </w:rPr>
              <w:t xml:space="preserve"> — enquiries there are still lead capture only, and the demo-and-scoping conversation still happens before anything else. What changed is that payment now happens </w:t>
            </w:r>
            <w:r>
              <w:rPr>
                <w:b/>
                <w:i/>
                <w:strike w:val="0"/>
                <w:color w:val="843C0C"/>
              </w:rPr>
              <w:t>inside the platform</w:t>
            </w:r>
            <w:r>
              <w:rPr>
                <w:b/>
                <w:i/>
                <w:strike w:val="0"/>
                <w:color w:val="843C0C"/>
              </w:rPr>
              <w:t>, at the end of onboarding (FR-123), against a price agreed offline rather than chosen from a public tier. Whether that counts as the "self-serve checkout" MKT-02 rules out is a commercial judgement, not a technical one — logged as GAP-18.</w:t>
            </w:r>
            <w:r>
              <w:rPr>
                <w:b w:val="0"/>
                <w:i w:val="0"/>
                <w:strike w:val="0"/>
              </w:rPr>
              <w:t xml:space="preserve"> </w:t>
            </w:r>
            <w:r>
              <w:rPr>
                <w:b w:val="0"/>
                <w:i/>
                <w:strike w:val="0"/>
                <w:color w:val="843C0C"/>
                <w:sz w:val="16"/>
              </w:rPr>
              <w:t xml:space="preserve"> [Aug 2026 onboarding flow]</w:t>
            </w:r>
          </w:p>
          <w:p>
            <w:r>
              <w:rPr>
                <w:b/>
                <w:i/>
                <w:strike w:val="0"/>
                <w:color w:val="843C0C"/>
              </w:rPr>
              <w:t>The enquiry submitted on this site is now received by the platform under SA-16, which makes MKT-04 (static site vs. CMS) more consequential than it was: the site needs a route to post enquiries into ControlIQ, or Sosinna's team re-keys them by hand. See ON-07.</w:t>
            </w:r>
            <w:r>
              <w:rPr>
                <w:b w:val="0"/>
                <w:i w:val="0"/>
                <w:strike w:val="0"/>
              </w:rPr>
              <w:t xml:space="preserve"> </w:t>
            </w:r>
            <w:r>
              <w:rPr>
                <w:b w:val="0"/>
                <w:i/>
                <w:strike w:val="0"/>
                <w:color w:val="843C0C"/>
                <w:sz w:val="16"/>
              </w:rPr>
              <w:t xml:space="preserve"> [Aug 2026 onboarding flow]</w:t>
            </w:r>
          </w:p>
        </w:tc>
      </w:tr>
    </w:tbl>
    <w:tbl>
      <w:tblPr>
        <w:tblStyle w:val="TableGrid"/>
        <w:tblW w:type="auto" w:w="0"/>
        <w:tblLook w:firstColumn="1" w:firstRow="1" w:lastColumn="0" w:lastRow="0" w:noHBand="0" w:noVBand="1" w:val="04A0"/>
      </w:tblPr>
      <w:tblGrid>
        <w:gridCol w:w="8640"/>
      </w:tblGrid>
      <w:tr>
        <w:tc>
          <w:tcPr>
            <w:tcW w:type="dxa" w:w="8640"/>
            <w:shd w:val="clear" w:fill="FFF2CC"/>
          </w:tcPr>
          <w:p>
            <w:r>
              <w:rPr>
                <w:b/>
                <w:i w:val="0"/>
                <w:strike w:val="0"/>
              </w:rPr>
              <w:t>OPEN QUESTION</w:t>
            </w:r>
            <w:r>
              <w:rPr>
                <w:b w:val="0"/>
                <w:i w:val="0"/>
                <w:strike w:val="0"/>
              </w:rPr>
              <w:t xml:space="preserve"> </w:t>
            </w:r>
            <w:r>
              <w:rPr>
                <w:b w:val="0"/>
                <w:i/>
                <w:strike w:val="0"/>
              </w:rPr>
              <w:t>(amber — unresolved)</w:t>
            </w:r>
          </w:p>
          <w:p>
            <w:r>
              <w:rPr>
                <w:b/>
                <w:i w:val="0"/>
                <w:strike w:val="0"/>
              </w:rPr>
              <w:t>💬 Questions still to confirm</w:t>
            </w:r>
          </w:p>
          <w:p>
            <w:pPr>
              <w:pStyle w:val="ListBullet"/>
            </w:pPr>
            <w:r>
              <w:rPr>
                <w:b w:val="0"/>
                <w:i w:val="0"/>
                <w:strike w:val="0"/>
              </w:rPr>
              <w:t>Hosting / CMS (MKT-04): should this be a simple static site, or does it need a CMS Sosinna's team can edit without a developer?</w:t>
            </w:r>
          </w:p>
          <w:p>
            <w:pPr>
              <w:pStyle w:val="ListBullet"/>
            </w:pPr>
            <w:r>
              <w:rPr>
                <w:b w:val="0"/>
                <w:i w:val="0"/>
                <w:strike w:val="0"/>
              </w:rPr>
              <w:t>Domain (MKT-05): does this live on a SayOne-managed domain, a Synergy-owned domain, or the eventual ControlIQ product domain? Ties into the CC-02 branding question below.</w:t>
            </w:r>
          </w:p>
        </w:tc>
      </w:tr>
    </w:tbl>
    <w:p>
      <w:pPr>
        <w:pStyle w:val="Heading1"/>
      </w:pPr>
      <w:r>
        <w:t>2. The Data ControlIQ Stores</w:t>
      </w:r>
    </w:p>
    <w:p>
      <w:r>
        <w:rPr>
          <w:b w:val="0"/>
          <w:i w:val="0"/>
          <w:strike w:val="0"/>
        </w:rPr>
        <w:t>ControlIQ is the permanent record of a firm's compliance activity. This is important: regulators can ask a firm to produce evidence of their compliance programme going back years. Everything the platform stores must be kept securely, and most of it cannot be deleted.</w:t>
      </w:r>
    </w:p>
    <w:p>
      <w:r>
        <w:rPr>
          <w:b w:val="0"/>
          <w:i w:val="0"/>
          <w:strike w:val="0"/>
        </w:rPr>
        <w:t>Here is what the platform stores, and for how long:</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4E79"/>
          </w:tcPr>
          <w:p>
            <w:r>
              <w:rPr>
                <w:b/>
                <w:color w:val="FFFFFF"/>
              </w:rPr>
            </w:r>
            <w:r>
              <w:rPr>
                <w:b/>
                <w:i w:val="0"/>
                <w:strike w:val="0"/>
                <w:color w:val="FFFFFF"/>
              </w:rPr>
              <w:t>What we store</w:t>
            </w:r>
          </w:p>
        </w:tc>
        <w:tc>
          <w:tcPr>
            <w:tcW w:type="dxa" w:w="2880"/>
            <w:shd w:val="clear" w:fill="1F4E79"/>
          </w:tcPr>
          <w:p>
            <w:r>
              <w:rPr>
                <w:b/>
                <w:color w:val="FFFFFF"/>
              </w:rPr>
            </w:r>
            <w:r>
              <w:rPr>
                <w:b/>
                <w:i w:val="0"/>
                <w:strike w:val="0"/>
                <w:color w:val="FFFFFF"/>
              </w:rPr>
              <w:t>Why</w:t>
            </w:r>
          </w:p>
        </w:tc>
        <w:tc>
          <w:tcPr>
            <w:tcW w:type="dxa" w:w="2880"/>
            <w:shd w:val="clear" w:fill="1F4E79"/>
          </w:tcPr>
          <w:p>
            <w:r>
              <w:rPr>
                <w:b/>
                <w:color w:val="FFFFFF"/>
              </w:rPr>
            </w:r>
            <w:r>
              <w:rPr>
                <w:b/>
                <w:i w:val="0"/>
                <w:strike w:val="0"/>
                <w:color w:val="FFFFFF"/>
              </w:rPr>
              <w:t>How long</w:t>
            </w:r>
          </w:p>
        </w:tc>
      </w:tr>
      <w:tr>
        <w:tc>
          <w:tcPr>
            <w:tcW w:type="dxa" w:w="2880"/>
          </w:tcPr>
          <w:p>
            <w:r/>
            <w:r>
              <w:rPr>
                <w:b w:val="0"/>
                <w:i w:val="0"/>
                <w:strike w:val="0"/>
              </w:rPr>
              <w:t>Firm profile</w:t>
            </w:r>
          </w:p>
        </w:tc>
        <w:tc>
          <w:tcPr>
            <w:tcW w:type="dxa" w:w="2880"/>
          </w:tcPr>
          <w:p>
            <w:r/>
            <w:r>
              <w:rPr>
                <w:b w:val="0"/>
                <w:i w:val="0"/>
                <w:strike w:val="0"/>
              </w:rPr>
              <w:t>Jurisdiction, licence number, services offered, client base. This drives which tests the firm needs to run.</w:t>
            </w:r>
          </w:p>
        </w:tc>
        <w:tc>
          <w:tcPr>
            <w:tcW w:type="dxa" w:w="2880"/>
          </w:tcPr>
          <w:p>
            <w:r/>
            <w:r>
              <w:rPr>
                <w:b w:val="0"/>
                <w:i w:val="0"/>
                <w:strike w:val="0"/>
              </w:rPr>
              <w:t>Kept for as long as the firm is a client</w:t>
            </w:r>
          </w:p>
        </w:tc>
      </w:tr>
      <w:tr>
        <w:tc>
          <w:tcPr>
            <w:tcW w:type="dxa" w:w="2880"/>
          </w:tcPr>
          <w:p>
            <w:r/>
            <w:r>
              <w:rPr>
                <w:b w:val="0"/>
                <w:i w:val="0"/>
                <w:strike w:val="0"/>
              </w:rPr>
              <w:t>Regulatory requirement IDs and test procedures</w:t>
            </w:r>
          </w:p>
        </w:tc>
        <w:tc>
          <w:tcPr>
            <w:tcW w:type="dxa" w:w="2880"/>
          </w:tcPr>
          <w:p>
            <w:r/>
            <w:r>
              <w:rPr>
                <w:b w:val="0"/>
                <w:i w:val="0"/>
                <w:strike w:val="0"/>
              </w:rPr>
              <w:t>The library of tests the firm runs — built and maintained by Sosinna's team. Not fixed: these are updated as regulations change.</w:t>
            </w:r>
          </w:p>
        </w:tc>
        <w:tc>
          <w:tcPr>
            <w:tcW w:type="dxa" w:w="2880"/>
          </w:tcPr>
          <w:p>
            <w:r/>
            <w:r>
              <w:rPr>
                <w:b w:val="0"/>
                <w:i w:val="0"/>
                <w:strike w:val="0"/>
              </w:rPr>
              <w:t>Full history of every version kept forever</w:t>
            </w:r>
          </w:p>
        </w:tc>
      </w:tr>
      <w:tr>
        <w:tc>
          <w:tcPr>
            <w:tcW w:type="dxa" w:w="2880"/>
          </w:tcPr>
          <w:p>
            <w:r/>
            <w:r>
              <w:rPr>
                <w:b w:val="0"/>
                <w:i w:val="0"/>
                <w:strike w:val="0"/>
              </w:rPr>
              <w:t>Test executions</w:t>
            </w:r>
          </w:p>
        </w:tc>
        <w:tc>
          <w:tcPr>
            <w:tcW w:type="dxa" w:w="2880"/>
          </w:tcPr>
          <w:p>
            <w:r/>
            <w:r>
              <w:rPr>
                <w:b w:val="0"/>
                <w:i w:val="0"/>
                <w:strike w:val="0"/>
              </w:rPr>
              <w:t>A record of every test the firm has run: who ran it, when, what steps they completed, what they found.</w:t>
            </w:r>
          </w:p>
        </w:tc>
        <w:tc>
          <w:tcPr>
            <w:tcW w:type="dxa" w:w="2880"/>
          </w:tcPr>
          <w:p>
            <w:r/>
            <w:r>
              <w:rPr>
                <w:b w:val="0"/>
                <w:i w:val="0"/>
                <w:strike w:val="0"/>
              </w:rPr>
              <w:t>Minimum 6 years</w:t>
            </w:r>
          </w:p>
        </w:tc>
      </w:tr>
      <w:tr>
        <w:tc>
          <w:tcPr>
            <w:tcW w:type="dxa" w:w="2880"/>
          </w:tcPr>
          <w:p>
            <w:r/>
            <w:r>
              <w:rPr>
                <w:b w:val="0"/>
                <w:i w:val="0"/>
                <w:strike w:val="0"/>
              </w:rPr>
              <w:t>Test results</w:t>
            </w:r>
          </w:p>
        </w:tc>
        <w:tc>
          <w:tcPr>
            <w:tcW w:type="dxa" w:w="2880"/>
          </w:tcPr>
          <w:p>
            <w:r/>
            <w:r>
              <w:rPr>
                <w:b w:val="0"/>
                <w:i w:val="0"/>
                <w:strike w:val="0"/>
              </w:rPr>
              <w:t>The formal outcome of each test — Pass, Fail, or Observation — with supporting rationale.</w:t>
            </w:r>
          </w:p>
        </w:tc>
        <w:tc>
          <w:tcPr>
            <w:tcW w:type="dxa" w:w="2880"/>
          </w:tcPr>
          <w:p>
            <w:r/>
            <w:r>
              <w:rPr>
                <w:b w:val="0"/>
                <w:i w:val="0"/>
                <w:strike w:val="0"/>
              </w:rPr>
              <w:t>Minimum 6 years, and cannot be changed once signed off (only an amendment can be added on top)</w:t>
            </w:r>
          </w:p>
        </w:tc>
      </w:tr>
      <w:tr>
        <w:tc>
          <w:tcPr>
            <w:tcW w:type="dxa" w:w="2880"/>
          </w:tcPr>
          <w:p>
            <w:r/>
            <w:r>
              <w:rPr>
                <w:b w:val="0"/>
                <w:i w:val="0"/>
                <w:strike w:val="0"/>
              </w:rPr>
              <w:t>Evidence files</w:t>
            </w:r>
          </w:p>
        </w:tc>
        <w:tc>
          <w:tcPr>
            <w:tcW w:type="dxa" w:w="2880"/>
          </w:tcPr>
          <w:p>
            <w:r/>
            <w:r>
              <w:rPr>
                <w:b w:val="0"/>
                <w:i w:val="0"/>
                <w:strike w:val="0"/>
              </w:rPr>
              <w:t>Every document, screenshot, audio recording, video, spreadsheet, or other file uploaded as proof during a test.</w:t>
            </w:r>
          </w:p>
        </w:tc>
        <w:tc>
          <w:tcPr>
            <w:tcW w:type="dxa" w:w="2880"/>
          </w:tcPr>
          <w:p>
            <w:r/>
            <w:r>
              <w:rPr>
                <w:b w:val="0"/>
                <w:i w:val="0"/>
                <w:strike w:val="0"/>
              </w:rPr>
              <w:t>Minimum 6 years, cannot be deleted by anyone</w:t>
            </w:r>
          </w:p>
        </w:tc>
      </w:tr>
      <w:tr>
        <w:tc>
          <w:tcPr>
            <w:tcW w:type="dxa" w:w="2880"/>
          </w:tcPr>
          <w:p>
            <w:r/>
            <w:r>
              <w:rPr>
                <w:b w:val="0"/>
                <w:i w:val="0"/>
                <w:strike w:val="0"/>
              </w:rPr>
              <w:t>Sampling records</w:t>
            </w:r>
          </w:p>
        </w:tc>
        <w:tc>
          <w:tcPr>
            <w:tcW w:type="dxa" w:w="2880"/>
          </w:tcPr>
          <w:p>
            <w:r/>
            <w:r>
              <w:rPr>
                <w:b w:val="0"/>
                <w:i w:val="0"/>
                <w:strike w:val="0"/>
              </w:rPr>
              <w:t>For tests that check a sample of transactions or records: how big the full set was, how many were checked, and why those specific ones were chosen.</w:t>
            </w:r>
          </w:p>
        </w:tc>
        <w:tc>
          <w:tcPr>
            <w:tcW w:type="dxa" w:w="2880"/>
          </w:tcPr>
          <w:p>
            <w:r/>
            <w:r>
              <w:rPr>
                <w:b w:val="0"/>
                <w:i w:val="0"/>
                <w:strike w:val="0"/>
              </w:rPr>
              <w:t>Minimum 6 years</w:t>
            </w:r>
          </w:p>
        </w:tc>
      </w:tr>
      <w:tr>
        <w:tc>
          <w:tcPr>
            <w:tcW w:type="dxa" w:w="2880"/>
          </w:tcPr>
          <w:p>
            <w:r/>
            <w:r>
              <w:rPr>
                <w:b w:val="0"/>
                <w:i w:val="0"/>
                <w:strike w:val="0"/>
              </w:rPr>
              <w:t>Findings</w:t>
            </w:r>
          </w:p>
        </w:tc>
        <w:tc>
          <w:tcPr>
            <w:tcW w:type="dxa" w:w="2880"/>
          </w:tcPr>
          <w:p>
            <w:r/>
            <w:r>
              <w:rPr>
                <w:b w:val="0"/>
                <w:i w:val="0"/>
                <w:strike w:val="0"/>
              </w:rPr>
              <w:t>Every compliance issue identified during testing: what the problem is, how serious it is, which regulation it relates to, and what the root cause was.</w:t>
            </w:r>
          </w:p>
        </w:tc>
        <w:tc>
          <w:tcPr>
            <w:tcW w:type="dxa" w:w="2880"/>
          </w:tcPr>
          <w:p>
            <w:r/>
            <w:r>
              <w:rPr>
                <w:b w:val="0"/>
                <w:i w:val="0"/>
                <w:strike w:val="0"/>
              </w:rPr>
              <w:t>Minimum 6 years</w:t>
            </w:r>
          </w:p>
        </w:tc>
      </w:tr>
      <w:tr>
        <w:tc>
          <w:tcPr>
            <w:tcW w:type="dxa" w:w="2880"/>
          </w:tcPr>
          <w:p>
            <w:r/>
            <w:r>
              <w:rPr>
                <w:b w:val="0"/>
                <w:i w:val="0"/>
                <w:strike w:val="0"/>
              </w:rPr>
              <w:t>Remediation action items</w:t>
            </w:r>
          </w:p>
        </w:tc>
        <w:tc>
          <w:tcPr>
            <w:tcW w:type="dxa" w:w="2880"/>
          </w:tcPr>
          <w:p>
            <w:r/>
            <w:r>
              <w:rPr>
                <w:b w:val="0"/>
                <w:i w:val="0"/>
                <w:strike w:val="0"/>
              </w:rPr>
              <w:t>The specific tasks assigned to fix each finding: who is responsible, when it is due, and what was done.</w:t>
            </w:r>
          </w:p>
        </w:tc>
        <w:tc>
          <w:tcPr>
            <w:tcW w:type="dxa" w:w="2880"/>
          </w:tcPr>
          <w:p>
            <w:r/>
            <w:r>
              <w:rPr>
                <w:b w:val="0"/>
                <w:i w:val="0"/>
                <w:strike w:val="0"/>
              </w:rPr>
              <w:t>Minimum 6 years</w:t>
            </w:r>
          </w:p>
        </w:tc>
      </w:tr>
      <w:tr>
        <w:tc>
          <w:tcPr>
            <w:tcW w:type="dxa" w:w="2880"/>
          </w:tcPr>
          <w:p>
            <w:r/>
            <w:r>
              <w:rPr>
                <w:b w:val="0"/>
                <w:i w:val="0"/>
                <w:strike w:val="0"/>
              </w:rPr>
              <w:t>Remediation evidence</w:t>
            </w:r>
          </w:p>
        </w:tc>
        <w:tc>
          <w:tcPr>
            <w:tcW w:type="dxa" w:w="2880"/>
          </w:tcPr>
          <w:p>
            <w:r/>
            <w:r>
              <w:rPr>
                <w:b w:val="0"/>
                <w:i w:val="0"/>
                <w:strike w:val="0"/>
              </w:rPr>
              <w:t>The files uploaded to prove a fix has been implemented.</w:t>
            </w:r>
          </w:p>
        </w:tc>
        <w:tc>
          <w:tcPr>
            <w:tcW w:type="dxa" w:w="2880"/>
          </w:tcPr>
          <w:p>
            <w:r/>
            <w:r>
              <w:rPr>
                <w:b w:val="0"/>
                <w:i w:val="0"/>
                <w:strike w:val="0"/>
              </w:rPr>
              <w:t>Minimum 6 years, cannot be deleted</w:t>
            </w:r>
          </w:p>
        </w:tc>
      </w:tr>
      <w:tr>
        <w:tc>
          <w:tcPr>
            <w:tcW w:type="dxa" w:w="2880"/>
          </w:tcPr>
          <w:p>
            <w:r/>
            <w:r>
              <w:rPr>
                <w:b w:val="0"/>
                <w:i w:val="0"/>
                <w:strike w:val="0"/>
              </w:rPr>
              <w:t>Compliance reports</w:t>
            </w:r>
          </w:p>
        </w:tc>
        <w:tc>
          <w:tcPr>
            <w:tcW w:type="dxa" w:w="2880"/>
          </w:tcPr>
          <w:p>
            <w:r/>
            <w:r>
              <w:rPr>
                <w:b w:val="0"/>
                <w:i w:val="0"/>
                <w:strike w:val="0"/>
              </w:rPr>
              <w:t>The formal reports generated at the end of each testing cycle.</w:t>
            </w:r>
          </w:p>
        </w:tc>
        <w:tc>
          <w:tcPr>
            <w:tcW w:type="dxa" w:w="2880"/>
          </w:tcPr>
          <w:p>
            <w:r/>
            <w:r>
              <w:rPr>
                <w:b w:val="0"/>
                <w:i w:val="0"/>
                <w:strike w:val="0"/>
              </w:rPr>
              <w:t>Minimum 6 years, cannot be changed after they are issued</w:t>
            </w:r>
          </w:p>
        </w:tc>
      </w:tr>
      <w:tr>
        <w:tc>
          <w:tcPr>
            <w:tcW w:type="dxa" w:w="2880"/>
          </w:tcPr>
          <w:p>
            <w:r/>
            <w:r>
              <w:rPr>
                <w:b w:val="0"/>
                <w:i w:val="0"/>
                <w:strike w:val="0"/>
              </w:rPr>
              <w:t>Staff records</w:t>
            </w:r>
          </w:p>
        </w:tc>
        <w:tc>
          <w:tcPr>
            <w:tcW w:type="dxa" w:w="2880"/>
          </w:tcPr>
          <w:p>
            <w:r/>
            <w:r>
              <w:rPr>
                <w:b w:val="0"/>
                <w:i w:val="0"/>
                <w:strike w:val="0"/>
              </w:rPr>
              <w:t>The firm's employee list, their roles, their qualifications, their hardware, their place in the emergency contact chain.</w:t>
            </w:r>
          </w:p>
        </w:tc>
        <w:tc>
          <w:tcPr>
            <w:tcW w:type="dxa" w:w="2880"/>
          </w:tcPr>
          <w:p>
            <w:r/>
            <w:r>
              <w:rPr>
                <w:b w:val="0"/>
                <w:i w:val="0"/>
                <w:strike w:val="0"/>
              </w:rPr>
              <w:t>Kept for the duration of employment plus retention period</w:t>
            </w:r>
          </w:p>
        </w:tc>
      </w:tr>
      <w:tr>
        <w:tc>
          <w:tcPr>
            <w:tcW w:type="dxa" w:w="2880"/>
          </w:tcPr>
          <w:p>
            <w:r/>
            <w:r>
              <w:rPr>
                <w:b w:val="0"/>
                <w:i w:val="0"/>
                <w:strike w:val="0"/>
              </w:rPr>
              <w:t>Audit log</w:t>
            </w:r>
          </w:p>
        </w:tc>
        <w:tc>
          <w:tcPr>
            <w:tcW w:type="dxa" w:w="2880"/>
          </w:tcPr>
          <w:p>
            <w:r/>
            <w:r>
              <w:rPr>
                <w:b w:val="0"/>
                <w:i w:val="0"/>
                <w:strike w:val="0"/>
              </w:rPr>
              <w:t>A complete, tamper-proof record of every action any user takes in the platform: what they did, when, from which device.</w:t>
            </w:r>
          </w:p>
        </w:tc>
        <w:tc>
          <w:tcPr>
            <w:tcW w:type="dxa" w:w="2880"/>
          </w:tcPr>
          <w:p>
            <w:r/>
            <w:r>
              <w:rPr>
                <w:b w:val="0"/>
                <w:i w:val="0"/>
                <w:strike w:val="0"/>
              </w:rPr>
              <w:t>Minimum 6 years, cannot be modified by anyone</w:t>
            </w:r>
          </w:p>
        </w:tc>
      </w:tr>
      <w:tr>
        <w:tc>
          <w:tcPr>
            <w:tcW w:type="dxa" w:w="2880"/>
          </w:tcPr>
          <w:p>
            <w:r/>
            <w:r>
              <w:rPr>
                <w:b w:val="0"/>
                <w:i w:val="0"/>
                <w:strike w:val="0"/>
              </w:rPr>
              <w:t>Notification log</w:t>
            </w:r>
          </w:p>
        </w:tc>
        <w:tc>
          <w:tcPr>
            <w:tcW w:type="dxa" w:w="2880"/>
          </w:tcPr>
          <w:p>
            <w:r/>
            <w:r>
              <w:rPr>
                <w:b w:val="0"/>
                <w:i w:val="0"/>
                <w:strike w:val="0"/>
              </w:rPr>
              <w:t>A record of every alert the platform sent, to whom, and whether it was acknowledged.</w:t>
            </w:r>
          </w:p>
        </w:tc>
        <w:tc>
          <w:tcPr>
            <w:tcW w:type="dxa" w:w="2880"/>
          </w:tcPr>
          <w:p>
            <w:r/>
            <w:r>
              <w:rPr>
                <w:b w:val="0"/>
                <w:i w:val="0"/>
                <w:strike w:val="0"/>
              </w:rPr>
              <w:t>Minimum 6 years</w:t>
            </w:r>
          </w:p>
        </w:tc>
      </w:tr>
      <w:tr>
        <w:tc>
          <w:tcPr>
            <w:tcW w:type="dxa" w:w="2880"/>
          </w:tcPr>
          <w:p>
            <w:r/>
            <w:r>
              <w:rPr>
                <w:b/>
                <w:i/>
                <w:strike w:val="0"/>
                <w:color w:val="843C0C"/>
              </w:rPr>
              <w:t>Enquiries</w:t>
            </w:r>
            <w:r>
              <w:rPr>
                <w:b w:val="0"/>
                <w:i w:val="0"/>
                <w:strike w:val="0"/>
              </w:rPr>
              <w:t xml:space="preserve"> </w:t>
            </w:r>
            <w:r>
              <w:rPr>
                <w:b w:val="0"/>
                <w:i/>
                <w:strike w:val="0"/>
                <w:color w:val="843C0C"/>
                <w:sz w:val="16"/>
              </w:rPr>
              <w:t xml:space="preserve"> [Aug 2026 onboarding flow]</w:t>
            </w:r>
          </w:p>
        </w:tc>
        <w:tc>
          <w:tcPr>
            <w:tcW w:type="dxa" w:w="2880"/>
          </w:tcPr>
          <w:p>
            <w:r/>
            <w:r>
              <w:rPr>
                <w:b/>
                <w:i/>
                <w:strike w:val="0"/>
                <w:color w:val="843C0C"/>
              </w:rPr>
              <w:t>Firms that approached the business: contact details, status history, the record that the offline agreement was completed, and every onboarding link issued or revoked. This is the record of who approached the business and what happened.</w:t>
            </w:r>
            <w:r>
              <w:rPr>
                <w:b w:val="0"/>
                <w:i w:val="0"/>
                <w:strike w:val="0"/>
              </w:rPr>
              <w:t xml:space="preserve"> </w:t>
            </w:r>
            <w:r>
              <w:rPr>
                <w:b w:val="0"/>
                <w:i/>
                <w:strike w:val="0"/>
                <w:color w:val="843C0C"/>
                <w:sz w:val="16"/>
              </w:rPr>
              <w:t xml:space="preserve"> [Aug 2026 onboarding flow]</w:t>
            </w:r>
          </w:p>
        </w:tc>
        <w:tc>
          <w:tcPr>
            <w:tcW w:type="dxa" w:w="2880"/>
          </w:tcPr>
          <w:p>
            <w:r/>
            <w:r>
              <w:rPr>
                <w:b/>
                <w:i/>
                <w:strike w:val="0"/>
                <w:color w:val="843C0C"/>
              </w:rPr>
              <w:t>NEW in v7.0. Retention is deliberately NOT set here — see ON-08. This is prospect data, including data from firms that never became clients, and the six-year never-delete rule was written for the compliance records of paying clients. It needs its own rule, decided against GDPR data minimisation.</w:t>
            </w:r>
            <w:r>
              <w:rPr>
                <w:b w:val="0"/>
                <w:i w:val="0"/>
                <w:strike w:val="0"/>
              </w:rPr>
              <w:t xml:space="preserve"> </w:t>
            </w:r>
            <w:r>
              <w:rPr>
                <w:b w:val="0"/>
                <w:i/>
                <w:strike w:val="0"/>
                <w:color w:val="843C0C"/>
                <w:sz w:val="16"/>
              </w:rPr>
              <w:t xml:space="preserve"> [Aug 2026 onboarding flow]</w:t>
            </w:r>
          </w:p>
        </w:tc>
      </w:tr>
      <w:tr>
        <w:tc>
          <w:tcPr>
            <w:tcW w:type="dxa" w:w="2880"/>
          </w:tcPr>
          <w:p>
            <w:r/>
            <w:r>
              <w:rPr>
                <w:b/>
                <w:i/>
                <w:strike w:val="0"/>
                <w:color w:val="843C0C"/>
              </w:rPr>
              <w:t>Payment records</w:t>
            </w:r>
            <w:r>
              <w:rPr>
                <w:b w:val="0"/>
                <w:i w:val="0"/>
                <w:strike w:val="0"/>
              </w:rPr>
              <w:t xml:space="preserve"> </w:t>
            </w:r>
            <w:r>
              <w:rPr>
                <w:b w:val="0"/>
                <w:i/>
                <w:strike w:val="0"/>
                <w:color w:val="843C0C"/>
                <w:sz w:val="16"/>
              </w:rPr>
              <w:t xml:space="preserve"> [Aug 2026 onboarding flow]</w:t>
            </w:r>
          </w:p>
        </w:tc>
        <w:tc>
          <w:tcPr>
            <w:tcW w:type="dxa" w:w="2880"/>
          </w:tcPr>
          <w:p>
            <w:r/>
            <w:r>
              <w:rPr>
                <w:b/>
                <w:i/>
                <w:strike w:val="0"/>
                <w:color w:val="843C0C"/>
              </w:rPr>
              <w:t>Every payment attempt against a firm: date, amount, outcome, and the payment provider's transaction reference. This is what the tenant's active status is derived from.</w:t>
            </w:r>
            <w:r>
              <w:rPr>
                <w:b w:val="0"/>
                <w:i w:val="0"/>
                <w:strike w:val="0"/>
              </w:rPr>
              <w:t xml:space="preserve"> </w:t>
            </w:r>
            <w:r>
              <w:rPr>
                <w:b w:val="0"/>
                <w:i/>
                <w:strike w:val="0"/>
                <w:color w:val="843C0C"/>
                <w:sz w:val="16"/>
              </w:rPr>
              <w:t xml:space="preserve"> [Aug 2026 onboarding flow]</w:t>
            </w:r>
          </w:p>
        </w:tc>
        <w:tc>
          <w:tcPr>
            <w:tcW w:type="dxa" w:w="2880"/>
          </w:tcPr>
          <w:p>
            <w:r/>
            <w:r>
              <w:rPr>
                <w:b/>
                <w:i/>
                <w:strike w:val="0"/>
                <w:color w:val="843C0C"/>
              </w:rPr>
              <w:t xml:space="preserve">NEW in v7.0. Retention follows the applicable financial record-keeping period. </w:t>
            </w:r>
            <w:r>
              <w:rPr>
                <w:b/>
                <w:i/>
                <w:strike w:val="0"/>
                <w:color w:val="843C0C"/>
              </w:rPr>
              <w:t>No card details are stored</w:t>
            </w:r>
            <w:r>
              <w:rPr>
                <w:b/>
                <w:i/>
                <w:strike w:val="0"/>
                <w:color w:val="843C0C"/>
              </w:rPr>
              <w:t xml:space="preserve"> — see NFR-12. The platform holds provider tokens and references only.</w:t>
            </w:r>
            <w:r>
              <w:rPr>
                <w:b w:val="0"/>
                <w:i w:val="0"/>
                <w:strike w:val="0"/>
              </w:rPr>
              <w:t xml:space="preserve"> </w:t>
            </w:r>
            <w:r>
              <w:rPr>
                <w:b w:val="0"/>
                <w:i/>
                <w:strike w:val="0"/>
                <w:color w:val="843C0C"/>
                <w:sz w:val="16"/>
              </w:rPr>
              <w:t xml:space="preserve"> [Aug 2026 onboarding flow]</w:t>
            </w:r>
          </w:p>
        </w:tc>
      </w:tr>
    </w:tbl>
    <w:tbl>
      <w:tblPr>
        <w:tblStyle w:val="TableGrid"/>
        <w:tblW w:type="auto" w:w="0"/>
        <w:tblLook w:firstColumn="1" w:firstRow="1" w:lastColumn="0" w:lastRow="0" w:noHBand="0" w:noVBand="1" w:val="04A0"/>
      </w:tblPr>
      <w:tblGrid>
        <w:gridCol w:w="8640"/>
      </w:tblGrid>
      <w:tr>
        <w:tc>
          <w:tcPr>
            <w:tcW w:type="dxa" w:w="8640"/>
            <w:shd w:val="clear" w:fill="DDEBF7"/>
          </w:tcPr>
          <w:p>
            <w:r>
              <w:rPr>
                <w:b/>
                <w:i w:val="0"/>
                <w:strike w:val="0"/>
              </w:rPr>
              <w:t>🔧 For the development team</w:t>
            </w:r>
          </w:p>
          <w:p>
            <w:pPr>
              <w:pStyle w:val="ListBullet"/>
            </w:pPr>
            <w:r>
              <w:rPr>
                <w:b w:val="0"/>
                <w:i w:val="0"/>
                <w:strike w:val="0"/>
              </w:rPr>
              <w:t>All data encrypted at rest using AES-256 (a standard military-grade encryption method) and in transit using TLS 1.3. Evidence files stored in encrypted object storage with per-tenant encryption keys.</w:t>
            </w:r>
          </w:p>
          <w:p>
            <w:pPr>
              <w:pStyle w:val="ListBullet"/>
            </w:pPr>
            <w:r>
              <w:rPr>
                <w:b w:val="0"/>
                <w:i w:val="0"/>
                <w:strike w:val="0"/>
              </w:rPr>
              <w:t>EU data residency required for all client data — EU data centres only.</w:t>
            </w:r>
          </w:p>
          <w:p>
            <w:pPr>
              <w:pStyle w:val="ListBullet"/>
            </w:pPr>
            <w:r>
              <w:rPr>
                <w:b/>
                <w:i/>
                <w:strike w:val="0"/>
                <w:color w:val="C55A11"/>
              </w:rPr>
              <w:t>Cloud provider and account ownership now confirmed — see Section 13, TI-01: AWS, EU-resident data centre, on an account owned solely by the Client.</w:t>
            </w:r>
            <w:r>
              <w:rPr>
                <w:b w:val="0"/>
                <w:i w:val="0"/>
                <w:strike w:val="0"/>
              </w:rPr>
              <w:t xml:space="preserve"> </w:t>
            </w:r>
            <w:r>
              <w:rPr>
                <w:b w:val="0"/>
                <w:i/>
                <w:strike w:val="0"/>
                <w:color w:val="C55A11"/>
                <w:sz w:val="16"/>
              </w:rPr>
              <w:t xml:space="preserve"> [Sosinna's Drive comment]</w:t>
            </w:r>
          </w:p>
          <w:p>
            <w:pPr>
              <w:pStyle w:val="ListBullet"/>
            </w:pPr>
            <w:r>
              <w:rPr>
                <w:b w:val="0"/>
                <w:i w:val="0"/>
                <w:strike w:val="0"/>
              </w:rPr>
              <w:t>Multi-tenant architecture (each firm's data lives in a completely separate data partition — no firm can ever see another firm's data) from day one.</w:t>
            </w:r>
          </w:p>
          <w:p>
            <w:pPr>
              <w:pStyle w:val="ListBullet"/>
            </w:pPr>
            <w:r>
              <w:rPr>
                <w:b w:val="0"/>
                <w:i w:val="0"/>
                <w:strike w:val="0"/>
              </w:rPr>
              <w:t>Audit log is immutable — append-only. No admin-level delete or modify capability.</w:t>
            </w:r>
          </w:p>
        </w:tc>
      </w:tr>
    </w:tbl>
    <w:p>
      <w:pPr>
        <w:pStyle w:val="Heading1"/>
      </w:pPr>
      <w:r>
        <w:t>3. Who Uses the Platform and What They Can Do</w:t>
      </w:r>
    </w:p>
    <w:p>
      <w:r>
        <w:rPr>
          <w:b w:val="0"/>
          <w:i w:val="0"/>
          <w:strike w:val="0"/>
        </w:rPr>
        <w:t>Everyone who uses ControlIQ has a role that determines what they can see and what they can do. There are two levels of roles:</w:t>
      </w:r>
    </w:p>
    <w:p>
      <w:pPr>
        <w:pStyle w:val="ListBullet"/>
      </w:pPr>
      <w:r>
        <w:rPr>
          <w:b w:val="0"/>
          <w:i w:val="0"/>
          <w:strike w:val="0"/>
        </w:rPr>
        <w:t>System roles — defined by SayOne and built into the platform. These carry fixed permissions. They cannot be changed by any firm.</w:t>
      </w:r>
    </w:p>
    <w:p>
      <w:pPr>
        <w:pStyle w:val="ListBullet"/>
      </w:pPr>
      <w:r>
        <w:rPr>
          <w:b w:val="0"/>
          <w:i w:val="0"/>
          <w:strike w:val="0"/>
        </w:rPr>
        <w:t>Firm roles — custom names that each firm creates to match their own job titles (for example, 'AML Analyst' or 'Head of IT'). Each firm role is linked to one system role, and that linkage determines the actual permissions.</w:t>
      </w:r>
    </w:p>
    <w:p>
      <w:r>
        <w:rPr>
          <w:b w:val="0"/>
          <w:i w:val="0"/>
          <w:strike w:val="0"/>
        </w:rPr>
        <w:t>This means a firm can call their roles whatever they like, but the underlying access rules are always controlled by the platform. For example, a firm might call someone 'VP of Compliance' — they link that title to the 'CCO / Compliance Manager' system role, and that person automatically gets CCO-level access.</w:t>
      </w:r>
    </w:p>
    <w:p>
      <w:pPr>
        <w:pStyle w:val="Heading2"/>
      </w:pPr>
      <w:r>
        <w:t>3.1 The Eight System Roles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4E79"/>
          </w:tcPr>
          <w:p>
            <w:r>
              <w:rPr>
                <w:b/>
                <w:color w:val="FFFFFF"/>
              </w:rPr>
            </w:r>
            <w:r>
              <w:rPr>
                <w:b/>
                <w:i w:val="0"/>
                <w:strike w:val="0"/>
                <w:color w:val="FFFFFF"/>
              </w:rPr>
              <w:t>Role</w:t>
            </w:r>
          </w:p>
        </w:tc>
        <w:tc>
          <w:tcPr>
            <w:tcW w:type="dxa" w:w="2880"/>
            <w:shd w:val="clear" w:fill="1F4E79"/>
          </w:tcPr>
          <w:p>
            <w:r>
              <w:rPr>
                <w:b/>
                <w:color w:val="FFFFFF"/>
              </w:rPr>
            </w:r>
            <w:r>
              <w:rPr>
                <w:b/>
                <w:i w:val="0"/>
                <w:strike w:val="0"/>
                <w:color w:val="FFFFFF"/>
              </w:rPr>
              <w:t>Has login?</w:t>
            </w:r>
          </w:p>
        </w:tc>
        <w:tc>
          <w:tcPr>
            <w:tcW w:type="dxa" w:w="2880"/>
            <w:shd w:val="clear" w:fill="1F4E79"/>
          </w:tcPr>
          <w:p>
            <w:r>
              <w:rPr>
                <w:b/>
                <w:color w:val="FFFFFF"/>
              </w:rPr>
            </w:r>
            <w:r>
              <w:rPr>
                <w:b/>
                <w:i w:val="0"/>
                <w:strike w:val="0"/>
                <w:color w:val="FFFFFF"/>
              </w:rPr>
              <w:t>What this person can do</w:t>
            </w:r>
          </w:p>
        </w:tc>
      </w:tr>
      <w:tr>
        <w:tc>
          <w:tcPr>
            <w:tcW w:type="dxa" w:w="2880"/>
          </w:tcPr>
          <w:p>
            <w:r/>
            <w:r>
              <w:rPr>
                <w:b w:val="0"/>
                <w:i w:val="0"/>
                <w:strike w:val="0"/>
              </w:rPr>
              <w:t>Platform Super Admin (Sosinna's team)</w:t>
            </w:r>
          </w:p>
        </w:tc>
        <w:tc>
          <w:tcPr>
            <w:tcW w:type="dxa" w:w="2880"/>
          </w:tcPr>
          <w:p>
            <w:r/>
            <w:r>
              <w:rPr>
                <w:b w:val="0"/>
                <w:i w:val="0"/>
                <w:strike w:val="0"/>
              </w:rPr>
              <w:t>Yes</w:t>
            </w:r>
          </w:p>
        </w:tc>
        <w:tc>
          <w:tcPr>
            <w:tcW w:type="dxa" w:w="2880"/>
          </w:tcPr>
          <w:p>
            <w:r/>
            <w:r>
              <w:rPr>
                <w:b w:val="0"/>
                <w:i w:val="0"/>
                <w:strike w:val="0"/>
              </w:rPr>
              <w:t>Manages all regulatory content, builds test procedures, configures the platform globally. Works in a separate administration portal that firm users never see.</w:t>
            </w:r>
          </w:p>
        </w:tc>
      </w:tr>
      <w:tr>
        <w:tc>
          <w:tcPr>
            <w:tcW w:type="dxa" w:w="2880"/>
          </w:tcPr>
          <w:p>
            <w:r/>
            <w:r>
              <w:rPr>
                <w:b w:val="0"/>
                <w:i w:val="0"/>
                <w:strike w:val="0"/>
              </w:rPr>
              <w:t>Firm Super Admin</w:t>
            </w:r>
          </w:p>
        </w:tc>
        <w:tc>
          <w:tcPr>
            <w:tcW w:type="dxa" w:w="2880"/>
          </w:tcPr>
          <w:p>
            <w:r/>
            <w:r>
              <w:rPr>
                <w:b w:val="0"/>
                <w:i w:val="0"/>
                <w:strike w:val="0"/>
              </w:rPr>
              <w:t>Yes</w:t>
            </w:r>
          </w:p>
        </w:tc>
        <w:tc>
          <w:tcPr>
            <w:tcW w:type="dxa" w:w="2880"/>
          </w:tcPr>
          <w:p>
            <w:r/>
            <w:r>
              <w:rPr>
                <w:b w:val="0"/>
                <w:i w:val="0"/>
                <w:strike w:val="0"/>
              </w:rPr>
              <w:t>Sets up the firm's account, invites users, creates custom job title roles, and manages firm settings. Each firm must always have at least two of these.</w:t>
            </w:r>
          </w:p>
        </w:tc>
      </w:tr>
      <w:tr>
        <w:tc>
          <w:tcPr>
            <w:tcW w:type="dxa" w:w="2880"/>
          </w:tcPr>
          <w:p>
            <w:r/>
            <w:r>
              <w:rPr>
                <w:b w:val="0"/>
                <w:i w:val="0"/>
                <w:strike w:val="0"/>
              </w:rPr>
              <w:t>CCO / Compliance Manager</w:t>
            </w:r>
          </w:p>
        </w:tc>
        <w:tc>
          <w:tcPr>
            <w:tcW w:type="dxa" w:w="2880"/>
          </w:tcPr>
          <w:p>
            <w:r/>
            <w:r>
              <w:rPr>
                <w:b w:val="0"/>
                <w:i w:val="0"/>
                <w:strike w:val="0"/>
              </w:rPr>
              <w:t>Yes</w:t>
            </w:r>
          </w:p>
        </w:tc>
        <w:tc>
          <w:tcPr>
            <w:tcW w:type="dxa" w:w="2880"/>
          </w:tcPr>
          <w:p>
            <w:r/>
            <w:r>
              <w:rPr>
                <w:b w:val="0"/>
                <w:i w:val="0"/>
                <w:strike w:val="0"/>
              </w:rPr>
              <w:t>The most important role in the firm-side application. Assigns tests to compliance officers, reviews and approves all test results, initiates thematic or selective reviews, closes findings, and generates the final report.</w:t>
            </w:r>
          </w:p>
        </w:tc>
      </w:tr>
      <w:tr>
        <w:tc>
          <w:tcPr>
            <w:tcW w:type="dxa" w:w="2880"/>
          </w:tcPr>
          <w:p>
            <w:r/>
            <w:r>
              <w:rPr>
                <w:b w:val="0"/>
                <w:i w:val="0"/>
                <w:strike w:val="0"/>
              </w:rPr>
              <w:t>Compliance Officer (Lead Tester)</w:t>
            </w:r>
          </w:p>
        </w:tc>
        <w:tc>
          <w:tcPr>
            <w:tcW w:type="dxa" w:w="2880"/>
          </w:tcPr>
          <w:p>
            <w:r/>
            <w:r>
              <w:rPr>
                <w:b w:val="0"/>
                <w:i w:val="0"/>
                <w:strike w:val="0"/>
              </w:rPr>
              <w:t>Yes</w:t>
            </w:r>
          </w:p>
        </w:tc>
        <w:tc>
          <w:tcPr>
            <w:tcW w:type="dxa" w:w="2880"/>
          </w:tcPr>
          <w:p>
            <w:r/>
            <w:r>
              <w:rPr>
                <w:b w:val="0"/>
                <w:i w:val="0"/>
                <w:strike w:val="0"/>
              </w:rPr>
              <w:t>Carries out tests day to day. Works through the test steps, uploads evidence, records what they found, and logs any issues. Cannot approve their own work — that always goes to the CCO.</w:t>
            </w:r>
          </w:p>
        </w:tc>
      </w:tr>
      <w:tr>
        <w:tc>
          <w:tcPr>
            <w:tcW w:type="dxa" w:w="2880"/>
          </w:tcPr>
          <w:p>
            <w:r/>
            <w:r>
              <w:rPr>
                <w:b w:val="0"/>
                <w:i w:val="0"/>
                <w:strike w:val="0"/>
              </w:rPr>
              <w:t>Senior Management</w:t>
            </w:r>
          </w:p>
        </w:tc>
        <w:tc>
          <w:tcPr>
            <w:tcW w:type="dxa" w:w="2880"/>
          </w:tcPr>
          <w:p>
            <w:r/>
            <w:r>
              <w:rPr>
                <w:b w:val="0"/>
                <w:i w:val="0"/>
                <w:strike w:val="0"/>
              </w:rPr>
              <w:t>Yes</w:t>
            </w:r>
          </w:p>
        </w:tc>
        <w:tc>
          <w:tcPr>
            <w:tcW w:type="dxa" w:w="2880"/>
          </w:tcPr>
          <w:p>
            <w:r/>
            <w:r>
              <w:rPr>
                <w:b w:val="0"/>
                <w:i w:val="0"/>
                <w:strike w:val="0"/>
              </w:rPr>
              <w:t>Read-only access to dashboards and reports. Receives escalation alerts when a serious issue is found. Provides formal sign-off at the end of a testing cycle.</w:t>
            </w:r>
          </w:p>
        </w:tc>
      </w:tr>
      <w:tr>
        <w:tc>
          <w:tcPr>
            <w:tcW w:type="dxa" w:w="2880"/>
          </w:tcPr>
          <w:p>
            <w:r/>
            <w:r>
              <w:rPr>
                <w:b w:val="0"/>
                <w:i w:val="0"/>
                <w:strike w:val="0"/>
              </w:rPr>
              <w:t>Remediation Owner</w:t>
            </w:r>
          </w:p>
        </w:tc>
        <w:tc>
          <w:tcPr>
            <w:tcW w:type="dxa" w:w="2880"/>
          </w:tcPr>
          <w:p>
            <w:r/>
            <w:r>
              <w:rPr>
                <w:b w:val="0"/>
                <w:i w:val="0"/>
                <w:strike w:val="0"/>
              </w:rPr>
              <w:t>Yes</w:t>
            </w:r>
          </w:p>
        </w:tc>
        <w:tc>
          <w:tcPr>
            <w:tcW w:type="dxa" w:w="2880"/>
          </w:tcPr>
          <w:p>
            <w:r/>
            <w:r>
              <w:rPr>
                <w:b w:val="0"/>
                <w:i w:val="0"/>
                <w:strike w:val="0"/>
              </w:rPr>
              <w:t>Receives action items when a compliance problem needs to be fixed. Sees only their own assigned tasks, updates the progress status, and uploads proof that the fix has been done.</w:t>
            </w:r>
          </w:p>
        </w:tc>
      </w:tr>
      <w:tr>
        <w:tc>
          <w:tcPr>
            <w:tcW w:type="dxa" w:w="2880"/>
          </w:tcPr>
          <w:p>
            <w:r/>
            <w:r>
              <w:rPr>
                <w:b w:val="0"/>
                <w:i w:val="0"/>
                <w:strike w:val="0"/>
              </w:rPr>
              <w:t>IT / Systems Admin</w:t>
            </w:r>
          </w:p>
        </w:tc>
        <w:tc>
          <w:tcPr>
            <w:tcW w:type="dxa" w:w="2880"/>
          </w:tcPr>
          <w:p>
            <w:r/>
            <w:r>
              <w:rPr>
                <w:b w:val="0"/>
                <w:i w:val="0"/>
                <w:strike w:val="0"/>
              </w:rPr>
              <w:t>Yes</w:t>
            </w:r>
          </w:p>
        </w:tc>
        <w:tc>
          <w:tcPr>
            <w:tcW w:type="dxa" w:w="2880"/>
          </w:tcPr>
          <w:p>
            <w:r/>
            <w:r>
              <w:rPr>
                <w:b w:val="0"/>
                <w:i w:val="0"/>
                <w:strike w:val="0"/>
              </w:rPr>
              <w:t>Access limited to the Systems &amp; ICT Risk section. Manages the inventory of IT systems and records any serious IT incidents. Cannot see compliance tests or findings.</w:t>
            </w:r>
          </w:p>
        </w:tc>
      </w:tr>
      <w:tr>
        <w:tc>
          <w:tcPr>
            <w:tcW w:type="dxa" w:w="2880"/>
          </w:tcPr>
          <w:p>
            <w:r/>
            <w:r>
              <w:rPr>
                <w:b w:val="0"/>
                <w:i w:val="0"/>
                <w:strike w:val="0"/>
              </w:rPr>
              <w:t>Staff / Employee (no login)</w:t>
            </w:r>
          </w:p>
        </w:tc>
        <w:tc>
          <w:tcPr>
            <w:tcW w:type="dxa" w:w="2880"/>
          </w:tcPr>
          <w:p>
            <w:r/>
            <w:r>
              <w:rPr>
                <w:b w:val="0"/>
                <w:i w:val="0"/>
                <w:strike w:val="0"/>
              </w:rPr>
              <w:t>No</w:t>
            </w:r>
          </w:p>
        </w:tc>
        <w:tc>
          <w:tcPr>
            <w:tcW w:type="dxa" w:w="2880"/>
          </w:tcPr>
          <w:p>
            <w:r/>
            <w:r>
              <w:rPr>
                <w:b w:val="0"/>
                <w:i w:val="0"/>
                <w:strike w:val="0"/>
              </w:rPr>
              <w:t>Any team member who does not need to use the platform but still needs to appear in the org chart, BCP contact list, or Fit &amp; Proper records. They are tracked in the system but cannot log in.</w:t>
            </w:r>
          </w:p>
        </w:tc>
      </w:tr>
    </w:tbl>
    <w:tbl>
      <w:tblPr>
        <w:tblStyle w:val="TableGrid"/>
        <w:tblW w:type="auto" w:w="0"/>
        <w:tblLook w:firstColumn="1" w:firstRow="1" w:lastColumn="0" w:lastRow="0" w:noHBand="0" w:noVBand="1" w:val="04A0"/>
      </w:tblPr>
      <w:tblGrid>
        <w:gridCol w:w="8640"/>
      </w:tblGrid>
      <w:tr>
        <w:tc>
          <w:tcPr>
            <w:tcW w:type="dxa" w:w="8640"/>
            <w:shd w:val="clear" w:fill="E6E0F5"/>
          </w:tcPr>
          <w:p>
            <w:r>
              <w:rPr>
                <w:b/>
                <w:i w:val="0"/>
                <w:strike w:val="0"/>
              </w:rPr>
              <w:t>NOTE</w:t>
            </w:r>
            <w:r>
              <w:rPr>
                <w:b w:val="0"/>
                <w:i w:val="0"/>
                <w:strike w:val="0"/>
              </w:rPr>
              <w:t xml:space="preserve"> </w:t>
            </w:r>
            <w:r>
              <w:rPr>
                <w:b w:val="0"/>
                <w:i/>
                <w:strike w:val="0"/>
              </w:rPr>
              <w:t>(purple)</w:t>
            </w:r>
          </w:p>
          <w:p>
            <w:r>
              <w:rPr>
                <w:b/>
                <w:i/>
                <w:strike w:val="0"/>
                <w:color w:val="7030A0"/>
              </w:rPr>
              <w:t>🎯 The four operational roles — from the August 2026 client meeting</w:t>
            </w:r>
            <w:r>
              <w:rPr>
                <w:b w:val="0"/>
                <w:i w:val="0"/>
                <w:strike w:val="0"/>
              </w:rPr>
              <w:t xml:space="preserve"> </w:t>
            </w:r>
            <w:r>
              <w:rPr>
                <w:b w:val="0"/>
                <w:i/>
                <w:strike w:val="0"/>
                <w:color w:val="7030A0"/>
                <w:sz w:val="16"/>
              </w:rPr>
              <w:t xml:space="preserve"> [Aug 2026 client MOM]</w:t>
            </w:r>
          </w:p>
          <w:p>
            <w:r>
              <w:rPr>
                <w:b/>
                <w:i/>
                <w:strike w:val="0"/>
                <w:color w:val="7030A0"/>
              </w:rPr>
              <w:t>The client described the platform as being built around four primary user roles: Tester (Compliance Officer / Lead Tester), Chief Compliance Officer, Remediation Owner, and Senior Management. This does not remove any of the eight system roles above — it is a statement about which roles carry the day-to-day compliance workflow and therefore where design and UAT effort should be concentrated.</w:t>
            </w:r>
            <w:r>
              <w:rPr>
                <w:b w:val="0"/>
                <w:i w:val="0"/>
                <w:strike w:val="0"/>
              </w:rPr>
              <w:t xml:space="preserve"> </w:t>
            </w:r>
            <w:r>
              <w:rPr>
                <w:b w:val="0"/>
                <w:i/>
                <w:strike w:val="0"/>
                <w:color w:val="7030A0"/>
                <w:sz w:val="16"/>
              </w:rPr>
              <w:t xml:space="preserve"> [Aug 2026 client MOM]</w:t>
            </w:r>
          </w:p>
          <w:p>
            <w:r>
              <w:rPr>
                <w:b/>
                <w:i/>
                <w:strike w:val="0"/>
                <w:color w:val="7030A0"/>
              </w:rPr>
              <w:t>The other four roles keep their existing purpose: Platform Super Admin (Sosinna's team, separate portal), Firm Super Admin (account setup and user administration, not a workflow participant), IT / Systems Admin (the DORA module in Section 11), and Staff / Employee (a governance record with no login).</w:t>
            </w:r>
            <w:r>
              <w:rPr>
                <w:b w:val="0"/>
                <w:i w:val="0"/>
                <w:strike w:val="0"/>
              </w:rPr>
              <w:t xml:space="preserve"> </w:t>
            </w:r>
            <w:r>
              <w:rPr>
                <w:b w:val="0"/>
                <w:i/>
                <w:strike w:val="0"/>
                <w:color w:val="7030A0"/>
                <w:sz w:val="16"/>
              </w:rPr>
              <w:t xml:space="preserve"> [Aug 2026 client MOM]</w:t>
            </w:r>
          </w:p>
          <w:p>
            <w:r>
              <w:rPr>
                <w:b/>
                <w:i/>
                <w:strike w:val="0"/>
                <w:color w:val="7030A0"/>
              </w:rPr>
              <w:t>Developer implication: the four operational roles are the ones that need complete, polished end-to-end journeys for MVP. Firm Super Admin and IT / Systems Admin remain in scope but are narrower surfaces.</w:t>
            </w:r>
            <w:r>
              <w:rPr>
                <w:b w:val="0"/>
                <w:i w:val="0"/>
                <w:strike w:val="0"/>
              </w:rPr>
              <w:t xml:space="preserve"> </w:t>
            </w:r>
            <w:r>
              <w:rPr>
                <w:b w:val="0"/>
                <w:i/>
                <w:strike w:val="0"/>
                <w:color w:val="7030A0"/>
                <w:sz w:val="16"/>
              </w:rPr>
              <w:t xml:space="preserve"> [Aug 2026 client MOM]</w:t>
            </w:r>
          </w:p>
          <w:p>
            <w:r>
              <w:rPr>
                <w:b/>
                <w:i/>
                <w:strike w:val="0"/>
                <w:color w:val="008080"/>
              </w:rPr>
              <w:t>CONFIRMED on 11 Aug 2026: the client restated the same four primary platform roles — CCO, Tester, Remediation Owner, Senior Management — in the same order and with the same scope. No change to this section; the reading above is correct.</w:t>
            </w:r>
            <w:r>
              <w:rPr>
                <w:b w:val="0"/>
                <w:i w:val="0"/>
                <w:strike w:val="0"/>
              </w:rPr>
              <w:t xml:space="preserve"> </w:t>
            </w:r>
            <w:r>
              <w:rPr>
                <w:b w:val="0"/>
                <w:i/>
                <w:strike w:val="0"/>
                <w:color w:val="008080"/>
                <w:sz w:val="16"/>
              </w:rPr>
              <w:t xml:space="preserve"> [11 Aug 2026 MOM]</w:t>
            </w:r>
          </w:p>
        </w:tc>
      </w:tr>
    </w:tbl>
    <w:p>
      <w:pPr>
        <w:pStyle w:val="Heading2"/>
      </w:pPr>
      <w:r>
        <w:t>3.2 How Firms Create Their Own Role Names</w:t>
      </w:r>
    </w:p>
    <w:p>
      <w:r>
        <w:rPr>
          <w:b w:val="0"/>
          <w:i w:val="0"/>
          <w:strike w:val="0"/>
        </w:rPr>
        <w:t>The Firm Super Admin (think: the person responsible for setting up the firm's account) can create as many custom job titles as they need. Each one must be mapped to a system role. The platform then uses that mapping to control access.</w:t>
      </w:r>
    </w:p>
    <w:p>
      <w:r>
        <w:rPr>
          <w:b w:val="0"/>
          <w:i w:val="0"/>
          <w:strike w:val="0"/>
        </w:rPr>
        <w:t>Example mapping:</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4E79"/>
          </w:tcPr>
          <w:p>
            <w:r>
              <w:rPr>
                <w:b/>
                <w:color w:val="FFFFFF"/>
              </w:rPr>
            </w:r>
            <w:r>
              <w:rPr>
                <w:b/>
                <w:i w:val="0"/>
                <w:strike w:val="0"/>
                <w:color w:val="FFFFFF"/>
              </w:rPr>
              <w:t>Firm's custom role name</w:t>
            </w:r>
          </w:p>
        </w:tc>
        <w:tc>
          <w:tcPr>
            <w:tcW w:type="dxa" w:w="2880"/>
            <w:shd w:val="clear" w:fill="1F4E79"/>
          </w:tcPr>
          <w:p>
            <w:r>
              <w:rPr>
                <w:b/>
                <w:color w:val="FFFFFF"/>
              </w:rPr>
            </w:r>
            <w:r>
              <w:rPr>
                <w:b/>
                <w:i w:val="0"/>
                <w:strike w:val="0"/>
                <w:color w:val="FFFFFF"/>
              </w:rPr>
              <w:t>Maps to system role</w:t>
            </w:r>
          </w:p>
        </w:tc>
        <w:tc>
          <w:tcPr>
            <w:tcW w:type="dxa" w:w="2880"/>
            <w:shd w:val="clear" w:fill="1F4E79"/>
          </w:tcPr>
          <w:p>
            <w:r>
              <w:rPr>
                <w:b/>
                <w:color w:val="FFFFFF"/>
              </w:rPr>
            </w:r>
            <w:r>
              <w:rPr>
                <w:b/>
                <w:i w:val="0"/>
                <w:strike w:val="0"/>
                <w:color w:val="FFFFFF"/>
              </w:rPr>
              <w:t>What they can do</w:t>
            </w:r>
          </w:p>
        </w:tc>
      </w:tr>
      <w:tr>
        <w:tc>
          <w:tcPr>
            <w:tcW w:type="dxa" w:w="2880"/>
          </w:tcPr>
          <w:p>
            <w:r/>
            <w:r>
              <w:rPr>
                <w:b w:val="0"/>
                <w:i w:val="0"/>
                <w:strike w:val="0"/>
              </w:rPr>
              <w:t>Chief Compliance Officer</w:t>
            </w:r>
          </w:p>
        </w:tc>
        <w:tc>
          <w:tcPr>
            <w:tcW w:type="dxa" w:w="2880"/>
          </w:tcPr>
          <w:p>
            <w:r/>
            <w:r>
              <w:rPr>
                <w:b w:val="0"/>
                <w:i w:val="0"/>
                <w:strike w:val="0"/>
              </w:rPr>
              <w:t>CCO / Compliance Manager</w:t>
            </w:r>
          </w:p>
        </w:tc>
        <w:tc>
          <w:tcPr>
            <w:tcW w:type="dxa" w:w="2880"/>
          </w:tcPr>
          <w:p>
            <w:r/>
            <w:r>
              <w:rPr>
                <w:b w:val="0"/>
                <w:i w:val="0"/>
                <w:strike w:val="0"/>
              </w:rPr>
              <w:t>Full compliance access</w:t>
            </w:r>
          </w:p>
        </w:tc>
      </w:tr>
      <w:tr>
        <w:tc>
          <w:tcPr>
            <w:tcW w:type="dxa" w:w="2880"/>
          </w:tcPr>
          <w:p>
            <w:r/>
            <w:r>
              <w:rPr>
                <w:b w:val="0"/>
                <w:i w:val="0"/>
                <w:strike w:val="0"/>
              </w:rPr>
              <w:t>AML Analyst</w:t>
            </w:r>
          </w:p>
        </w:tc>
        <w:tc>
          <w:tcPr>
            <w:tcW w:type="dxa" w:w="2880"/>
          </w:tcPr>
          <w:p>
            <w:r/>
            <w:r>
              <w:rPr>
                <w:b w:val="0"/>
                <w:i w:val="0"/>
                <w:strike w:val="0"/>
              </w:rPr>
              <w:t>Compliance Officer (Lead Tester)</w:t>
            </w:r>
          </w:p>
        </w:tc>
        <w:tc>
          <w:tcPr>
            <w:tcW w:type="dxa" w:w="2880"/>
          </w:tcPr>
          <w:p>
            <w:r/>
            <w:r>
              <w:rPr>
                <w:b w:val="0"/>
                <w:i w:val="0"/>
                <w:strike w:val="0"/>
              </w:rPr>
              <w:t>Runs tests, uploads evidence</w:t>
            </w:r>
          </w:p>
        </w:tc>
      </w:tr>
      <w:tr>
        <w:tc>
          <w:tcPr>
            <w:tcW w:type="dxa" w:w="2880"/>
          </w:tcPr>
          <w:p>
            <w:r/>
            <w:r>
              <w:rPr>
                <w:b w:val="0"/>
                <w:i w:val="0"/>
                <w:strike w:val="0"/>
              </w:rPr>
              <w:t>Board Director</w:t>
            </w:r>
          </w:p>
        </w:tc>
        <w:tc>
          <w:tcPr>
            <w:tcW w:type="dxa" w:w="2880"/>
          </w:tcPr>
          <w:p>
            <w:r/>
            <w:r>
              <w:rPr>
                <w:b w:val="0"/>
                <w:i w:val="0"/>
                <w:strike w:val="0"/>
              </w:rPr>
              <w:t>Senior Management</w:t>
            </w:r>
          </w:p>
        </w:tc>
        <w:tc>
          <w:tcPr>
            <w:tcW w:type="dxa" w:w="2880"/>
          </w:tcPr>
          <w:p>
            <w:r/>
            <w:r>
              <w:rPr>
                <w:b w:val="0"/>
                <w:i w:val="0"/>
                <w:strike w:val="0"/>
              </w:rPr>
              <w:t>Read-only, receives alerts, approves reports</w:t>
            </w:r>
          </w:p>
        </w:tc>
      </w:tr>
      <w:tr>
        <w:tc>
          <w:tcPr>
            <w:tcW w:type="dxa" w:w="2880"/>
          </w:tcPr>
          <w:p>
            <w:r/>
            <w:r>
              <w:rPr>
                <w:b w:val="0"/>
                <w:i w:val="0"/>
                <w:strike w:val="0"/>
              </w:rPr>
              <w:t>IT Security Manager</w:t>
            </w:r>
          </w:p>
        </w:tc>
        <w:tc>
          <w:tcPr>
            <w:tcW w:type="dxa" w:w="2880"/>
          </w:tcPr>
          <w:p>
            <w:r/>
            <w:r>
              <w:rPr>
                <w:b w:val="0"/>
                <w:i w:val="0"/>
                <w:strike w:val="0"/>
              </w:rPr>
              <w:t>IT / Systems Admin</w:t>
            </w:r>
          </w:p>
        </w:tc>
        <w:tc>
          <w:tcPr>
            <w:tcW w:type="dxa" w:w="2880"/>
          </w:tcPr>
          <w:p>
            <w:r/>
            <w:r>
              <w:rPr>
                <w:b w:val="0"/>
                <w:i w:val="0"/>
                <w:strike w:val="0"/>
              </w:rPr>
              <w:t>ICT risk module only</w:t>
            </w:r>
          </w:p>
        </w:tc>
      </w:tr>
      <w:tr>
        <w:tc>
          <w:tcPr>
            <w:tcW w:type="dxa" w:w="2880"/>
          </w:tcPr>
          <w:p>
            <w:r/>
            <w:r>
              <w:rPr>
                <w:b w:val="0"/>
                <w:i w:val="0"/>
                <w:strike w:val="0"/>
              </w:rPr>
              <w:t>Risk &amp; Controls Manager</w:t>
            </w:r>
          </w:p>
        </w:tc>
        <w:tc>
          <w:tcPr>
            <w:tcW w:type="dxa" w:w="2880"/>
          </w:tcPr>
          <w:p>
            <w:r/>
            <w:r>
              <w:rPr>
                <w:b w:val="0"/>
                <w:i w:val="0"/>
                <w:strike w:val="0"/>
              </w:rPr>
              <w:t>Remediation Owner</w:t>
            </w:r>
          </w:p>
        </w:tc>
        <w:tc>
          <w:tcPr>
            <w:tcW w:type="dxa" w:w="2880"/>
          </w:tcPr>
          <w:p>
            <w:r/>
            <w:r>
              <w:rPr>
                <w:b w:val="0"/>
                <w:i w:val="0"/>
                <w:strike w:val="0"/>
              </w:rPr>
              <w:t>Manages their assigned action items</w:t>
            </w:r>
          </w:p>
        </w:tc>
      </w:tr>
    </w:tbl>
    <w:p>
      <w:pPr>
        <w:pStyle w:val="Heading2"/>
      </w:pPr>
      <w:r>
        <w:t>3.3 Access Requirements</w:t>
      </w:r>
    </w:p>
    <w:p>
      <w:r>
        <w:rPr>
          <w:b/>
          <w:i w:val="0"/>
          <w:strike w:val="0"/>
          <w:color w:val="1155CC"/>
        </w:rPr>
        <w:t>[FR-09]</w:t>
      </w:r>
      <w:r>
        <w:rPr>
          <w:b w:val="0"/>
          <w:i w:val="0"/>
          <w:strike w:val="0"/>
        </w:rPr>
        <w:t xml:space="preserve"> Every user can only see and do what their role allows. This is enforced automatically by the platform — it is not up to individual users to self-police.</w:t>
      </w:r>
    </w:p>
    <w:p>
      <w:r>
        <w:rPr>
          <w:b/>
          <w:i w:val="0"/>
          <w:strike w:val="0"/>
          <w:color w:val="1155CC"/>
        </w:rPr>
        <w:t>[FR-10]</w:t>
      </w:r>
      <w:r>
        <w:rPr>
          <w:b w:val="0"/>
          <w:i w:val="0"/>
          <w:strike w:val="0"/>
        </w:rPr>
        <w:t xml:space="preserve"> The Firm Super Admin can create, rename, and deactivate custom firm roles at any time. Deactivating a role does not lock out existing users immediately — the admin needs to reassign them first.</w:t>
      </w:r>
    </w:p>
    <w:p>
      <w:r>
        <w:rPr>
          <w:b/>
          <w:i w:val="0"/>
          <w:strike w:val="0"/>
          <w:color w:val="1155CC"/>
        </w:rPr>
        <w:t>[FR-11]</w:t>
      </w:r>
      <w:r>
        <w:rPr>
          <w:b w:val="0"/>
          <w:i w:val="0"/>
          <w:strike w:val="0"/>
        </w:rPr>
        <w:t xml:space="preserve"> Every user logs in with an email address and password, plus a second verification step on their phone (this is called MFA, or multi-factor authentication — it means a stolen password alone is not enough to get in).</w:t>
      </w:r>
    </w:p>
    <w:p>
      <w:r>
        <w:rPr>
          <w:b/>
          <w:i w:val="0"/>
          <w:strike w:val="0"/>
          <w:color w:val="1155CC"/>
        </w:rPr>
        <w:t>[FR-12]</w:t>
      </w:r>
      <w:r>
        <w:rPr>
          <w:b w:val="0"/>
          <w:i w:val="0"/>
          <w:strike w:val="0"/>
        </w:rPr>
        <w:t xml:space="preserve"> New users are added by invitation only. The Firm Super Admin sends an email invite. The new user sets up their account. The Super Admin assigns their role before they can access anything.</w:t>
      </w:r>
    </w:p>
    <w:p>
      <w:r>
        <w:rPr>
          <w:b/>
          <w:i w:val="0"/>
          <w:strike w:val="0"/>
          <w:color w:val="1155CC"/>
        </w:rPr>
        <w:t>[FR-13]</w:t>
      </w:r>
      <w:r>
        <w:rPr>
          <w:b w:val="0"/>
          <w:i w:val="0"/>
          <w:strike w:val="0"/>
        </w:rPr>
        <w:t xml:space="preserve"> Every action any user takes is permanently recorded in an audit log — what they did, when, and from which device. This log cannot be altered or deleted by anyone, including administrators. It exists precisely to prove, to a regulator if needed, that the compliance process was followed correctly. </w:t>
      </w:r>
      <w:r>
        <w:rPr>
          <w:b/>
          <w:i/>
          <w:strike w:val="0"/>
          <w:color w:val="CC00CC"/>
        </w:rPr>
        <w:t>CONFIRMED on 14 Aug 2026: the client restated that proper audit trails and logging must be implemented throughout the platform — every module, not only the testing workflow. This is a confirmation of FR-13 and NFR-04, not new scope; it is recorded because the client raised it unprompted, which signals audit coverage will be tested at UAT.</w:t>
      </w:r>
      <w:r>
        <w:rPr>
          <w:b w:val="0"/>
          <w:i w:val="0"/>
          <w:strike w:val="0"/>
        </w:rPr>
        <w:t xml:space="preserve"> </w:t>
      </w:r>
      <w:r>
        <w:rPr>
          <w:b w:val="0"/>
          <w:i/>
          <w:strike w:val="0"/>
          <w:color w:val="CC00CC"/>
          <w:sz w:val="16"/>
        </w:rPr>
        <w:t xml:space="preserve"> [14 Aug 2026 MOM]</w:t>
      </w:r>
    </w:p>
    <w:p>
      <w:r>
        <w:rPr>
          <w:b/>
          <w:i w:val="0"/>
          <w:strike w:val="0"/>
          <w:color w:val="1155CC"/>
        </w:rPr>
        <w:t>[FR-14]</w:t>
      </w:r>
      <w:r>
        <w:rPr>
          <w:b w:val="0"/>
          <w:i w:val="0"/>
          <w:strike w:val="0"/>
        </w:rPr>
        <w:t xml:space="preserve"> When a user leaves the firm, an admin deactivates their account. Everything they ever did in the platform stays in the system — tests, findings, uploads, approvals. Nothing is lost. </w:t>
      </w:r>
      <w:r>
        <w:rPr>
          <w:b/>
          <w:i w:val="0"/>
          <w:strike w:val="0"/>
        </w:rPr>
        <w:t>💬 Sosinna's comment:</w:t>
      </w:r>
      <w:r>
        <w:rPr>
          <w:b w:val="0"/>
          <w:i w:val="0"/>
          <w:strike w:val="0"/>
        </w:rPr>
        <w:t xml:space="preserve"> </w:t>
      </w:r>
      <w:r>
        <w:rPr>
          <w:b w:val="0"/>
          <w:i/>
          <w:strike w:val="0"/>
          <w:color w:val="C55A11"/>
        </w:rPr>
        <w:t>Any reassignment of that user's open work must be documented with reasoning (e.g. termination, transfer) and kept in an immutable audit trail. See GAP-11 in Section 16.</w:t>
      </w:r>
      <w:r>
        <w:rPr>
          <w:b w:val="0"/>
          <w:i w:val="0"/>
          <w:strike w:val="0"/>
        </w:rPr>
        <w:t xml:space="preserve"> </w:t>
      </w:r>
      <w:r>
        <w:rPr>
          <w:b w:val="0"/>
          <w:i/>
          <w:strike w:val="0"/>
          <w:color w:val="C55A11"/>
          <w:sz w:val="16"/>
        </w:rPr>
        <w:t xml:space="preserve"> [Sosinna's Drive comment]</w:t>
      </w:r>
      <w:r>
        <w:rPr>
          <w:b w:val="0"/>
          <w:i w:val="0"/>
          <w:strike w:val="0"/>
        </w:rPr>
        <w:t xml:space="preserve"> </w:t>
      </w:r>
      <w:r>
        <w:rPr>
          <w:b/>
          <w:i/>
          <w:strike w:val="0"/>
          <w:color w:val="CC00CC"/>
        </w:rPr>
        <w:t>CONFIRMED on 14 Aug 2026: the client restated it in the same shape — the platform must offer deactivation, not deletion, and the system logs must remain intact. FR-14 stands unchanged.</w:t>
      </w:r>
      <w:r>
        <w:rPr>
          <w:b w:val="0"/>
          <w:i w:val="0"/>
          <w:strike w:val="0"/>
        </w:rPr>
        <w:t xml:space="preserve"> </w:t>
      </w:r>
      <w:r>
        <w:rPr>
          <w:b w:val="0"/>
          <w:i/>
          <w:strike w:val="0"/>
          <w:color w:val="CC00CC"/>
          <w:sz w:val="16"/>
        </w:rPr>
        <w:t xml:space="preserve"> [14 Aug 2026 MOM]</w:t>
      </w:r>
    </w:p>
    <w:p>
      <w:r>
        <w:rPr>
          <w:b/>
          <w:i w:val="0"/>
          <w:strike w:val="0"/>
          <w:color w:val="1155CC"/>
        </w:rPr>
        <w:t>[FR-15]</w:t>
      </w:r>
      <w:r>
        <w:rPr>
          <w:b w:val="0"/>
          <w:i w:val="0"/>
          <w:strike w:val="0"/>
        </w:rPr>
        <w:t xml:space="preserve"> Each firm must always have at least two Firm Super Admins. If the account drops to one, the platform warns the remaining admin to add a second. This prevents a firm from being locked out if one admin leaves.</w:t>
      </w:r>
    </w:p>
    <w:p>
      <w:pPr>
        <w:pStyle w:val="Heading1"/>
      </w:pPr>
      <w:r>
        <w:t>4. The Platform Admin Portal — Sosinna's Team</w:t>
      </w:r>
    </w:p>
    <w:p>
      <w:r>
        <w:rPr>
          <w:b w:val="0"/>
          <w:i w:val="0"/>
          <w:strike w:val="0"/>
        </w:rPr>
        <w:t>The Platform Admin Portal is the control centre for the compliance testing content. It is where Sosinna's team at Synergy Consulting Group builds and maintains the tests that every firm on the platform runs. This portal is completely separate from what firms see — a firm user logging into ControlIQ has no idea this portal exists.</w:t>
      </w:r>
    </w:p>
    <w:p>
      <w:r>
        <w:rPr>
          <w:b w:val="0"/>
          <w:i w:val="0"/>
          <w:strike w:val="0"/>
        </w:rPr>
        <w:t>The most important thing to understand about this portal is that the compliance tests are not hardcoded or fixed. The regulations they are based on — MiCA and DORA — are live, evolving legal texts published by the European Commission, the EBA (European Banking Authority), and the ESMA (European Securities and Markets Authority). When the regulators publish an update, the tests may need to change. The Portal is how those changes are made and pushed out to all firms.</w:t>
      </w:r>
    </w:p>
    <w:p>
      <w:pPr>
        <w:pStyle w:val="Heading2"/>
      </w:pPr>
      <w:r>
        <w:t>4.1 Building and Managing Tests</w:t>
      </w:r>
    </w:p>
    <w:p>
      <w:r>
        <w:rPr>
          <w:b/>
          <w:i w:val="0"/>
          <w:strike w:val="0"/>
          <w:color w:val="1155CC"/>
        </w:rPr>
        <w:t>[SA-01]</w:t>
      </w:r>
      <w:r>
        <w:rPr>
          <w:b w:val="0"/>
          <w:i w:val="0"/>
          <w:strike w:val="0"/>
        </w:rPr>
        <w:t xml:space="preserve"> Each compliance test in the platform is based on a Requirement ID — a short code that maps to a specific obligation in MiCA or DORA. For example, TM-01 maps to the transaction monitoring obligations under MiCA Art. 92. These IDs are not permanent: as the regulations evolve, new ones can be added, existing ones can be updated, and old ones can be retired. Sosinna's team manages this library through the Portal.</w:t>
      </w:r>
    </w:p>
    <w:p>
      <w:r>
        <w:rPr>
          <w:b/>
          <w:i w:val="0"/>
          <w:strike w:val="0"/>
          <w:color w:val="1155CC"/>
        </w:rPr>
        <w:t>[SA-02]</w:t>
      </w:r>
      <w:r>
        <w:rPr>
          <w:b w:val="0"/>
          <w:i w:val="0"/>
          <w:strike w:val="0"/>
        </w:rPr>
        <w:t xml:space="preserve"> For each Requirement ID, Sosinna's team builds the step-by-step test procedure: the exact sequence of steps a compliance officer follows, what documents they need to collect at each step, whether they need to test a sample of transactions or review everything, and what the minimum sample size is. When a procedure is updated, a new version is created — the old version is never deleted.</w:t>
      </w:r>
    </w:p>
    <w:p>
      <w:r>
        <w:rPr>
          <w:b/>
          <w:i w:val="0"/>
          <w:strike w:val="0"/>
          <w:color w:val="1155CC"/>
        </w:rPr>
        <w:t>[SA-03]</w:t>
      </w:r>
      <w:r>
        <w:rPr>
          <w:b w:val="0"/>
          <w:i w:val="0"/>
          <w:strike w:val="0"/>
        </w:rPr>
        <w:t xml:space="preserve"> The platform automatically watches the official publication pages of EUR-Lex, the EBA, the ESMA, and key national regulators for changes to the MiCA and DORA rules. When a change is detected, the Portal alerts Sosinna's team to review the affected tests before any update is pushed out to firms.</w:t>
      </w:r>
    </w:p>
    <w:p>
      <w:r>
        <w:rPr>
          <w:b/>
          <w:i w:val="0"/>
          <w:strike w:val="0"/>
        </w:rPr>
        <w:t>💬 Sosinna's comment (already incorporated into scope):</w:t>
      </w:r>
      <w:r>
        <w:rPr>
          <w:b w:val="0"/>
          <w:i w:val="0"/>
          <w:strike w:val="0"/>
        </w:rPr>
        <w:t xml:space="preserve"> </w:t>
      </w:r>
      <w:r>
        <w:rPr>
          <w:b w:val="0"/>
          <w:i/>
          <w:strike w:val="0"/>
          <w:color w:val="C55A11"/>
        </w:rPr>
        <w:t>the Portal must also feature a structured manual input interface so the Client's team can enter regulatory changes by hand. Automated monitoring for the MVP is strictly limited to standard RSS feeds or official public API alerts from EUR-Lex, the EBA, and ESMA — no custom HTML web-scraping or brittle layout-parsing engines. Jomin acknowledged this on the doc ("Noted").</w:t>
      </w:r>
      <w:r>
        <w:rPr>
          <w:b w:val="0"/>
          <w:i w:val="0"/>
          <w:strike w:val="0"/>
        </w:rPr>
        <w:t xml:space="preserve"> </w:t>
      </w:r>
      <w:r>
        <w:rPr>
          <w:b w:val="0"/>
          <w:i/>
          <w:strike w:val="0"/>
          <w:color w:val="C55A11"/>
          <w:sz w:val="16"/>
        </w:rPr>
        <w:t xml:space="preserve"> [Sosinna's Drive comment]</w:t>
      </w:r>
    </w:p>
    <w:p>
      <w:r>
        <w:rPr>
          <w:b/>
          <w:i w:val="0"/>
          <w:strike w:val="0"/>
        </w:rPr>
        <w:t>📞 From the 25 Jun call:</w:t>
      </w:r>
      <w:r>
        <w:rPr>
          <w:b w:val="0"/>
          <w:i w:val="0"/>
          <w:strike w:val="0"/>
        </w:rPr>
        <w:t xml:space="preserve"> </w:t>
      </w:r>
      <w:r>
        <w:rPr>
          <w:b w:val="0"/>
          <w:i/>
          <w:strike w:val="0"/>
          <w:color w:val="1155CC"/>
        </w:rPr>
        <w:t>Sosinna wants the effective date and the date-of-download recorded against every fetched rule, so her team can confirm they're looking at the most recent version. If the API detects something new, her team gets an alert and confirms before it's published to firms — same human-in-the-loop pattern as SA-04.</w:t>
      </w:r>
      <w:r>
        <w:rPr>
          <w:b w:val="0"/>
          <w:i w:val="0"/>
          <w:strike w:val="0"/>
        </w:rPr>
        <w:t xml:space="preserve"> </w:t>
      </w:r>
      <w:r>
        <w:rPr>
          <w:b w:val="0"/>
          <w:i/>
          <w:strike w:val="0"/>
          <w:color w:val="1155CC"/>
          <w:sz w:val="16"/>
        </w:rPr>
        <w:t xml:space="preserve"> [25 Jun FRD call]</w:t>
      </w:r>
    </w:p>
    <w:p>
      <w:r>
        <w:rPr>
          <w:b/>
          <w:i w:val="0"/>
          <w:strike w:val="0"/>
          <w:color w:val="1155CC"/>
        </w:rPr>
        <w:t>[SA-04]</w:t>
      </w:r>
      <w:r>
        <w:rPr>
          <w:b w:val="0"/>
          <w:i w:val="0"/>
          <w:strike w:val="0"/>
        </w:rPr>
        <w:t xml:space="preserve"> Every change to a test procedure goes through a review step before it is published. Once published, firms are notified. Any firm that is currently mid-way through running that test continues with the version they started — they are not interrupted by the update. </w:t>
      </w:r>
      <w:r>
        <w:rPr>
          <w:b/>
          <w:i/>
          <w:strike w:val="0"/>
          <w:color w:val="CC00CC"/>
        </w:rPr>
        <w:t>CONFIRMED on 14 Aug 2026: any change made to a test is versioned and recorded. This is the SA-02 / SA-04 behaviour restated by the client; no change.</w:t>
      </w:r>
      <w:r>
        <w:rPr>
          <w:b w:val="0"/>
          <w:i w:val="0"/>
          <w:strike w:val="0"/>
        </w:rPr>
        <w:t xml:space="preserve"> </w:t>
      </w:r>
      <w:r>
        <w:rPr>
          <w:b w:val="0"/>
          <w:i/>
          <w:strike w:val="0"/>
          <w:color w:val="CC00CC"/>
          <w:sz w:val="16"/>
        </w:rPr>
        <w:t xml:space="preserve"> [14 Aug 2026 MOM]</w:t>
      </w:r>
    </w:p>
    <w:p>
      <w:r>
        <w:rPr>
          <w:b/>
          <w:i w:val="0"/>
          <w:strike w:val="0"/>
          <w:color w:val="1155CC"/>
        </w:rPr>
        <w:t>[SA-22]</w:t>
      </w:r>
      <w:r>
        <w:rPr>
          <w:b w:val="0"/>
          <w:i w:val="0"/>
          <w:strike w:val="0"/>
        </w:rPr>
        <w:t xml:space="preserve"> </w:t>
      </w:r>
      <w:r>
        <w:rPr>
          <w:b/>
          <w:i/>
          <w:strike w:val="0"/>
          <w:color w:val="CC00CC"/>
        </w:rPr>
        <w:t>The Platform Super Admin can clone an existing test and create it as a new one — the step-by-step procedure, evidence checklist, sampling guidance and tags are copied into a new test that is then edited independently. The platform records the clone history: which test it was cloned from, which version, by whom and when, so a test's ancestry is always traceable. A clone is a new test, not a new version of the source — it goes through the same SA-04 review-and-publish gate before any firm sees it.</w:t>
      </w:r>
      <w:r>
        <w:rPr>
          <w:b w:val="0"/>
          <w:i w:val="0"/>
          <w:strike w:val="0"/>
        </w:rPr>
        <w:t xml:space="preserve"> </w:t>
      </w:r>
      <w:r>
        <w:rPr>
          <w:b w:val="0"/>
          <w:i/>
          <w:strike w:val="0"/>
          <w:color w:val="CC00CC"/>
          <w:sz w:val="16"/>
        </w:rPr>
        <w:t xml:space="preserve"> [14 Aug 2026 MOM]</w:t>
      </w:r>
    </w:p>
    <w:p>
      <w:pPr>
        <w:pStyle w:val="Heading2"/>
      </w:pPr>
      <w:r>
        <w:t>4.2 The Sampling Methodology Library</w:t>
      </w:r>
    </w:p>
    <w:p>
      <w:r>
        <w:rPr>
          <w:b w:val="0"/>
          <w:i w:val="0"/>
          <w:strike w:val="0"/>
        </w:rPr>
        <w:t>Many compliance tests do not check every single transaction or record — they check a representative sample. The methodology used to select that sample matters: it needs to be defensible to a regulator. The Portal contains a library of pre-approved sampling methodology descriptions — plain-language explanations of how the sample was selected — that compliance officers can choose from when running a test.</w:t>
      </w:r>
    </w:p>
    <w:p>
      <w:r>
        <w:rPr>
          <w:b w:val="0"/>
          <w:i w:val="0"/>
          <w:strike w:val="0"/>
        </w:rPr>
        <w:t>Examples of methodologies in the library:</w:t>
      </w:r>
    </w:p>
    <w:p>
      <w:pPr>
        <w:pStyle w:val="ListBullet"/>
      </w:pPr>
      <w:r>
        <w:rPr>
          <w:b w:val="0"/>
          <w:i w:val="0"/>
          <w:strike w:val="0"/>
        </w:rPr>
        <w:t>Random statistical sampling — records are selected at random, with no judgement applied</w:t>
      </w:r>
    </w:p>
    <w:p>
      <w:pPr>
        <w:pStyle w:val="ListBullet"/>
      </w:pPr>
      <w:r>
        <w:rPr>
          <w:b w:val="0"/>
          <w:i w:val="0"/>
          <w:strike w:val="0"/>
        </w:rPr>
        <w:t>Risk-based judgement sampling — records are selected because they appear higher risk (for example, high-value transactions or flagged customers)</w:t>
      </w:r>
    </w:p>
    <w:p>
      <w:pPr>
        <w:pStyle w:val="ListBullet"/>
      </w:pPr>
      <w:r>
        <w:rPr>
          <w:b w:val="0"/>
          <w:i w:val="0"/>
          <w:strike w:val="0"/>
        </w:rPr>
        <w:t>Full population review — every single record is checked (used for small populations or critical tests)</w:t>
      </w:r>
    </w:p>
    <w:p>
      <w:pPr>
        <w:pStyle w:val="ListBullet"/>
      </w:pPr>
      <w:r>
        <w:rPr>
          <w:b w:val="0"/>
          <w:i w:val="0"/>
          <w:strike w:val="0"/>
        </w:rPr>
        <w:t>Stratified sampling — the population is divided into groups and a sample is taken from each group</w:t>
      </w:r>
    </w:p>
    <w:p>
      <w:r>
        <w:rPr>
          <w:b/>
          <w:i w:val="0"/>
          <w:strike w:val="0"/>
          <w:color w:val="1155CC"/>
        </w:rPr>
        <w:t>[SA-05]</w:t>
      </w:r>
      <w:r>
        <w:rPr>
          <w:b w:val="0"/>
          <w:i w:val="0"/>
          <w:strike w:val="0"/>
        </w:rPr>
        <w:t xml:space="preserve"> The sampling methodology library is managed by Sosinna's team in the Portal. New methodologies can be added, existing ones can be edited, and guidance notes can be attached to each one. When a compliance officer runs a test, they select the methodology that best fits what they are doing — they do not write their own description from scratch.</w:t>
      </w:r>
    </w:p>
    <w:p>
      <w:pPr>
        <w:pStyle w:val="Heading2"/>
      </w:pPr>
      <w:r>
        <w:t>4.3 Client Firm Management</w:t>
      </w:r>
    </w:p>
    <w:p>
      <w:r>
        <w:rPr>
          <w:b/>
          <w:i w:val="0"/>
          <w:strike w:val="0"/>
          <w:color w:val="1155CC"/>
        </w:rPr>
        <w:t>[SA-06]</w:t>
      </w:r>
      <w:r>
        <w:rPr>
          <w:b w:val="0"/>
          <w:i w:val="0"/>
          <w:strike w:val="0"/>
        </w:rPr>
        <w:t xml:space="preserve"> The Portal shows a list of all registered firms: their name, jurisdiction, the services they offer, and when they last used the platform. Sosinna's team can see this overview but cannot access any firm's actual compliance data, test results, or findings — those belong to the firm. </w:t>
      </w:r>
      <w:r>
        <w:rPr>
          <w:b/>
          <w:i w:val="0"/>
          <w:strike w:val="0"/>
        </w:rPr>
        <w:t>📞 From the 25 Jun FRD Review call:</w:t>
      </w:r>
      <w:r>
        <w:rPr>
          <w:b w:val="0"/>
          <w:i w:val="0"/>
          <w:strike w:val="0"/>
        </w:rPr>
        <w:t xml:space="preserve"> </w:t>
      </w:r>
      <w:r>
        <w:rPr>
          <w:b w:val="0"/>
          <w:i/>
          <w:strike w:val="0"/>
          <w:color w:val="1155CC"/>
        </w:rPr>
        <w:t>This visibility boundary needs re-confirming — see the open question added below; Sosinna leaned toward wanting to see "pretty much everything" for MVP, which is broader than this paragraph currently states.</w:t>
      </w:r>
      <w:r>
        <w:rPr>
          <w:b w:val="0"/>
          <w:i w:val="0"/>
          <w:strike w:val="0"/>
        </w:rPr>
        <w:t xml:space="preserve"> </w:t>
      </w:r>
      <w:r>
        <w:rPr>
          <w:b w:val="0"/>
          <w:i/>
          <w:strike w:val="0"/>
          <w:color w:val="1155CC"/>
          <w:sz w:val="16"/>
        </w:rPr>
        <w:t xml:space="preserve"> [25 Jun FRD call]</w:t>
      </w:r>
    </w:p>
    <w:p>
      <w:r>
        <w:rPr>
          <w:b/>
          <w:i w:val="0"/>
          <w:strike w:val="0"/>
          <w:color w:val="1155CC"/>
        </w:rPr>
        <w:t>[SA-07]</w:t>
      </w:r>
      <w:r>
        <w:rPr>
          <w:b w:val="0"/>
          <w:i w:val="0"/>
          <w:strike w:val="0"/>
        </w:rPr>
        <w:t xml:space="preserve"> The Portal handles the configuration of which Requirement IDs apply to which service lines. When a firm uploads their revenue source file and their service lines are identified, the platform uses this configuration to automatically load the right set of tests for that firm.</w:t>
      </w:r>
    </w:p>
    <w:p>
      <w:r>
        <w:rPr>
          <w:b/>
          <w:i w:val="0"/>
          <w:strike w:val="0"/>
          <w:color w:val="1155CC"/>
        </w:rPr>
        <w:t>[SA-08]</w:t>
      </w:r>
      <w:r>
        <w:rPr>
          <w:b w:val="0"/>
          <w:i w:val="0"/>
          <w:strike w:val="0"/>
        </w:rPr>
        <w:t xml:space="preserve"> System-wide settings are managed here: the list of approved evidence file types, the minimum sample rates for different test types, the regulation monitoring sources, and the notification schedules. </w:t>
      </w:r>
      <w:r>
        <w:rPr>
          <w:b/>
          <w:i w:val="0"/>
          <w:strike w:val="0"/>
        </w:rPr>
        <w:t>📞 From the 25 Jun FRD Review call:</w:t>
      </w:r>
      <w:r>
        <w:rPr>
          <w:b w:val="0"/>
          <w:i w:val="0"/>
          <w:strike w:val="0"/>
        </w:rPr>
        <w:t xml:space="preserve"> </w:t>
      </w:r>
      <w:r>
        <w:rPr>
          <w:b w:val="0"/>
          <w:i/>
          <w:strike w:val="0"/>
          <w:color w:val="1155CC"/>
        </w:rPr>
        <w:t>Add: month-end usage reporting (active users vs. subscribed seats, per firm) inside the Portal — but only for the specific data points each onboarded firm agrees to share. Firms won't want their uploaded evidence itself visible to the Portal team; this needs to be spelled out in the client agreement (an NDA-style visibility clause), not built as a granular in-platform toggle for MVP.</w:t>
      </w:r>
      <w:r>
        <w:rPr>
          <w:b w:val="0"/>
          <w:i w:val="0"/>
          <w:strike w:val="0"/>
        </w:rPr>
        <w:t xml:space="preserve"> </w:t>
      </w:r>
      <w:r>
        <w:rPr>
          <w:b w:val="0"/>
          <w:i/>
          <w:strike w:val="0"/>
          <w:color w:val="1155CC"/>
          <w:sz w:val="16"/>
        </w:rPr>
        <w:t xml:space="preserve"> [25 Jun FRD call]</w:t>
      </w:r>
    </w:p>
    <w:tbl>
      <w:tblPr>
        <w:tblStyle w:val="TableGrid"/>
        <w:tblW w:type="auto" w:w="0"/>
        <w:tblLook w:firstColumn="1" w:firstRow="1" w:lastColumn="0" w:lastRow="0" w:noHBand="0" w:noVBand="1" w:val="04A0"/>
      </w:tblPr>
      <w:tblGrid>
        <w:gridCol w:w="8640"/>
      </w:tblGrid>
      <w:tr>
        <w:tc>
          <w:tcPr>
            <w:tcW w:type="dxa" w:w="8640"/>
            <w:shd w:val="clear" w:fill="FFF2CC"/>
          </w:tcPr>
          <w:p>
            <w:r>
              <w:rPr>
                <w:b/>
                <w:i w:val="0"/>
                <w:strike w:val="0"/>
              </w:rPr>
              <w:t>OPEN QUESTION</w:t>
            </w:r>
            <w:r>
              <w:rPr>
                <w:b w:val="0"/>
                <w:i w:val="0"/>
                <w:strike w:val="0"/>
              </w:rPr>
              <w:t xml:space="preserve"> </w:t>
            </w:r>
            <w:r>
              <w:rPr>
                <w:b w:val="0"/>
                <w:i/>
                <w:strike w:val="0"/>
              </w:rPr>
              <w:t>(amber — unresolved)</w:t>
            </w:r>
          </w:p>
          <w:p>
            <w:r>
              <w:rPr>
                <w:b/>
                <w:i w:val="0"/>
                <w:strike w:val="0"/>
              </w:rPr>
              <w:t>💬 Questions still to confirm</w:t>
            </w:r>
          </w:p>
          <w:p>
            <w:pPr>
              <w:pStyle w:val="ListBullet"/>
            </w:pPr>
            <w:r>
              <w:rPr>
                <w:b/>
                <w:i w:val="0"/>
                <w:strike w:val="0"/>
              </w:rPr>
              <w:t>Portal visibility of firm data (new — from the 25 Jun call): should Sosinna's team see firm-level usage stats (active users, tests run) by default, formalised through the client agreement, or should this be a configurable toggle per firm? Bisrat's view was that toggles add complexity SayOne should avoid for MVP — default to visible, cover it contractually instead.</w:t>
            </w:r>
            <w:r>
              <w:rPr>
                <w:b w:val="0"/>
                <w:i w:val="0"/>
                <w:strike w:val="0"/>
              </w:rPr>
              <w:t xml:space="preserve"> </w:t>
            </w:r>
            <w:r>
              <w:rPr>
                <w:b w:val="0"/>
                <w:i/>
                <w:strike w:val="0"/>
                <w:color w:val="1155CC"/>
                <w:sz w:val="16"/>
              </w:rPr>
              <w:t xml:space="preserve"> [25 Jun FRD call]</w:t>
            </w:r>
          </w:p>
        </w:tc>
      </w:tr>
    </w:tbl>
    <w:p>
      <w:pPr>
        <w:pStyle w:val="Heading2"/>
      </w:pPr>
      <w:r>
        <w:t>4.4 Test Priority and Risk Configuration</w:t>
      </w:r>
    </w:p>
    <w:p>
      <w:r>
        <w:rPr>
          <w:b/>
          <w:i/>
          <w:strike w:val="0"/>
          <w:color w:val="7030A0"/>
        </w:rPr>
        <w:t>NEW in v5.0 — from the August 2026 client meeting</w:t>
      </w:r>
      <w:r>
        <w:rPr>
          <w:b w:val="0"/>
          <w:i w:val="0"/>
          <w:strike w:val="0"/>
        </w:rPr>
        <w:t xml:space="preserve"> </w:t>
      </w:r>
      <w:r>
        <w:rPr>
          <w:b w:val="0"/>
          <w:i/>
          <w:strike w:val="0"/>
          <w:color w:val="7030A0"/>
          <w:sz w:val="16"/>
        </w:rPr>
        <w:t xml:space="preserve"> [Aug 2026 client MOM]</w:t>
      </w:r>
    </w:p>
    <w:p>
      <w:r>
        <w:rPr>
          <w:b w:val="0"/>
          <w:i w:val="0"/>
          <w:strike w:val="0"/>
        </w:rPr>
        <w:t>The meeting introduced a configuration surface in the Portal (referred to on the call as the "backend dashboard") where the full catalogue of required tests is listed and each one is given a priority level by hand. Priority is not derived by the platform — it is a judgement call made by Sosinna's team, because they are the ones who know which controls a regulator will look at first.</w:t>
      </w:r>
    </w:p>
    <w:p>
      <w:r>
        <w:rPr>
          <w:b/>
          <w:i w:val="0"/>
          <w:strike w:val="0"/>
          <w:color w:val="1155CC"/>
        </w:rPr>
        <w:t>[SA-09]</w:t>
      </w:r>
      <w:r>
        <w:rPr>
          <w:b w:val="0"/>
          <w:i w:val="0"/>
          <w:strike w:val="0"/>
        </w:rPr>
        <w:t xml:space="preserve"> The Portal lists every required test in the library — all Requirement IDs, with their regulation, service line applicability, and current version — in a single configurable table. This is the master list the priority marking is applied to. </w:t>
      </w:r>
      <w:r>
        <w:rPr>
          <w:b w:val="0"/>
          <w:i/>
          <w:strike w:val="0"/>
          <w:color w:val="7030A0"/>
          <w:sz w:val="16"/>
        </w:rPr>
        <w:t xml:space="preserve"> [Aug 2026 client MOM]</w:t>
      </w:r>
    </w:p>
    <w:p>
      <w:r>
        <w:rPr>
          <w:b/>
          <w:i w:val="0"/>
          <w:strike w:val="0"/>
          <w:color w:val="1155CC"/>
        </w:rPr>
        <w:t>[SA-10]</w:t>
      </w:r>
      <w:r>
        <w:rPr>
          <w:b w:val="0"/>
          <w:i w:val="0"/>
          <w:strike w:val="0"/>
        </w:rPr>
        <w:t xml:space="preserve"> Each test in that list is manually assigned a priority level. The baseline scale agreed on the call is two levels — </w:t>
      </w:r>
      <w:r>
        <w:rPr>
          <w:b/>
          <w:i w:val="0"/>
          <w:strike w:val="0"/>
        </w:rPr>
        <w:t>High risk</w:t>
      </w:r>
      <w:r>
        <w:rPr>
          <w:b w:val="0"/>
          <w:i w:val="0"/>
          <w:strike w:val="0"/>
        </w:rPr>
        <w:t xml:space="preserve"> and </w:t>
      </w:r>
      <w:r>
        <w:rPr>
          <w:b/>
          <w:i w:val="0"/>
          <w:strike w:val="0"/>
        </w:rPr>
        <w:t>Low risk</w:t>
      </w:r>
      <w:r>
        <w:rPr>
          <w:b w:val="0"/>
          <w:i w:val="0"/>
          <w:strike w:val="0"/>
        </w:rPr>
        <w:t xml:space="preserve">. Priority is a property of the test in the library, set once and applied to every firm the test loads for. </w:t>
      </w:r>
      <w:r>
        <w:rPr>
          <w:b w:val="0"/>
          <w:i/>
          <w:strike w:val="0"/>
          <w:color w:val="7030A0"/>
          <w:sz w:val="16"/>
        </w:rPr>
        <w:t xml:space="preserve"> [Aug 2026 client MOM]</w:t>
      </w:r>
    </w:p>
    <w:p>
      <w:r>
        <w:rPr>
          <w:b/>
          <w:i w:val="0"/>
          <w:strike w:val="0"/>
          <w:color w:val="1155CC"/>
        </w:rPr>
        <w:t>[SA-11]</w:t>
      </w:r>
      <w:r>
        <w:rPr>
          <w:b w:val="0"/>
          <w:i w:val="0"/>
          <w:strike w:val="0"/>
        </w:rPr>
        <w:t xml:space="preserve"> Priority is published with the test and consumed by the Firm Application: the firm's pending-item pool, testing views, dashboard, and report all read the priority set here rather than storing their own copy. Changing a priority in the Portal changes what firms see, using the same review-and-publish gate as SA-04 — priority changes are not pushed silently. </w:t>
      </w:r>
      <w:r>
        <w:rPr>
          <w:b w:val="0"/>
          <w:i/>
          <w:strike w:val="0"/>
          <w:color w:val="7030A0"/>
          <w:sz w:val="16"/>
        </w:rPr>
        <w:t xml:space="preserve"> [Aug 2026 client MOM]</w:t>
      </w:r>
    </w:p>
    <w:tbl>
      <w:tblPr>
        <w:tblStyle w:val="TableGrid"/>
        <w:tblW w:type="auto" w:w="0"/>
        <w:tblLook w:firstColumn="1" w:firstRow="1" w:lastColumn="0" w:lastRow="0" w:noHBand="0" w:noVBand="1" w:val="04A0"/>
      </w:tblPr>
      <w:tblGrid>
        <w:gridCol w:w="8640"/>
      </w:tblGrid>
      <w:tr>
        <w:tc>
          <w:tcPr>
            <w:tcW w:type="dxa" w:w="8640"/>
            <w:shd w:val="clear" w:fill="FFF2CC"/>
          </w:tcPr>
          <w:p>
            <w:r>
              <w:rPr>
                <w:b/>
                <w:i w:val="0"/>
                <w:strike w:val="0"/>
              </w:rPr>
              <w:t>OPEN QUESTION</w:t>
            </w:r>
            <w:r>
              <w:rPr>
                <w:b w:val="0"/>
                <w:i w:val="0"/>
                <w:strike w:val="0"/>
              </w:rPr>
              <w:t xml:space="preserve"> </w:t>
            </w:r>
            <w:r>
              <w:rPr>
                <w:b w:val="0"/>
                <w:i/>
                <w:strike w:val="0"/>
              </w:rPr>
              <w:t>(amber — new in v5.0)</w:t>
            </w:r>
          </w:p>
          <w:p>
            <w:r>
              <w:rPr>
                <w:b/>
                <w:i w:val="0"/>
                <w:strike w:val="0"/>
              </w:rPr>
              <w:t>💬 Questions still to confirm</w:t>
            </w:r>
          </w:p>
          <w:p>
            <w:pPr>
              <w:pStyle w:val="ListBullet"/>
            </w:pPr>
            <w:r>
              <w:rPr>
                <w:b/>
                <w:i/>
                <w:strike w:val="0"/>
                <w:color w:val="7030A0"/>
              </w:rPr>
              <w:t>Priority scale (PR-01): the call named two levels (high vs. low risk). Does the platform need a third middle level to match the three-level Finding severity scale in Section 8.1 (High / Moderate / Low), or does test priority stay deliberately binary? Mixing a 2-point and a 3-point scale in one product is a UX and reporting risk.</w:t>
            </w:r>
            <w:r>
              <w:rPr>
                <w:b w:val="0"/>
                <w:i w:val="0"/>
                <w:strike w:val="0"/>
              </w:rPr>
              <w:t xml:space="preserve"> </w:t>
            </w:r>
            <w:r>
              <w:rPr>
                <w:b w:val="0"/>
                <w:i/>
                <w:strike w:val="0"/>
                <w:color w:val="7030A0"/>
                <w:sz w:val="16"/>
              </w:rPr>
              <w:t xml:space="preserve"> [Aug 2026 client MOM]</w:t>
            </w:r>
          </w:p>
          <w:p>
            <w:pPr>
              <w:pStyle w:val="ListBullet"/>
            </w:pPr>
            <w:r>
              <w:rPr>
                <w:b/>
                <w:i/>
                <w:strike w:val="0"/>
                <w:color w:val="7030A0"/>
              </w:rPr>
              <w:t>Firm-level override (PR-02): can a firm's CCO raise the priority of a test for their own firm — for example after a repeat finding — or is priority strictly global and read-only to firms? The call described a single central list, which implies read-only, but firm-specific risk appetite is a real scenario.</w:t>
            </w:r>
            <w:r>
              <w:rPr>
                <w:b w:val="0"/>
                <w:i w:val="0"/>
                <w:strike w:val="0"/>
              </w:rPr>
              <w:t xml:space="preserve"> </w:t>
            </w:r>
            <w:r>
              <w:rPr>
                <w:b w:val="0"/>
                <w:i/>
                <w:strike w:val="0"/>
                <w:color w:val="7030A0"/>
                <w:sz w:val="16"/>
              </w:rPr>
              <w:t xml:space="preserve"> [Aug 2026 client MOM]</w:t>
            </w:r>
          </w:p>
          <w:p>
            <w:pPr>
              <w:pStyle w:val="ListBullet"/>
            </w:pPr>
            <w:r>
              <w:rPr>
                <w:b/>
                <w:i/>
                <w:strike w:val="0"/>
                <w:color w:val="7030A0"/>
              </w:rPr>
              <w:t>Effect of priority (PR-03): is priority purely informational (sort order, colour, filter), or does it drive behaviour — for example forcing High-risk items to be assigned before Low-risk ones, or blocking report generation while a High-risk item is unassigned? This distinction changes the build size materially.</w:t>
            </w:r>
            <w:r>
              <w:rPr>
                <w:b w:val="0"/>
                <w:i w:val="0"/>
                <w:strike w:val="0"/>
              </w:rPr>
              <w:t xml:space="preserve"> </w:t>
            </w:r>
            <w:r>
              <w:rPr>
                <w:b w:val="0"/>
                <w:i/>
                <w:strike w:val="0"/>
                <w:color w:val="7030A0"/>
                <w:sz w:val="16"/>
              </w:rPr>
              <w:t xml:space="preserve"> [Aug 2026 client MOM]</w:t>
            </w:r>
          </w:p>
        </w:tc>
      </w:tr>
    </w:tbl>
    <w:p>
      <w:pPr>
        <w:pStyle w:val="Heading2"/>
      </w:pPr>
      <w:r>
        <w:t>4.5 Fetching, Formatting and Publishing EU Regulations</w:t>
      </w:r>
    </w:p>
    <w:p>
      <w:r>
        <w:rPr>
          <w:b/>
          <w:i/>
          <w:strike w:val="0"/>
          <w:color w:val="7030A0"/>
        </w:rPr>
        <w:t>NEW in v5.0 — from the August 2026 client meeting. This extends SA-03 rather than replacing it.</w:t>
      </w:r>
      <w:r>
        <w:rPr>
          <w:b w:val="0"/>
          <w:i w:val="0"/>
          <w:strike w:val="0"/>
        </w:rPr>
        <w:t xml:space="preserve"> </w:t>
      </w:r>
      <w:r>
        <w:rPr>
          <w:b w:val="0"/>
          <w:i/>
          <w:strike w:val="0"/>
          <w:color w:val="7030A0"/>
          <w:sz w:val="16"/>
        </w:rPr>
        <w:t xml:space="preserve"> [Aug 2026 client MOM]</w:t>
      </w:r>
    </w:p>
    <w:p>
      <w:r>
        <w:rPr>
          <w:b w:val="0"/>
          <w:i w:val="0"/>
          <w:strike w:val="0"/>
        </w:rPr>
        <w:t>SA-03 already commits the platform to watching official publication sources for changes. The meeting added the step that comes after detection: the regulation text itself is pulled in from European Union APIs, formatted into a reviewable draft, and then goes through an edit-tag-publish cycle before any firm sees it.</w:t>
      </w:r>
    </w:p>
    <w:p>
      <w:r>
        <w:rPr>
          <w:b/>
          <w:i w:val="0"/>
          <w:strike w:val="0"/>
          <w:color w:val="1155CC"/>
        </w:rPr>
        <w:t>[SA-12]</w:t>
      </w:r>
      <w:r>
        <w:rPr>
          <w:b w:val="0"/>
          <w:i w:val="0"/>
          <w:strike w:val="0"/>
        </w:rPr>
        <w:t xml:space="preserve"> The Portal fetches regulatory content directly from official European Union APIs (EUR-Lex and the EBA / ESMA publication endpoints named in SA-03) and renders it into the platform's own structured format — article, paragraph, effective date, and date of download, per the 25 Jun call. Fetched content lands in a </w:t>
      </w:r>
      <w:r>
        <w:rPr>
          <w:b/>
          <w:i w:val="0"/>
          <w:strike w:val="0"/>
        </w:rPr>
        <w:t>draft review queue</w:t>
      </w:r>
      <w:r>
        <w:rPr>
          <w:b w:val="0"/>
          <w:i w:val="0"/>
          <w:strike w:val="0"/>
        </w:rPr>
        <w:t xml:space="preserve">; it is never published automatically. </w:t>
      </w:r>
      <w:r>
        <w:rPr>
          <w:b w:val="0"/>
          <w:i/>
          <w:strike w:val="0"/>
          <w:color w:val="7030A0"/>
          <w:sz w:val="16"/>
        </w:rPr>
        <w:t xml:space="preserve"> [Aug 2026 client MOM]</w:t>
      </w:r>
    </w:p>
    <w:p>
      <w:r>
        <w:rPr>
          <w:b/>
          <w:i w:val="0"/>
          <w:strike w:val="0"/>
          <w:color w:val="1155CC"/>
        </w:rPr>
        <w:t>[SA-13]</w:t>
      </w:r>
      <w:r>
        <w:rPr>
          <w:b w:val="0"/>
          <w:i w:val="0"/>
          <w:strike w:val="0"/>
        </w:rPr>
        <w:t xml:space="preserve"> Sosinna's team works the draft queue: </w:t>
      </w:r>
      <w:r>
        <w:rPr>
          <w:b/>
          <w:i w:val="0"/>
          <w:strike w:val="0"/>
        </w:rPr>
        <w:t>review</w:t>
      </w:r>
      <w:r>
        <w:rPr>
          <w:b w:val="0"/>
          <w:i w:val="0"/>
          <w:strike w:val="0"/>
        </w:rPr>
        <w:t xml:space="preserve"> the fetched text, </w:t>
      </w:r>
      <w:r>
        <w:rPr>
          <w:b/>
          <w:i w:val="0"/>
          <w:strike w:val="0"/>
        </w:rPr>
        <w:t>edit</w:t>
      </w:r>
      <w:r>
        <w:rPr>
          <w:b w:val="0"/>
          <w:i w:val="0"/>
          <w:strike w:val="0"/>
        </w:rPr>
        <w:t xml:space="preserve"> it into the platform's house format, </w:t>
      </w:r>
      <w:r>
        <w:rPr>
          <w:b/>
          <w:i w:val="0"/>
          <w:strike w:val="0"/>
        </w:rPr>
        <w:t>tag</w:t>
      </w:r>
      <w:r>
        <w:rPr>
          <w:b w:val="0"/>
          <w:i w:val="0"/>
          <w:strike w:val="0"/>
        </w:rPr>
        <w:t xml:space="preserve"> it (regulation, pillar, service line, affected Requirement IDs, and the SA-10 priority), and </w:t>
      </w:r>
      <w:r>
        <w:rPr>
          <w:b/>
          <w:i w:val="0"/>
          <w:strike w:val="0"/>
        </w:rPr>
        <w:t>publish</w:t>
      </w:r>
      <w:r>
        <w:rPr>
          <w:b w:val="0"/>
          <w:i w:val="0"/>
          <w:strike w:val="0"/>
        </w:rPr>
        <w:t xml:space="preserve"> it to all firms. Publishing follows the SA-04 gate — firms are notified, and any firm mid-way through a test continues on the version they started. </w:t>
      </w:r>
      <w:r>
        <w:rPr>
          <w:b w:val="0"/>
          <w:i/>
          <w:strike w:val="0"/>
          <w:color w:val="7030A0"/>
          <w:sz w:val="16"/>
        </w:rPr>
        <w:t xml:space="preserve"> [Aug 2026 client MOM]</w:t>
      </w:r>
    </w:p>
    <w:p>
      <w:r>
        <w:rPr>
          <w:b/>
          <w:i w:val="0"/>
          <w:strike w:val="0"/>
          <w:color w:val="1155CC"/>
        </w:rPr>
        <w:t>[SA-14]</w:t>
      </w:r>
      <w:r>
        <w:rPr>
          <w:b w:val="0"/>
          <w:i w:val="0"/>
          <w:strike w:val="0"/>
        </w:rPr>
        <w:t xml:space="preserve"> Every fetched item retains its provenance: source API, retrieval timestamp, effective date, and the identity of the reviewer who published it. An item that is fetched and then rejected is retained in the queue history with the rejection reason — it is not deleted. </w:t>
      </w:r>
      <w:r>
        <w:rPr>
          <w:b w:val="0"/>
          <w:i/>
          <w:strike w:val="0"/>
          <w:color w:val="7030A0"/>
          <w:sz w:val="16"/>
        </w:rPr>
        <w:t xml:space="preserve"> [Aug 2026 client MOM]</w:t>
      </w:r>
    </w:p>
    <w:p>
      <w:r>
        <w:rPr>
          <w:b/>
          <w:i w:val="0"/>
          <w:strike w:val="0"/>
          <w:color w:val="1155CC"/>
        </w:rPr>
        <w:t>[SA-15]</w:t>
      </w:r>
      <w:r>
        <w:rPr>
          <w:b w:val="0"/>
          <w:i w:val="0"/>
          <w:strike w:val="0"/>
        </w:rPr>
        <w:t xml:space="preserve"> </w:t>
      </w:r>
      <w:r>
        <w:rPr>
          <w:b/>
          <w:i/>
          <w:strike w:val="0"/>
          <w:color w:val="008080"/>
        </w:rPr>
        <w:t>When a regulation the platform already carries is updated — the examples named on 11 Aug were MiCA and DORA — the Platform Super Admin receives a notification on the Portal dashboard and the affected content re-enters the SA-13 draft queue for the same review, edit, tag and publish cycle. An update is not a change alert to be read and dismissed: it re-opens the content pipeline, and the administrator repeats the review process before anything reaches a firm. This dashboard notification is the Portal-side counterpart of the firm-side FR-35 alert; both fire from the same detection event.</w:t>
      </w:r>
      <w:r>
        <w:rPr>
          <w:b w:val="0"/>
          <w:i w:val="0"/>
          <w:strike w:val="0"/>
        </w:rPr>
        <w:t xml:space="preserve"> </w:t>
      </w:r>
      <w:r>
        <w:rPr>
          <w:b w:val="0"/>
          <w:i/>
          <w:strike w:val="0"/>
          <w:color w:val="008080"/>
          <w:sz w:val="16"/>
        </w:rPr>
        <w:t xml:space="preserve"> [11 Aug 2026 MOM]</w:t>
      </w:r>
      <w:r>
        <w:rPr>
          <w:b w:val="0"/>
          <w:i w:val="0"/>
          <w:strike w:val="0"/>
        </w:rPr>
        <w:t xml:space="preserve"> </w:t>
      </w:r>
      <w:r>
        <w:rPr>
          <w:b/>
          <w:i/>
          <w:strike w:val="0"/>
          <w:color w:val="CC00CC"/>
        </w:rPr>
        <w:t>CONFIRMED on 14 Aug 2026: when a rule change is identified in the latest pull, the system sends alerts to the Super Admin and also to the affected firms so they can update their WSPs. This is SA-15 plus FR-35 restated together; no change.</w:t>
      </w:r>
      <w:r>
        <w:rPr>
          <w:b w:val="0"/>
          <w:i w:val="0"/>
          <w:strike w:val="0"/>
        </w:rPr>
        <w:t xml:space="preserve"> </w:t>
      </w:r>
      <w:r>
        <w:rPr>
          <w:b w:val="0"/>
          <w:i/>
          <w:strike w:val="0"/>
          <w:color w:val="CC00CC"/>
          <w:sz w:val="16"/>
        </w:rPr>
        <w:t xml:space="preserve"> [14 Aug 2026 MOM]</w:t>
      </w:r>
    </w:p>
    <w:p>
      <w:r>
        <w:rPr>
          <w:b/>
          <w:i w:val="0"/>
          <w:strike w:val="0"/>
          <w:color w:val="1155CC"/>
        </w:rPr>
        <w:t>[SA-23]</w:t>
      </w:r>
      <w:r>
        <w:rPr>
          <w:b w:val="0"/>
          <w:i w:val="0"/>
          <w:strike w:val="0"/>
        </w:rPr>
        <w:t xml:space="preserve"> </w:t>
      </w:r>
      <w:r>
        <w:rPr>
          <w:b/>
          <w:i/>
          <w:strike w:val="0"/>
          <w:color w:val="CC00CC"/>
        </w:rPr>
        <w:t xml:space="preserve">When a rule is fetched from the feeds, the platform saves its </w:t>
      </w:r>
      <w:r>
        <w:rPr>
          <w:b/>
          <w:i/>
          <w:strike w:val="0"/>
          <w:color w:val="CC00CC"/>
        </w:rPr>
        <w:t>execution frequency</w:t>
      </w:r>
      <w:r>
        <w:rPr>
          <w:b/>
          <w:i/>
          <w:strike w:val="0"/>
          <w:color w:val="CC00CC"/>
        </w:rPr>
        <w:t xml:space="preserve"> and </w:t>
      </w:r>
      <w:r>
        <w:rPr>
          <w:b/>
          <w:i/>
          <w:strike w:val="0"/>
          <w:color w:val="CC00CC"/>
        </w:rPr>
        <w:t>priority</w:t>
      </w:r>
      <w:r>
        <w:rPr>
          <w:b/>
          <w:i/>
          <w:strike w:val="0"/>
          <w:color w:val="CC00CC"/>
        </w:rPr>
        <w:t xml:space="preserve"> alongside the fields already captured (article, paragraph, effective date, date of download per SA-12). Frequency is what the FR-78 pending-item pool derives its owed-period from; priority pre-populates the SA-10 tag that Sosinna's team confirms during the SA-13 review. Both are stored on the fetched record at ingest so the review pass starts from the feed's own values rather than a blank field.</w:t>
      </w:r>
      <w:r>
        <w:rPr>
          <w:b w:val="0"/>
          <w:i w:val="0"/>
          <w:strike w:val="0"/>
        </w:rPr>
        <w:t xml:space="preserve"> </w:t>
      </w:r>
      <w:r>
        <w:rPr>
          <w:b w:val="0"/>
          <w:i/>
          <w:strike w:val="0"/>
          <w:color w:val="CC00CC"/>
          <w:sz w:val="16"/>
        </w:rPr>
        <w:t xml:space="preserve"> [14 Aug 2026 MOM]</w:t>
      </w:r>
    </w:p>
    <w:tbl>
      <w:tblPr>
        <w:tblStyle w:val="TableGrid"/>
        <w:tblW w:type="auto" w:w="0"/>
        <w:tblLook w:firstColumn="1" w:firstRow="1" w:lastColumn="0" w:lastRow="0" w:noHBand="0" w:noVBand="1" w:val="04A0"/>
      </w:tblPr>
      <w:tblGrid>
        <w:gridCol w:w="8640"/>
      </w:tblGrid>
      <w:tr>
        <w:tc>
          <w:tcPr>
            <w:tcW w:type="dxa" w:w="8640"/>
            <w:shd w:val="clear" w:fill="E2EFDA"/>
          </w:tcPr>
          <w:p>
            <w:r>
              <w:rPr>
                <w:b/>
                <w:i w:val="0"/>
                <w:strike w:val="0"/>
              </w:rPr>
              <w:t>CONFIRMED</w:t>
            </w:r>
            <w:r>
              <w:rPr>
                <w:b w:val="0"/>
                <w:i w:val="0"/>
                <w:strike w:val="0"/>
              </w:rPr>
              <w:t xml:space="preserve"> </w:t>
            </w:r>
            <w:r>
              <w:rPr>
                <w:b w:val="0"/>
                <w:i/>
                <w:strike w:val="0"/>
              </w:rPr>
              <w:t>(green — agreed 11 Aug 2026)</w:t>
            </w:r>
          </w:p>
          <w:p>
            <w:r>
              <w:rPr>
                <w:b/>
                <w:i w:val="0"/>
                <w:strike w:val="0"/>
              </w:rPr>
              <w:t>✅ What we have agreed</w:t>
            </w:r>
          </w:p>
          <w:p>
            <w:pPr>
              <w:pStyle w:val="ListBullet"/>
            </w:pPr>
            <w:r>
              <w:rPr>
                <w:b/>
                <w:i/>
                <w:strike w:val="0"/>
                <w:color w:val="008080"/>
              </w:rPr>
              <w:t xml:space="preserve">The pipeline sequence is confirmed as: fetch from the European Union API → format for review → the system administrator reviews, tags (priority, high / low risk) and edits → clicking </w:t>
            </w:r>
            <w:r>
              <w:rPr>
                <w:b/>
                <w:i/>
                <w:strike w:val="0"/>
                <w:color w:val="008080"/>
              </w:rPr>
              <w:t>publish</w:t>
            </w:r>
            <w:r>
              <w:rPr>
                <w:b/>
                <w:i/>
                <w:strike w:val="0"/>
                <w:color w:val="008080"/>
              </w:rPr>
              <w:t xml:space="preserve"> is what makes the regulation visible to client firms.</w:t>
            </w:r>
            <w:r>
              <w:rPr>
                <w:b w:val="0"/>
                <w:i w:val="0"/>
                <w:strike w:val="0"/>
              </w:rPr>
              <w:t xml:space="preserve"> </w:t>
            </w:r>
            <w:r>
              <w:rPr>
                <w:b w:val="0"/>
                <w:i/>
                <w:strike w:val="0"/>
                <w:color w:val="008080"/>
                <w:sz w:val="16"/>
              </w:rPr>
              <w:t xml:space="preserve"> [11 Aug 2026 MOM]</w:t>
            </w:r>
          </w:p>
          <w:p>
            <w:pPr>
              <w:pStyle w:val="ListBullet"/>
            </w:pPr>
            <w:r>
              <w:rPr>
                <w:b/>
                <w:i/>
                <w:strike w:val="0"/>
                <w:color w:val="008080"/>
              </w:rPr>
              <w:t>Nothing reaches a firm without that publish action. There is no automatic passthrough.</w:t>
            </w:r>
            <w:r>
              <w:rPr>
                <w:b w:val="0"/>
                <w:i w:val="0"/>
                <w:strike w:val="0"/>
              </w:rPr>
              <w:t xml:space="preserve"> </w:t>
            </w:r>
            <w:r>
              <w:rPr>
                <w:b w:val="0"/>
                <w:i/>
                <w:strike w:val="0"/>
                <w:color w:val="008080"/>
                <w:sz w:val="16"/>
              </w:rPr>
              <w:t xml:space="preserve"> [11 Aug 2026 MOM]</w:t>
            </w:r>
          </w:p>
          <w:p>
            <w:pPr>
              <w:pStyle w:val="ListBullet"/>
            </w:pPr>
            <w:r>
              <w:rPr>
                <w:b/>
                <w:i/>
                <w:strike w:val="0"/>
                <w:color w:val="008080"/>
              </w:rPr>
              <w:t>Priority tagging (SA-10) happens during this review, not as a separate later pass — one pass over the content sets both the house format and the risk tag.</w:t>
            </w:r>
            <w:r>
              <w:rPr>
                <w:b w:val="0"/>
                <w:i w:val="0"/>
                <w:strike w:val="0"/>
              </w:rPr>
              <w:t xml:space="preserve"> </w:t>
            </w:r>
            <w:r>
              <w:rPr>
                <w:b w:val="0"/>
                <w:i/>
                <w:strike w:val="0"/>
                <w:color w:val="008080"/>
                <w:sz w:val="16"/>
              </w:rPr>
              <w:t xml:space="preserve"> [11 Aug 2026 MOM]</w:t>
            </w:r>
          </w:p>
        </w:tc>
      </w:tr>
    </w:tbl>
    <w:tbl>
      <w:tblPr>
        <w:tblStyle w:val="TableGrid"/>
        <w:tblW w:type="auto" w:w="0"/>
        <w:tblLook w:firstColumn="1" w:firstRow="1" w:lastColumn="0" w:lastRow="0" w:noHBand="0" w:noVBand="1" w:val="04A0"/>
      </w:tblPr>
      <w:tblGrid>
        <w:gridCol w:w="8640"/>
      </w:tblGrid>
      <w:tr>
        <w:tc>
          <w:tcPr>
            <w:tcW w:type="dxa" w:w="8640"/>
            <w:shd w:val="clear" w:fill="EDEDED"/>
          </w:tcPr>
          <w:p>
            <w:r>
              <w:rPr>
                <w:b/>
                <w:i w:val="0"/>
                <w:strike w:val="0"/>
              </w:rPr>
              <w:t>DEVELOPER NOTE</w:t>
            </w:r>
            <w:r>
              <w:rPr>
                <w:b w:val="0"/>
                <w:i w:val="0"/>
                <w:strike w:val="0"/>
              </w:rPr>
              <w:t xml:space="preserve"> </w:t>
            </w:r>
            <w:r>
              <w:rPr>
                <w:b w:val="0"/>
                <w:i/>
                <w:strike w:val="0"/>
              </w:rPr>
              <w:t>(grey — new in v5.0)</w:t>
            </w:r>
          </w:p>
          <w:p>
            <w:r>
              <w:rPr>
                <w:b/>
                <w:i w:val="0"/>
                <w:strike w:val="0"/>
              </w:rPr>
              <w:t>📌 Note</w:t>
            </w:r>
          </w:p>
          <w:p>
            <w:pPr>
              <w:pStyle w:val="ListBullet"/>
            </w:pPr>
            <w:r>
              <w:rPr>
                <w:b/>
                <w:i/>
                <w:strike w:val="0"/>
                <w:color w:val="7030A0"/>
              </w:rPr>
              <w:t>The MVP constraint from the 25 Jun call still stands and is not loosened by this section: automated ingestion is limited to official APIs and RSS feeds. No custom HTML scraping, no brittle layout parsing. Where an API does not exist for a source, the structured manual input interface is the fallback.</w:t>
            </w:r>
            <w:r>
              <w:rPr>
                <w:b w:val="0"/>
                <w:i w:val="0"/>
                <w:strike w:val="0"/>
              </w:rPr>
              <w:t xml:space="preserve"> </w:t>
            </w:r>
            <w:r>
              <w:rPr>
                <w:b w:val="0"/>
                <w:i/>
                <w:strike w:val="0"/>
                <w:color w:val="7030A0"/>
                <w:sz w:val="16"/>
              </w:rPr>
              <w:t xml:space="preserve"> [Aug 2026 client MOM]</w:t>
            </w:r>
          </w:p>
          <w:p>
            <w:pPr>
              <w:pStyle w:val="ListBullet"/>
            </w:pPr>
            <w:r>
              <w:rPr>
                <w:b/>
                <w:i/>
                <w:strike w:val="0"/>
                <w:color w:val="7030A0"/>
              </w:rPr>
              <w:t>"Format it for the client to review" means a deterministic transform into the platform's article structure — not an AI rewrite of legal text. If any AI assistance is used here it is for tagging and mapping suggestions only, with the same human-confirmation pattern as FR-31.</w:t>
            </w:r>
            <w:r>
              <w:rPr>
                <w:b w:val="0"/>
                <w:i w:val="0"/>
                <w:strike w:val="0"/>
              </w:rPr>
              <w:t xml:space="preserve"> </w:t>
            </w:r>
            <w:r>
              <w:rPr>
                <w:b w:val="0"/>
                <w:i/>
                <w:strike w:val="0"/>
                <w:color w:val="7030A0"/>
                <w:sz w:val="16"/>
              </w:rPr>
              <w:t xml:space="preserve"> [Aug 2026 client MOM]</w:t>
            </w:r>
          </w:p>
          <w:p>
            <w:pPr>
              <w:pStyle w:val="ListBullet"/>
            </w:pPr>
            <w:r>
              <w:rPr>
                <w:b/>
                <w:i/>
                <w:strike w:val="0"/>
                <w:color w:val="7030A0"/>
              </w:rPr>
              <w:t>EUR-Lex, EBA and ESMA API coverage, rate limits, and content licensing need to be validated in the first sprint. This is on the critical path for Section 4.5 and interacts with the unresolved RE-05 sourcing question in Section 15.</w:t>
            </w:r>
            <w:r>
              <w:rPr>
                <w:b w:val="0"/>
                <w:i w:val="0"/>
                <w:strike w:val="0"/>
              </w:rPr>
              <w:t xml:space="preserve"> </w:t>
            </w:r>
            <w:r>
              <w:rPr>
                <w:b w:val="0"/>
                <w:i/>
                <w:strike w:val="0"/>
                <w:color w:val="7030A0"/>
                <w:sz w:val="16"/>
              </w:rPr>
              <w:t xml:space="preserve"> [Aug 2026 client MOM]</w:t>
            </w:r>
          </w:p>
        </w:tc>
      </w:tr>
    </w:tbl>
    <w:p>
      <w:pPr>
        <w:pStyle w:val="Heading2"/>
      </w:pPr>
      <w:r>
        <w:t>4.6 Portal Administration Roles and the Glossary Library</w:t>
      </w:r>
    </w:p>
    <w:p>
      <w:r>
        <w:rPr>
          <w:b/>
          <w:i/>
          <w:strike w:val="0"/>
          <w:color w:val="CC00CC"/>
        </w:rPr>
        <w:t>NEW in v8.0 — from the 14 August 2026 client meeting.</w:t>
      </w:r>
      <w:r>
        <w:rPr>
          <w:b w:val="0"/>
          <w:i w:val="0"/>
          <w:strike w:val="0"/>
        </w:rPr>
        <w:t xml:space="preserve"> </w:t>
      </w:r>
      <w:r>
        <w:rPr>
          <w:b w:val="0"/>
          <w:i/>
          <w:strike w:val="0"/>
          <w:color w:val="CC00CC"/>
          <w:sz w:val="16"/>
        </w:rPr>
        <w:t xml:space="preserve"> [14 Aug 2026 MOM]</w:t>
      </w:r>
    </w:p>
    <w:p>
      <w:r>
        <w:rPr>
          <w:b/>
          <w:i w:val="0"/>
          <w:strike w:val="0"/>
          <w:color w:val="1155CC"/>
        </w:rPr>
        <w:t>[SA-24]</w:t>
      </w:r>
      <w:r>
        <w:rPr>
          <w:b w:val="0"/>
          <w:i w:val="0"/>
          <w:strike w:val="0"/>
        </w:rPr>
        <w:t xml:space="preserve"> </w:t>
      </w:r>
      <w:r>
        <w:rPr>
          <w:b/>
          <w:i/>
          <w:strike w:val="0"/>
          <w:color w:val="CC00CC"/>
        </w:rPr>
        <w:t xml:space="preserve">The Platform Super Admin is supported by </w:t>
      </w:r>
      <w:r>
        <w:rPr>
          <w:b/>
          <w:i/>
          <w:strike w:val="0"/>
          <w:color w:val="CC00CC"/>
        </w:rPr>
        <w:t>associate admin roles</w:t>
      </w:r>
      <w:r>
        <w:rPr>
          <w:b/>
          <w:i/>
          <w:strike w:val="0"/>
          <w:color w:val="CC00CC"/>
        </w:rPr>
        <w:t xml:space="preserve"> — additional Portal accounts on Sosinna's team that can work the Portal's queues (content review, enquiries, test building), but whose actions are subject to </w:t>
      </w:r>
      <w:r>
        <w:rPr>
          <w:b/>
          <w:i/>
          <w:strike w:val="0"/>
          <w:color w:val="CC00CC"/>
        </w:rPr>
        <w:t>final confirmation by Sosinna</w:t>
      </w:r>
      <w:r>
        <w:rPr>
          <w:b/>
          <w:i/>
          <w:strike w:val="0"/>
          <w:color w:val="CC00CC"/>
        </w:rPr>
        <w:t>. The Portal is therefore two-tier: associates prepare, Sosinna confirms. Every confirmation is recorded with who prepared and who confirmed. Exactly which actions require her confirmation — every publish, or only designated gates such as qualification and publishing — is not yet defined; see AD-01.</w:t>
      </w:r>
      <w:r>
        <w:rPr>
          <w:b w:val="0"/>
          <w:i w:val="0"/>
          <w:strike w:val="0"/>
        </w:rPr>
        <w:t xml:space="preserve"> </w:t>
      </w:r>
      <w:r>
        <w:rPr>
          <w:b w:val="0"/>
          <w:i/>
          <w:strike w:val="0"/>
          <w:color w:val="CC00CC"/>
          <w:sz w:val="16"/>
        </w:rPr>
        <w:t xml:space="preserve"> [14 Aug 2026 MOM]</w:t>
      </w:r>
    </w:p>
    <w:p>
      <w:r>
        <w:rPr>
          <w:b/>
          <w:i w:val="0"/>
          <w:strike w:val="0"/>
          <w:color w:val="1155CC"/>
        </w:rPr>
        <w:t>[SA-25]</w:t>
      </w:r>
      <w:r>
        <w:rPr>
          <w:b w:val="0"/>
          <w:i w:val="0"/>
          <w:strike w:val="0"/>
        </w:rPr>
        <w:t xml:space="preserve"> </w:t>
      </w:r>
      <w:r>
        <w:rPr>
          <w:b/>
          <w:i/>
          <w:strike w:val="0"/>
          <w:color w:val="CC00CC"/>
        </w:rPr>
        <w:t>The Portal contains a management page for glossary and guidance items: Sosinna's team creates, edits and retires glossary terms and guidance notes. Published items appear on the firm-side glossary and guidance page (FR-137). Glossary content follows the same review-before-publish spirit as SA-04 — a firm sees an item only once it is published.</w:t>
      </w:r>
      <w:r>
        <w:rPr>
          <w:b w:val="0"/>
          <w:i w:val="0"/>
          <w:strike w:val="0"/>
        </w:rPr>
        <w:t xml:space="preserve"> </w:t>
      </w:r>
      <w:r>
        <w:rPr>
          <w:b w:val="0"/>
          <w:i/>
          <w:strike w:val="0"/>
          <w:color w:val="CC00CC"/>
          <w:sz w:val="16"/>
        </w:rPr>
        <w:t xml:space="preserve"> [14 Aug 2026 MOM]</w:t>
      </w:r>
    </w:p>
    <w:p>
      <w:pPr>
        <w:pStyle w:val="Heading1"/>
      </w:pPr>
      <w:r>
        <w:t>5. From Enquiry to First Login — Firm Onboarding</w:t>
      </w:r>
    </w:p>
    <w:p>
      <w:r>
        <w:rPr>
          <w:b/>
          <w:i/>
          <w:strike w:val="0"/>
          <w:color w:val="843C0C"/>
        </w:rPr>
        <w:t>RESTRUCTURED in v7.0. Up to v6.0 this section described only what the setup wizard collects. The client has now specified the whole journey — from the moment a firm enquires to the moment it can log in — including two things the platform did not previously do at all: managing enquiries before a firm exists, and taking payment. Read 5.1 first; the old wizard content is intact in 5.5.</w:t>
      </w:r>
      <w:r>
        <w:rPr>
          <w:b w:val="0"/>
          <w:i w:val="0"/>
          <w:strike w:val="0"/>
        </w:rPr>
        <w:t xml:space="preserve"> </w:t>
      </w:r>
      <w:r>
        <w:rPr>
          <w:b w:val="0"/>
          <w:i/>
          <w:strike w:val="0"/>
          <w:color w:val="843C0C"/>
          <w:sz w:val="16"/>
        </w:rPr>
        <w:t xml:space="preserve"> [Aug 2026 onboarding flow]</w:t>
      </w:r>
    </w:p>
    <w:p>
      <w:r>
        <w:rPr>
          <w:b w:val="0"/>
          <w:i w:val="0"/>
          <w:strike w:val="0"/>
        </w:rPr>
        <w:t>A firm does not simply appear on the platform. It enquires, it is qualified and contracted offline by Sosinna's team, it is invited in by a link, it completes its own setup, it pays, and only then can it log in. Six of those nine stages are new to this document.</w:t>
      </w:r>
    </w:p>
    <w:p>
      <w:pPr>
        <w:pStyle w:val="Heading2"/>
      </w:pPr>
      <w:r>
        <w:t>5.1 The End-to-End Flow</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r>
            <w:r>
              <w:rPr>
                <w:b/>
                <w:i w:val="0"/>
                <w:strike w:val="0"/>
                <w:color w:val="FFFFFF"/>
              </w:rPr>
              <w:t>#</w:t>
            </w:r>
          </w:p>
        </w:tc>
        <w:tc>
          <w:tcPr>
            <w:tcW w:type="dxa" w:w="2160"/>
            <w:shd w:val="clear" w:fill="1F4E79"/>
          </w:tcPr>
          <w:p>
            <w:r>
              <w:rPr>
                <w:b/>
                <w:color w:val="FFFFFF"/>
              </w:rPr>
            </w:r>
            <w:r>
              <w:rPr>
                <w:b/>
                <w:i w:val="0"/>
                <w:strike w:val="0"/>
                <w:color w:val="FFFFFF"/>
              </w:rPr>
              <w:t>Who</w:t>
            </w:r>
          </w:p>
        </w:tc>
        <w:tc>
          <w:tcPr>
            <w:tcW w:type="dxa" w:w="2160"/>
            <w:shd w:val="clear" w:fill="1F4E79"/>
          </w:tcPr>
          <w:p>
            <w:r>
              <w:rPr>
                <w:b/>
                <w:color w:val="FFFFFF"/>
              </w:rPr>
            </w:r>
            <w:r>
              <w:rPr>
                <w:b/>
                <w:i w:val="0"/>
                <w:strike w:val="0"/>
                <w:color w:val="FFFFFF"/>
              </w:rPr>
              <w:t>What happens</w:t>
            </w:r>
          </w:p>
        </w:tc>
        <w:tc>
          <w:tcPr>
            <w:tcW w:type="dxa" w:w="2160"/>
            <w:shd w:val="clear" w:fill="1F4E79"/>
          </w:tcPr>
          <w:p>
            <w:r>
              <w:rPr>
                <w:b/>
                <w:color w:val="FFFFFF"/>
              </w:rPr>
            </w:r>
            <w:r>
              <w:rPr>
                <w:b/>
                <w:i w:val="0"/>
                <w:strike w:val="0"/>
                <w:color w:val="FFFFFF"/>
              </w:rPr>
              <w:t>Where</w:t>
            </w:r>
          </w:p>
        </w:tc>
      </w:tr>
      <w:tr>
        <w:tc>
          <w:tcPr>
            <w:tcW w:type="dxa" w:w="2160"/>
          </w:tcPr>
          <w:p>
            <w:r/>
            <w:r>
              <w:rPr>
                <w:b w:val="0"/>
                <w:i w:val="0"/>
                <w:strike w:val="0"/>
              </w:rPr>
              <w:t>1</w:t>
            </w:r>
          </w:p>
        </w:tc>
        <w:tc>
          <w:tcPr>
            <w:tcW w:type="dxa" w:w="2160"/>
          </w:tcPr>
          <w:p>
            <w:r/>
            <w:r>
              <w:rPr>
                <w:b w:val="0"/>
                <w:i w:val="0"/>
                <w:strike w:val="0"/>
              </w:rPr>
              <w:t>Prospective firm</w:t>
            </w:r>
          </w:p>
        </w:tc>
        <w:tc>
          <w:tcPr>
            <w:tcW w:type="dxa" w:w="2160"/>
          </w:tcPr>
          <w:p>
            <w:r/>
            <w:r>
              <w:rPr>
                <w:b w:val="0"/>
                <w:i w:val="0"/>
                <w:strike w:val="0"/>
              </w:rPr>
              <w:t>The firm submits an enquiry. The platform receives it — this is the far end of the "request a demo" lead capture on the marketing site (MKT-02).</w:t>
            </w:r>
          </w:p>
        </w:tc>
        <w:tc>
          <w:tcPr>
            <w:tcW w:type="dxa" w:w="2160"/>
          </w:tcPr>
          <w:p>
            <w:r/>
            <w:r>
              <w:rPr>
                <w:b w:val="0"/>
                <w:i w:val="0"/>
                <w:strike w:val="0"/>
              </w:rPr>
              <w:t>5.2 — SA-16</w:t>
            </w:r>
          </w:p>
        </w:tc>
      </w:tr>
      <w:tr>
        <w:tc>
          <w:tcPr>
            <w:tcW w:type="dxa" w:w="2160"/>
          </w:tcPr>
          <w:p>
            <w:r/>
            <w:r>
              <w:rPr>
                <w:b w:val="0"/>
                <w:i w:val="0"/>
                <w:strike w:val="0"/>
              </w:rPr>
              <w:t>2</w:t>
            </w:r>
          </w:p>
        </w:tc>
        <w:tc>
          <w:tcPr>
            <w:tcW w:type="dxa" w:w="2160"/>
          </w:tcPr>
          <w:p>
            <w:r/>
            <w:r>
              <w:rPr>
                <w:b w:val="0"/>
                <w:i w:val="0"/>
                <w:strike w:val="0"/>
              </w:rPr>
              <w:t>Sosinna's team</w:t>
            </w:r>
          </w:p>
        </w:tc>
        <w:tc>
          <w:tcPr>
            <w:tcW w:type="dxa" w:w="2160"/>
          </w:tcPr>
          <w:p>
            <w:r/>
            <w:r>
              <w:rPr>
                <w:b w:val="0"/>
                <w:i w:val="0"/>
                <w:strike w:val="0"/>
              </w:rPr>
              <w:t>The enquiry appears in a list on the Portal dashboard, with its status. Nothing is created for the firm yet.</w:t>
            </w:r>
          </w:p>
        </w:tc>
        <w:tc>
          <w:tcPr>
            <w:tcW w:type="dxa" w:w="2160"/>
          </w:tcPr>
          <w:p>
            <w:r/>
            <w:r>
              <w:rPr>
                <w:b w:val="0"/>
                <w:i w:val="0"/>
                <w:strike w:val="0"/>
              </w:rPr>
              <w:t>5.2 — SA-17, SA-18</w:t>
            </w:r>
          </w:p>
        </w:tc>
      </w:tr>
      <w:tr>
        <w:tc>
          <w:tcPr>
            <w:tcW w:type="dxa" w:w="2160"/>
          </w:tcPr>
          <w:p>
            <w:r/>
            <w:r>
              <w:rPr>
                <w:b w:val="0"/>
                <w:i w:val="0"/>
                <w:strike w:val="0"/>
              </w:rPr>
              <w:t>3</w:t>
            </w:r>
          </w:p>
        </w:tc>
        <w:tc>
          <w:tcPr>
            <w:tcW w:type="dxa" w:w="2160"/>
          </w:tcPr>
          <w:p>
            <w:r/>
            <w:r>
              <w:rPr>
                <w:b w:val="0"/>
                <w:i w:val="0"/>
                <w:strike w:val="0"/>
              </w:rPr>
              <w:t>Sosinna's team</w:t>
            </w:r>
          </w:p>
        </w:tc>
        <w:tc>
          <w:tcPr>
            <w:tcW w:type="dxa" w:w="2160"/>
          </w:tcPr>
          <w:p>
            <w:r/>
            <w:r>
              <w:rPr>
                <w:b w:val="0"/>
                <w:i w:val="0"/>
                <w:strike w:val="0"/>
              </w:rPr>
              <w:t xml:space="preserve">The team contacts the firm and completes the commercial and legal agreement </w:t>
            </w:r>
            <w:r>
              <w:rPr>
                <w:b/>
                <w:i w:val="0"/>
                <w:strike w:val="0"/>
              </w:rPr>
              <w:t>offline and outside the system</w:t>
            </w:r>
            <w:r>
              <w:rPr>
                <w:b w:val="0"/>
                <w:i w:val="0"/>
                <w:strike w:val="0"/>
              </w:rPr>
              <w:t>. The platform does not run the negotiation, the contract, or the signature.</w:t>
            </w:r>
          </w:p>
        </w:tc>
        <w:tc>
          <w:tcPr>
            <w:tcW w:type="dxa" w:w="2160"/>
          </w:tcPr>
          <w:p>
            <w:r/>
            <w:r>
              <w:rPr>
                <w:b w:val="0"/>
                <w:i w:val="0"/>
                <w:strike w:val="0"/>
              </w:rPr>
              <w:t>5.3 — SA-19</w:t>
            </w:r>
          </w:p>
        </w:tc>
      </w:tr>
      <w:tr>
        <w:tc>
          <w:tcPr>
            <w:tcW w:type="dxa" w:w="2160"/>
          </w:tcPr>
          <w:p>
            <w:r/>
            <w:r>
              <w:rPr>
                <w:b w:val="0"/>
                <w:i w:val="0"/>
                <w:strike w:val="0"/>
              </w:rPr>
              <w:t>4</w:t>
            </w:r>
          </w:p>
        </w:tc>
        <w:tc>
          <w:tcPr>
            <w:tcW w:type="dxa" w:w="2160"/>
          </w:tcPr>
          <w:p>
            <w:r/>
            <w:r>
              <w:rPr>
                <w:b w:val="0"/>
                <w:i w:val="0"/>
                <w:strike w:val="0"/>
              </w:rPr>
              <w:t>Sosinna's team</w:t>
            </w:r>
          </w:p>
        </w:tc>
        <w:tc>
          <w:tcPr>
            <w:tcW w:type="dxa" w:w="2160"/>
          </w:tcPr>
          <w:p>
            <w:r/>
            <w:r>
              <w:rPr>
                <w:b w:val="0"/>
                <w:i w:val="0"/>
                <w:strike w:val="0"/>
              </w:rPr>
              <w:t>Once agreement is reached, the team generates an onboarding link, which is emailed to the firm. Generating the link is the act that authorises the firm to enter.</w:t>
            </w:r>
          </w:p>
        </w:tc>
        <w:tc>
          <w:tcPr>
            <w:tcW w:type="dxa" w:w="2160"/>
          </w:tcPr>
          <w:p>
            <w:r/>
            <w:r>
              <w:rPr>
                <w:b w:val="0"/>
                <w:i w:val="0"/>
                <w:strike w:val="0"/>
              </w:rPr>
              <w:t>5.4 — SA-20, SA-21</w:t>
            </w:r>
          </w:p>
        </w:tc>
      </w:tr>
      <w:tr>
        <w:tc>
          <w:tcPr>
            <w:tcW w:type="dxa" w:w="2160"/>
          </w:tcPr>
          <w:p>
            <w:r/>
            <w:r>
              <w:rPr>
                <w:b w:val="0"/>
                <w:i w:val="0"/>
                <w:strike w:val="0"/>
              </w:rPr>
              <w:t>5</w:t>
            </w:r>
          </w:p>
        </w:tc>
        <w:tc>
          <w:tcPr>
            <w:tcW w:type="dxa" w:w="2160"/>
          </w:tcPr>
          <w:p>
            <w:r/>
            <w:r>
              <w:rPr>
                <w:b w:val="0"/>
                <w:i w:val="0"/>
                <w:strike w:val="0"/>
              </w:rPr>
              <w:t>Firm</w:t>
            </w:r>
          </w:p>
        </w:tc>
        <w:tc>
          <w:tcPr>
            <w:tcW w:type="dxa" w:w="2160"/>
          </w:tcPr>
          <w:p>
            <w:r/>
            <w:r>
              <w:rPr>
                <w:b w:val="0"/>
                <w:i w:val="0"/>
                <w:strike w:val="0"/>
              </w:rPr>
              <w:t>The firm clicks the link, creates its first administrator account, and works through the onboarding wizard — firm details, licence, jurisdictions, revenue template, financial reports, service line and regulation confirmation, client base.</w:t>
            </w:r>
          </w:p>
        </w:tc>
        <w:tc>
          <w:tcPr>
            <w:tcW w:type="dxa" w:w="2160"/>
          </w:tcPr>
          <w:p>
            <w:r/>
            <w:r>
              <w:rPr>
                <w:b w:val="0"/>
                <w:i w:val="0"/>
                <w:strike w:val="0"/>
              </w:rPr>
              <w:t>5.5 — FR-117 to FR-119, plus the existing FR-01 to FR-08</w:t>
            </w:r>
          </w:p>
        </w:tc>
      </w:tr>
      <w:tr>
        <w:tc>
          <w:tcPr>
            <w:tcW w:type="dxa" w:w="2160"/>
          </w:tcPr>
          <w:p>
            <w:r/>
            <w:r>
              <w:rPr>
                <w:b w:val="0"/>
                <w:i w:val="0"/>
                <w:strike w:val="0"/>
              </w:rPr>
              <w:t>6</w:t>
            </w:r>
          </w:p>
        </w:tc>
        <w:tc>
          <w:tcPr>
            <w:tcW w:type="dxa" w:w="2160"/>
          </w:tcPr>
          <w:p>
            <w:r/>
            <w:r>
              <w:rPr>
                <w:b w:val="0"/>
                <w:i w:val="0"/>
                <w:strike w:val="0"/>
              </w:rPr>
              <w:t>Firm / Platform</w:t>
            </w:r>
          </w:p>
        </w:tc>
        <w:tc>
          <w:tcPr>
            <w:tcW w:type="dxa" w:w="2160"/>
          </w:tcPr>
          <w:p>
            <w:r/>
            <w:r>
              <w:rPr>
                <w:b w:val="0"/>
                <w:i w:val="0"/>
                <w:strike w:val="0"/>
              </w:rPr>
              <w:t>During onboarding the firm also provides its people: staff records, reporting lines and the business continuity call tree. The platform reviews this for gaps — every employee needs a call-tree contact and a reporting manager — and shows the firm what is missing.</w:t>
            </w:r>
          </w:p>
        </w:tc>
        <w:tc>
          <w:tcPr>
            <w:tcW w:type="dxa" w:w="2160"/>
          </w:tcPr>
          <w:p>
            <w:r/>
            <w:r>
              <w:rPr>
                <w:b w:val="0"/>
                <w:i w:val="0"/>
                <w:strike w:val="0"/>
              </w:rPr>
              <w:t>5.6 — FR-120 to FR-122</w:t>
            </w:r>
          </w:p>
        </w:tc>
      </w:tr>
      <w:tr>
        <w:tc>
          <w:tcPr>
            <w:tcW w:type="dxa" w:w="2160"/>
          </w:tcPr>
          <w:p>
            <w:r/>
            <w:r>
              <w:rPr>
                <w:b w:val="0"/>
                <w:i w:val="0"/>
                <w:strike w:val="0"/>
              </w:rPr>
              <w:t>7</w:t>
            </w:r>
          </w:p>
        </w:tc>
        <w:tc>
          <w:tcPr>
            <w:tcW w:type="dxa" w:w="2160"/>
          </w:tcPr>
          <w:p>
            <w:r/>
            <w:r>
              <w:rPr>
                <w:b w:val="0"/>
                <w:i w:val="0"/>
                <w:strike w:val="0"/>
              </w:rPr>
              <w:t>Firm</w:t>
            </w:r>
          </w:p>
        </w:tc>
        <w:tc>
          <w:tcPr>
            <w:tcW w:type="dxa" w:w="2160"/>
          </w:tcPr>
          <w:p>
            <w:r/>
            <w:r>
              <w:rPr>
                <w:b w:val="0"/>
                <w:i w:val="0"/>
                <w:strike w:val="0"/>
              </w:rPr>
              <w:t>With the details complete, the firm proceeds to payment.</w:t>
            </w:r>
          </w:p>
        </w:tc>
        <w:tc>
          <w:tcPr>
            <w:tcW w:type="dxa" w:w="2160"/>
          </w:tcPr>
          <w:p>
            <w:r/>
            <w:r>
              <w:rPr>
                <w:b w:val="0"/>
                <w:i w:val="0"/>
                <w:strike w:val="0"/>
              </w:rPr>
              <w:t>5.7 — FR-123, FR-124</w:t>
            </w:r>
          </w:p>
        </w:tc>
      </w:tr>
      <w:tr>
        <w:tc>
          <w:tcPr>
            <w:tcW w:type="dxa" w:w="2160"/>
          </w:tcPr>
          <w:p>
            <w:r/>
            <w:r>
              <w:rPr>
                <w:b w:val="0"/>
                <w:i w:val="0"/>
                <w:strike w:val="0"/>
              </w:rPr>
              <w:t>8</w:t>
            </w:r>
          </w:p>
        </w:tc>
        <w:tc>
          <w:tcPr>
            <w:tcW w:type="dxa" w:w="2160"/>
          </w:tcPr>
          <w:p>
            <w:r/>
            <w:r>
              <w:rPr>
                <w:b w:val="0"/>
                <w:i w:val="0"/>
                <w:strike w:val="0"/>
              </w:rPr>
              <w:t>Firm</w:t>
            </w:r>
          </w:p>
        </w:tc>
        <w:tc>
          <w:tcPr>
            <w:tcW w:type="dxa" w:w="2160"/>
          </w:tcPr>
          <w:p>
            <w:r/>
            <w:r>
              <w:rPr>
                <w:b w:val="0"/>
                <w:i w:val="0"/>
                <w:strike w:val="0"/>
              </w:rPr>
              <w:t>On successful payment the account is activated and the firm can log in to its dashboard.</w:t>
            </w:r>
          </w:p>
        </w:tc>
        <w:tc>
          <w:tcPr>
            <w:tcW w:type="dxa" w:w="2160"/>
          </w:tcPr>
          <w:p>
            <w:r/>
            <w:r>
              <w:rPr>
                <w:b w:val="0"/>
                <w:i w:val="0"/>
                <w:strike w:val="0"/>
              </w:rPr>
              <w:t>5.8 — FR-125, FR-127</w:t>
            </w:r>
          </w:p>
        </w:tc>
      </w:tr>
      <w:tr>
        <w:tc>
          <w:tcPr>
            <w:tcW w:type="dxa" w:w="2160"/>
          </w:tcPr>
          <w:p>
            <w:r/>
            <w:r>
              <w:rPr>
                <w:b w:val="0"/>
                <w:i w:val="0"/>
                <w:strike w:val="0"/>
              </w:rPr>
              <w:t>9</w:t>
            </w:r>
          </w:p>
        </w:tc>
        <w:tc>
          <w:tcPr>
            <w:tcW w:type="dxa" w:w="2160"/>
          </w:tcPr>
          <w:p>
            <w:r/>
            <w:r>
              <w:rPr>
                <w:b w:val="0"/>
                <w:i w:val="0"/>
                <w:strike w:val="0"/>
              </w:rPr>
              <w:t>Firm</w:t>
            </w:r>
          </w:p>
        </w:tc>
        <w:tc>
          <w:tcPr>
            <w:tcW w:type="dxa" w:w="2160"/>
          </w:tcPr>
          <w:p>
            <w:r/>
            <w:r>
              <w:rPr>
                <w:b w:val="0"/>
                <w:i w:val="0"/>
                <w:strike w:val="0"/>
              </w:rPr>
              <w:t>On failed payment the firm can retry. Nothing entered so far is lost.</w:t>
            </w:r>
          </w:p>
        </w:tc>
        <w:tc>
          <w:tcPr>
            <w:tcW w:type="dxa" w:w="2160"/>
          </w:tcPr>
          <w:p>
            <w:r/>
            <w:r>
              <w:rPr>
                <w:b w:val="0"/>
                <w:i w:val="0"/>
                <w:strike w:val="0"/>
              </w:rPr>
              <w:t>5.7 — FR-126</w:t>
            </w:r>
          </w:p>
        </w:tc>
      </w:tr>
    </w:tbl>
    <w:tbl>
      <w:tblPr>
        <w:tblStyle w:val="TableGrid"/>
        <w:tblW w:type="auto" w:w="0"/>
        <w:tblLook w:firstColumn="1" w:firstRow="1" w:lastColumn="0" w:lastRow="0" w:noHBand="0" w:noVBand="1" w:val="04A0"/>
      </w:tblPr>
      <w:tblGrid>
        <w:gridCol w:w="8640"/>
      </w:tblGrid>
      <w:tr>
        <w:tc>
          <w:tcPr>
            <w:tcW w:type="dxa" w:w="8640"/>
            <w:shd w:val="clear" w:fill="EDEDED"/>
          </w:tcPr>
          <w:p>
            <w:r>
              <w:rPr>
                <w:b/>
                <w:i w:val="0"/>
                <w:strike w:val="0"/>
              </w:rPr>
              <w:t>DEVELOPER NOTE</w:t>
            </w:r>
            <w:r>
              <w:rPr>
                <w:b w:val="0"/>
                <w:i w:val="0"/>
                <w:strike w:val="0"/>
              </w:rPr>
              <w:t xml:space="preserve"> </w:t>
            </w:r>
            <w:r>
              <w:rPr>
                <w:b w:val="0"/>
                <w:i/>
                <w:strike w:val="0"/>
              </w:rPr>
              <w:t>(grey — new in v7.0)</w:t>
            </w:r>
          </w:p>
          <w:p>
            <w:r>
              <w:rPr>
                <w:b/>
                <w:i w:val="0"/>
                <w:strike w:val="0"/>
              </w:rPr>
              <w:t>📌 Note</w:t>
            </w:r>
          </w:p>
          <w:p>
            <w:pPr>
              <w:pStyle w:val="ListBullet"/>
            </w:pPr>
            <w:r>
              <w:rPr>
                <w:b/>
                <w:i/>
                <w:strike w:val="0"/>
                <w:color w:val="843C0C"/>
              </w:rPr>
              <w:t>Stage 3 is deliberately outside the platform. Do not build contract management, e-signature, or quote generation. The only thing the platform records about stage 3 is that it happened and who confirmed it — see SA-19.</w:t>
            </w:r>
            <w:r>
              <w:rPr>
                <w:b w:val="0"/>
                <w:i w:val="0"/>
                <w:strike w:val="0"/>
              </w:rPr>
              <w:t xml:space="preserve"> </w:t>
            </w:r>
            <w:r>
              <w:rPr>
                <w:b w:val="0"/>
                <w:i/>
                <w:strike w:val="0"/>
                <w:color w:val="843C0C"/>
                <w:sz w:val="16"/>
              </w:rPr>
              <w:t xml:space="preserve"> [Aug 2026 onboarding flow]</w:t>
            </w:r>
          </w:p>
          <w:p>
            <w:pPr>
              <w:pStyle w:val="ListBullet"/>
            </w:pPr>
            <w:r>
              <w:rPr>
                <w:b/>
                <w:i/>
                <w:strike w:val="0"/>
                <w:color w:val="843C0C"/>
              </w:rPr>
              <w:t>Stages 7 to 9 are the largest piece of net-new engineering in this section: a payment integration, a billing state on the tenant, and a login gate that reads it. This is the first time money moves through the platform in any version of this document. See the flags in 5.7, and GAP-18 and GAP-19 in Section 16 before estimating it.</w:t>
            </w:r>
            <w:r>
              <w:rPr>
                <w:b w:val="0"/>
                <w:i w:val="0"/>
                <w:strike w:val="0"/>
              </w:rPr>
              <w:t xml:space="preserve"> </w:t>
            </w:r>
            <w:r>
              <w:rPr>
                <w:b w:val="0"/>
                <w:i/>
                <w:strike w:val="0"/>
                <w:color w:val="843C0C"/>
                <w:sz w:val="16"/>
              </w:rPr>
              <w:t xml:space="preserve"> [Aug 2026 onboarding flow]</w:t>
            </w:r>
          </w:p>
          <w:p>
            <w:pPr>
              <w:pStyle w:val="ListBullet"/>
            </w:pPr>
            <w:r>
              <w:rPr>
                <w:b/>
                <w:i/>
                <w:strike w:val="0"/>
                <w:color w:val="843C0C"/>
              </w:rPr>
              <w:t>Stages 1 to 4 mean the Portal now holds records for firms that are not customers and may never become customers. That is a new data class — see the note added to Section 2 and the retention question ON-08.</w:t>
            </w:r>
            <w:r>
              <w:rPr>
                <w:b w:val="0"/>
                <w:i w:val="0"/>
                <w:strike w:val="0"/>
              </w:rPr>
              <w:t xml:space="preserve"> </w:t>
            </w:r>
            <w:r>
              <w:rPr>
                <w:b w:val="0"/>
                <w:i/>
                <w:strike w:val="0"/>
                <w:color w:val="843C0C"/>
                <w:sz w:val="16"/>
              </w:rPr>
              <w:t xml:space="preserve"> [Aug 2026 onboarding flow]</w:t>
            </w:r>
          </w:p>
        </w:tc>
      </w:tr>
    </w:tbl>
    <w:p>
      <w:pPr>
        <w:pStyle w:val="Heading2"/>
      </w:pPr>
      <w:r>
        <w:t>5.2 Enquiries</w:t>
      </w:r>
    </w:p>
    <w:p>
      <w:r>
        <w:rPr>
          <w:b/>
          <w:i w:val="0"/>
          <w:strike w:val="0"/>
          <w:color w:val="1155CC"/>
        </w:rPr>
        <w:t>[SA-16]</w:t>
      </w:r>
      <w:r>
        <w:rPr>
          <w:b w:val="0"/>
          <w:i w:val="0"/>
          <w:strike w:val="0"/>
        </w:rPr>
        <w:t xml:space="preserve"> </w:t>
      </w:r>
      <w:r>
        <w:rPr>
          <w:b/>
          <w:i/>
          <w:strike w:val="0"/>
          <w:color w:val="843C0C"/>
        </w:rPr>
        <w:t>The platform receives enquiries from prospective firms. An enquiry captures at minimum the firm name, the contact person and their email, the jurisdiction, and whatever the enquiry form collected — including the free-text message. Enquiries arrive from the marketing site's demo-request form (MKT-02) and can also be entered by hand by Sosinna's team for a firm that made contact some other way, so that every prospect sits in one list regardless of how it arrived.</w:t>
      </w:r>
      <w:r>
        <w:rPr>
          <w:b w:val="0"/>
          <w:i w:val="0"/>
          <w:strike w:val="0"/>
        </w:rPr>
        <w:t xml:space="preserve"> </w:t>
      </w:r>
      <w:r>
        <w:rPr>
          <w:b w:val="0"/>
          <w:i/>
          <w:strike w:val="0"/>
          <w:color w:val="843C0C"/>
          <w:sz w:val="16"/>
        </w:rPr>
        <w:t xml:space="preserve"> [Aug 2026 onboarding flow]</w:t>
      </w:r>
    </w:p>
    <w:p>
      <w:r>
        <w:rPr>
          <w:b/>
          <w:i w:val="0"/>
          <w:strike w:val="0"/>
          <w:color w:val="1155CC"/>
        </w:rPr>
        <w:t>[SA-17]</w:t>
      </w:r>
      <w:r>
        <w:rPr>
          <w:b w:val="0"/>
          <w:i w:val="0"/>
          <w:strike w:val="0"/>
        </w:rPr>
        <w:t xml:space="preserve"> </w:t>
      </w:r>
      <w:r>
        <w:rPr>
          <w:b/>
          <w:i/>
          <w:strike w:val="0"/>
          <w:color w:val="843C0C"/>
        </w:rPr>
        <w:t>The Portal dashboard shows the list of enquiries: who enquired, when, from where, current status, and who on Sosinna's team owns it. It is sortable and filterable, and an ageing enquiry is visible as such — this is a work queue, in the same spirit as the CCO's pending-item pool in Section 7.2.</w:t>
      </w:r>
      <w:r>
        <w:rPr>
          <w:b w:val="0"/>
          <w:i w:val="0"/>
          <w:strike w:val="0"/>
        </w:rPr>
        <w:t xml:space="preserve"> </w:t>
      </w:r>
      <w:r>
        <w:rPr>
          <w:b w:val="0"/>
          <w:i/>
          <w:strike w:val="0"/>
          <w:color w:val="843C0C"/>
          <w:sz w:val="16"/>
        </w:rPr>
        <w:t xml:space="preserve"> [Aug 2026 onboarding flow]</w:t>
      </w:r>
    </w:p>
    <w:p>
      <w:r>
        <w:rPr>
          <w:b/>
          <w:i w:val="0"/>
          <w:strike w:val="0"/>
          <w:color w:val="1155CC"/>
        </w:rPr>
        <w:t>[SA-18]</w:t>
      </w:r>
      <w:r>
        <w:rPr>
          <w:b w:val="0"/>
          <w:i w:val="0"/>
          <w:strike w:val="0"/>
        </w:rPr>
        <w:t xml:space="preserve"> </w:t>
      </w:r>
      <w:r>
        <w:rPr>
          <w:b/>
          <w:i/>
          <w:strike w:val="0"/>
          <w:color w:val="843C0C"/>
        </w:rPr>
        <w:t xml:space="preserve">Each enquiry carries a status through its life: </w:t>
      </w:r>
      <w:r>
        <w:rPr>
          <w:b/>
          <w:i/>
          <w:strike w:val="0"/>
          <w:color w:val="843C0C"/>
        </w:rPr>
        <w:t>New → Contacted → Qualified → Agreement Signed → Link Issued → Onboarding In Progress → Active</w:t>
      </w:r>
      <w:r>
        <w:rPr>
          <w:b/>
          <w:i/>
          <w:strike w:val="0"/>
          <w:color w:val="843C0C"/>
        </w:rPr>
        <w:t xml:space="preserve"> — or </w:t>
      </w:r>
      <w:r>
        <w:rPr>
          <w:b/>
          <w:i/>
          <w:strike w:val="0"/>
          <w:color w:val="843C0C"/>
        </w:rPr>
        <w:t>Declined / Lost</w:t>
      </w:r>
      <w:r>
        <w:rPr>
          <w:b/>
          <w:i/>
          <w:strike w:val="0"/>
          <w:color w:val="843C0C"/>
        </w:rPr>
        <w:t xml:space="preserve"> at any point, with a reason. Status changes are timestamped and attributed. An enquiry is never deleted; a lost one is closed with its reason and retained, because it is the record of who approached the business and what happened.</w:t>
      </w:r>
      <w:r>
        <w:rPr>
          <w:b w:val="0"/>
          <w:i w:val="0"/>
          <w:strike w:val="0"/>
        </w:rPr>
        <w:t xml:space="preserve"> </w:t>
      </w:r>
      <w:r>
        <w:rPr>
          <w:b w:val="0"/>
          <w:i/>
          <w:strike w:val="0"/>
          <w:color w:val="843C0C"/>
          <w:sz w:val="16"/>
        </w:rPr>
        <w:t xml:space="preserve"> [Aug 2026 onboarding flow]</w:t>
      </w:r>
    </w:p>
    <w:p>
      <w:r>
        <w:rPr>
          <w:b/>
          <w:i/>
          <w:strike w:val="0"/>
          <w:color w:val="CC00CC"/>
        </w:rPr>
        <w:t xml:space="preserve">The 14 Aug 2026 meeting named the judgement behind the </w:t>
      </w:r>
      <w:r>
        <w:rPr>
          <w:b/>
          <w:i/>
          <w:strike w:val="0"/>
          <w:color w:val="CC00CC"/>
        </w:rPr>
        <w:t>Qualified</w:t>
      </w:r>
      <w:r>
        <w:rPr>
          <w:b/>
          <w:i/>
          <w:strike w:val="0"/>
          <w:color w:val="CC00CC"/>
        </w:rPr>
        <w:t xml:space="preserve"> status: Sosinna's team decides whether a firm has all the requirements to be evaluated with ControlIQ before onboarding begins. Qualification is a human decision by Sosinna's team, not a platform-calculated eligibility check — the platform records the decision and its date against the enquiry, nothing more.</w:t>
      </w:r>
      <w:r>
        <w:rPr>
          <w:b w:val="0"/>
          <w:i w:val="0"/>
          <w:strike w:val="0"/>
        </w:rPr>
        <w:t xml:space="preserve"> </w:t>
      </w:r>
      <w:r>
        <w:rPr>
          <w:b w:val="0"/>
          <w:i/>
          <w:strike w:val="0"/>
          <w:color w:val="CC00CC"/>
          <w:sz w:val="16"/>
        </w:rPr>
        <w:t xml:space="preserve"> [14 Aug 2026 MOM]</w:t>
      </w:r>
    </w:p>
    <w:p>
      <w:pPr>
        <w:pStyle w:val="Heading2"/>
      </w:pPr>
      <w:r>
        <w:t>5.3 The Legal Agreement — Handled Offline</w:t>
      </w:r>
    </w:p>
    <w:p>
      <w:r>
        <w:rPr>
          <w:b w:val="0"/>
          <w:i w:val="0"/>
          <w:strike w:val="0"/>
        </w:rPr>
        <w:t>The commercial conversation, the pricing agreement, and the contract signature all happen outside ControlIQ. Sosinna's team meets the firm, agrees the plan and the seat count, and executes the paperwork by their normal means. This is consistent with the sales-assisted model already confirmed in CC-01 and MKT-02: there is no self-serve path from the marketing site into a live account.</w:t>
      </w:r>
    </w:p>
    <w:p>
      <w:r>
        <w:rPr>
          <w:b/>
          <w:i w:val="0"/>
          <w:strike w:val="0"/>
          <w:color w:val="1155CC"/>
        </w:rPr>
        <w:t>[SA-19]</w:t>
      </w:r>
      <w:r>
        <w:rPr>
          <w:b w:val="0"/>
          <w:i w:val="0"/>
          <w:strike w:val="0"/>
        </w:rPr>
        <w:t xml:space="preserve"> </w:t>
      </w:r>
      <w:r>
        <w:rPr>
          <w:b/>
          <w:i/>
          <w:strike w:val="0"/>
          <w:color w:val="843C0C"/>
        </w:rPr>
        <w:t>Before an onboarding link can be generated, a member of Sosinna's team records against the enquiry that the legal agreement is complete: who confirmed it, the date, the agreed plan type and seat count, and optionally an uploaded copy of the executed agreement for reference. The platform does not manage, generate or sign the agreement — it records that the gate has been passed, because that record is what authorises everything downstream, including the amount the firm will be asked to pay.</w:t>
      </w:r>
      <w:r>
        <w:rPr>
          <w:b w:val="0"/>
          <w:i w:val="0"/>
          <w:strike w:val="0"/>
        </w:rPr>
        <w:t xml:space="preserve"> </w:t>
      </w:r>
      <w:r>
        <w:rPr>
          <w:b w:val="0"/>
          <w:i/>
          <w:strike w:val="0"/>
          <w:color w:val="843C0C"/>
          <w:sz w:val="16"/>
        </w:rPr>
        <w:t xml:space="preserve"> [Aug 2026 onboarding flow]</w:t>
      </w:r>
    </w:p>
    <w:p>
      <w:pPr>
        <w:pStyle w:val="Heading2"/>
      </w:pPr>
      <w:r>
        <w:t>5.4 The Onboarding Link</w:t>
      </w:r>
    </w:p>
    <w:p>
      <w:r>
        <w:rPr>
          <w:b/>
          <w:i w:val="0"/>
          <w:strike w:val="0"/>
          <w:color w:val="1155CC"/>
        </w:rPr>
        <w:t>[SA-20]</w:t>
      </w:r>
      <w:r>
        <w:rPr>
          <w:b w:val="0"/>
          <w:i w:val="0"/>
          <w:strike w:val="0"/>
        </w:rPr>
        <w:t xml:space="preserve"> </w:t>
      </w:r>
      <w:r>
        <w:rPr>
          <w:b/>
          <w:i/>
          <w:strike w:val="0"/>
          <w:color w:val="843C0C"/>
        </w:rPr>
        <w:t>Sosinna's team generates an onboarding link for a qualified, agreed firm and the platform emails it to the named contact. The link is unique to that one enquiry, carries no credentials, and is the only route into the onboarding wizard — a firm cannot self-register. Generating it moves the enquiry to Link Issued and creates the firm's tenant in a pre-activation state.</w:t>
      </w:r>
      <w:r>
        <w:rPr>
          <w:b w:val="0"/>
          <w:i w:val="0"/>
          <w:strike w:val="0"/>
        </w:rPr>
        <w:t xml:space="preserve"> </w:t>
      </w:r>
      <w:r>
        <w:rPr>
          <w:b w:val="0"/>
          <w:i/>
          <w:strike w:val="0"/>
          <w:color w:val="843C0C"/>
          <w:sz w:val="16"/>
        </w:rPr>
        <w:t xml:space="preserve"> [Aug 2026 onboarding flow]</w:t>
      </w:r>
    </w:p>
    <w:p>
      <w:r>
        <w:rPr>
          <w:b/>
          <w:i w:val="0"/>
          <w:strike w:val="0"/>
          <w:color w:val="1155CC"/>
        </w:rPr>
        <w:t>[SA-21]</w:t>
      </w:r>
      <w:r>
        <w:rPr>
          <w:b w:val="0"/>
          <w:i w:val="0"/>
          <w:strike w:val="0"/>
        </w:rPr>
        <w:t xml:space="preserve"> </w:t>
      </w:r>
      <w:r>
        <w:rPr>
          <w:b/>
          <w:i/>
          <w:strike w:val="0"/>
          <w:color w:val="843C0C"/>
        </w:rPr>
        <w:t>The link expires after a configurable period and can be re-sent or revoked by Sosinna's team at any time. Every issue, re-issue and revocation is recorded against the enquiry with who did it and when. An expired or revoked link cannot be used; the firm sees a plain message telling them to contact Sosinna's team rather than an error.</w:t>
      </w:r>
      <w:r>
        <w:rPr>
          <w:b w:val="0"/>
          <w:i w:val="0"/>
          <w:strike w:val="0"/>
        </w:rPr>
        <w:t xml:space="preserve"> </w:t>
      </w:r>
      <w:r>
        <w:rPr>
          <w:b w:val="0"/>
          <w:i/>
          <w:strike w:val="0"/>
          <w:color w:val="843C0C"/>
          <w:sz w:val="16"/>
        </w:rPr>
        <w:t xml:space="preserve"> [Aug 2026 onboarding flow]</w:t>
      </w:r>
    </w:p>
    <w:tbl>
      <w:tblPr>
        <w:tblStyle w:val="TableGrid"/>
        <w:tblW w:type="auto" w:w="0"/>
        <w:tblLook w:firstColumn="1" w:firstRow="1" w:lastColumn="0" w:lastRow="0" w:noHBand="0" w:noVBand="1" w:val="04A0"/>
      </w:tblPr>
      <w:tblGrid>
        <w:gridCol w:w="8640"/>
      </w:tblGrid>
      <w:tr>
        <w:tc>
          <w:tcPr>
            <w:tcW w:type="dxa" w:w="8640"/>
            <w:shd w:val="clear" w:fill="EDEDED"/>
          </w:tcPr>
          <w:p>
            <w:r>
              <w:rPr>
                <w:b/>
                <w:i w:val="0"/>
                <w:strike w:val="0"/>
              </w:rPr>
              <w:t>DEVELOPER NOTE</w:t>
            </w:r>
            <w:r>
              <w:rPr>
                <w:b w:val="0"/>
                <w:i w:val="0"/>
                <w:strike w:val="0"/>
              </w:rPr>
              <w:t xml:space="preserve"> </w:t>
            </w:r>
            <w:r>
              <w:rPr>
                <w:b w:val="0"/>
                <w:i/>
                <w:strike w:val="0"/>
              </w:rPr>
              <w:t>(grey — new in v7.0)</w:t>
            </w:r>
          </w:p>
          <w:p>
            <w:r>
              <w:rPr>
                <w:b/>
                <w:i w:val="0"/>
                <w:strike w:val="0"/>
              </w:rPr>
              <w:t>📌 Note</w:t>
            </w:r>
          </w:p>
          <w:p>
            <w:pPr>
              <w:pStyle w:val="ListBullet"/>
            </w:pPr>
            <w:r>
              <w:rPr>
                <w:b/>
                <w:i/>
                <w:strike w:val="0"/>
                <w:color w:val="843C0C"/>
              </w:rPr>
              <w:t>The link is an invitation token, not an authentication mechanism. Clicking it proves the recipient has the email, nothing more. It grants exactly one capability: creating the firm's first administrator account under FR-117, which is where real identity and MFA are established. It must be single-purpose and consumed on use — treat it as a security control, since it is the sole entry point to the platform.</w:t>
            </w:r>
            <w:r>
              <w:rPr>
                <w:b w:val="0"/>
                <w:i w:val="0"/>
                <w:strike w:val="0"/>
              </w:rPr>
              <w:t xml:space="preserve"> </w:t>
            </w:r>
            <w:r>
              <w:rPr>
                <w:b w:val="0"/>
                <w:i/>
                <w:strike w:val="0"/>
                <w:color w:val="843C0C"/>
                <w:sz w:val="16"/>
              </w:rPr>
              <w:t xml:space="preserve"> [Aug 2026 onboarding flow]</w:t>
            </w:r>
          </w:p>
          <w:p>
            <w:pPr>
              <w:pStyle w:val="ListBullet"/>
            </w:pPr>
            <w:r>
              <w:rPr>
                <w:b/>
                <w:i/>
                <w:strike w:val="0"/>
                <w:color w:val="843C0C"/>
              </w:rPr>
              <w:t>This supersedes MKT-03, which said Sosinna's team creates the account directly. They now create the invitation; the firm creates its own account. Section 1.3 has been updated.</w:t>
            </w:r>
            <w:r>
              <w:rPr>
                <w:b w:val="0"/>
                <w:i w:val="0"/>
                <w:strike w:val="0"/>
              </w:rPr>
              <w:t xml:space="preserve"> </w:t>
            </w:r>
            <w:r>
              <w:rPr>
                <w:b w:val="0"/>
                <w:i/>
                <w:strike w:val="0"/>
                <w:color w:val="843C0C"/>
                <w:sz w:val="16"/>
              </w:rPr>
              <w:t xml:space="preserve"> [Aug 2026 onboarding flow]</w:t>
            </w:r>
          </w:p>
        </w:tc>
      </w:tr>
    </w:tbl>
    <w:p>
      <w:pPr>
        <w:pStyle w:val="Heading2"/>
      </w:pPr>
      <w:r>
        <w:t>5.5 What the Wizard Collects</w:t>
      </w:r>
    </w:p>
    <w:p>
      <w:r>
        <w:rPr>
          <w:b w:val="0"/>
          <w:i w:val="0"/>
          <w:strike w:val="0"/>
        </w:rPr>
        <w:t>When a new crypto company joins ControlIQ, they go through a guided setup process — called a wizard — that walks them through everything the platform needs to know about their business. This setup is critical: the answers determine which compliance tests the firm needs to run. Getting it wrong means the wrong tests get loaded.</w:t>
      </w:r>
    </w:p>
    <w:p>
      <w:r>
        <w:rPr>
          <w:b/>
          <w:i w:val="0"/>
          <w:strike w:val="0"/>
          <w:color w:val="1155CC"/>
        </w:rPr>
        <w:t>[FR-117]</w:t>
      </w:r>
      <w:r>
        <w:rPr>
          <w:b w:val="0"/>
          <w:i w:val="0"/>
          <w:strike w:val="0"/>
        </w:rPr>
        <w:t xml:space="preserve"> </w:t>
      </w:r>
      <w:r>
        <w:rPr>
          <w:b/>
          <w:i/>
          <w:strike w:val="0"/>
          <w:color w:val="843C0C"/>
        </w:rPr>
        <w:t>The firm's first Firm Super Admin account is created from the onboarding link: the named contact sets their own password and enrols in MFA under FR-11 before any onboarding data is entered. This is the account that completes the wizard. FR-15 requires every firm to hold at least two Firm Super Admins, so the wizard requires a second administrator to be invited before onboarding can be marked complete — a firm must not reach its first login with a single point of administrative failure.</w:t>
      </w:r>
      <w:r>
        <w:rPr>
          <w:b w:val="0"/>
          <w:i w:val="0"/>
          <w:strike w:val="0"/>
        </w:rPr>
        <w:t xml:space="preserve"> </w:t>
      </w:r>
      <w:r>
        <w:rPr>
          <w:b w:val="0"/>
          <w:i/>
          <w:strike w:val="0"/>
          <w:color w:val="843C0C"/>
          <w:sz w:val="16"/>
        </w:rPr>
        <w:t xml:space="preserve"> [Aug 2026 onboarding flow]</w:t>
      </w:r>
    </w:p>
    <w:p>
      <w:r>
        <w:rPr>
          <w:b/>
          <w:i w:val="0"/>
          <w:strike w:val="0"/>
          <w:color w:val="1155CC"/>
        </w:rPr>
        <w:t>[FR-118]</w:t>
      </w:r>
      <w:r>
        <w:rPr>
          <w:b w:val="0"/>
          <w:i w:val="0"/>
          <w:strike w:val="0"/>
        </w:rPr>
        <w:t xml:space="preserve"> </w:t>
      </w:r>
      <w:r>
        <w:rPr>
          <w:b/>
          <w:i/>
          <w:strike w:val="0"/>
          <w:color w:val="843C0C"/>
        </w:rPr>
        <w:t>Onboarding is resumable. Progress is saved at each step, the firm can leave and return via the same link, and a progress indicator shows which steps are done and what remains. A firm gathering financial reports and staff data will not finish in one sitting, and must not lose entered data when they stop.</w:t>
      </w:r>
      <w:r>
        <w:rPr>
          <w:b w:val="0"/>
          <w:i w:val="0"/>
          <w:strike w:val="0"/>
        </w:rPr>
        <w:t xml:space="preserve"> </w:t>
      </w:r>
      <w:r>
        <w:rPr>
          <w:b w:val="0"/>
          <w:i/>
          <w:strike w:val="0"/>
          <w:color w:val="843C0C"/>
          <w:sz w:val="16"/>
        </w:rPr>
        <w:t xml:space="preserve"> [Aug 2026 onboarding flow]</w:t>
      </w:r>
    </w:p>
    <w:p>
      <w:r>
        <w:rPr>
          <w:b/>
          <w:i w:val="0"/>
          <w:strike w:val="0"/>
          <w:color w:val="1155CC"/>
        </w:rPr>
        <w:t>[FR-119]</w:t>
      </w:r>
      <w:r>
        <w:rPr>
          <w:b w:val="0"/>
          <w:i w:val="0"/>
          <w:strike w:val="0"/>
        </w:rPr>
        <w:t xml:space="preserve"> </w:t>
      </w:r>
      <w:r>
        <w:rPr>
          <w:b/>
          <w:i/>
          <w:strike w:val="0"/>
          <w:color w:val="843C0C"/>
        </w:rPr>
        <w:t>Each step validates its own input before the firm moves on — a licence number in the expected format, a revenue file matching the platform's template, financial reports in an accepted file type. Where a file cannot be read, the firm is told which file and why, and can re-upload without restarting. Onboarding cannot be marked complete while any mandatory step is unvalidated.</w:t>
      </w:r>
      <w:r>
        <w:rPr>
          <w:b w:val="0"/>
          <w:i w:val="0"/>
          <w:strike w:val="0"/>
        </w:rPr>
        <w:t xml:space="preserve"> </w:t>
      </w:r>
      <w:r>
        <w:rPr>
          <w:b w:val="0"/>
          <w:i/>
          <w:strike w:val="0"/>
          <w:color w:val="843C0C"/>
          <w:sz w:val="16"/>
        </w:rPr>
        <w:t xml:space="preserve"> [Aug 2026 onboarding flow]</w:t>
      </w:r>
    </w:p>
    <w:p>
      <w:r>
        <w:rPr>
          <w:b w:val="0"/>
          <w:i w:val="0"/>
          <w:strike w:val="0"/>
        </w:rPr>
        <w:t>The wizard takes the firm through these steps in order:</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4E79"/>
          </w:tcPr>
          <w:p>
            <w:r>
              <w:rPr>
                <w:b/>
                <w:color w:val="FFFFFF"/>
              </w:rPr>
            </w:r>
            <w:r>
              <w:rPr>
                <w:b/>
                <w:i w:val="0"/>
                <w:strike w:val="0"/>
                <w:color w:val="FFFFFF"/>
              </w:rPr>
              <w:t>Step</w:t>
            </w:r>
          </w:p>
        </w:tc>
        <w:tc>
          <w:tcPr>
            <w:tcW w:type="dxa" w:w="2880"/>
            <w:shd w:val="clear" w:fill="1F4E79"/>
          </w:tcPr>
          <w:p>
            <w:r>
              <w:rPr>
                <w:b/>
                <w:color w:val="FFFFFF"/>
              </w:rPr>
            </w:r>
            <w:r>
              <w:rPr>
                <w:b/>
                <w:i w:val="0"/>
                <w:strike w:val="0"/>
                <w:color w:val="FFFFFF"/>
              </w:rPr>
              <w:t>What the firm enters</w:t>
            </w:r>
          </w:p>
        </w:tc>
        <w:tc>
          <w:tcPr>
            <w:tcW w:type="dxa" w:w="2880"/>
            <w:shd w:val="clear" w:fill="1F4E79"/>
          </w:tcPr>
          <w:p>
            <w:r>
              <w:rPr>
                <w:b/>
                <w:color w:val="FFFFFF"/>
              </w:rPr>
            </w:r>
            <w:r>
              <w:rPr>
                <w:b/>
                <w:i w:val="0"/>
                <w:strike w:val="0"/>
                <w:color w:val="FFFFFF"/>
              </w:rPr>
              <w:t>Why it matters</w:t>
            </w:r>
          </w:p>
        </w:tc>
      </w:tr>
      <w:tr>
        <w:tc>
          <w:tcPr>
            <w:tcW w:type="dxa" w:w="2880"/>
          </w:tcPr>
          <w:p>
            <w:r/>
            <w:r>
              <w:rPr>
                <w:b w:val="0"/>
                <w:i w:val="0"/>
                <w:strike w:val="0"/>
              </w:rPr>
              <w:t>Legal details</w:t>
            </w:r>
          </w:p>
        </w:tc>
        <w:tc>
          <w:tcPr>
            <w:tcW w:type="dxa" w:w="2880"/>
          </w:tcPr>
          <w:p>
            <w:r/>
            <w:r>
              <w:rPr>
                <w:b w:val="0"/>
                <w:i w:val="0"/>
                <w:strike w:val="0"/>
              </w:rPr>
              <w:t>Full legal name, registered address</w:t>
            </w:r>
          </w:p>
        </w:tc>
        <w:tc>
          <w:tcPr>
            <w:tcW w:type="dxa" w:w="2880"/>
          </w:tcPr>
          <w:p>
            <w:r/>
            <w:r>
              <w:rPr>
                <w:b w:val="0"/>
                <w:i w:val="0"/>
                <w:strike w:val="0"/>
              </w:rPr>
              <w:t>Used on every report the platform generates</w:t>
            </w:r>
          </w:p>
        </w:tc>
      </w:tr>
      <w:tr>
        <w:tc>
          <w:tcPr>
            <w:tcW w:type="dxa" w:w="2880"/>
          </w:tcPr>
          <w:p>
            <w:r/>
            <w:r>
              <w:rPr>
                <w:b w:val="0"/>
                <w:i w:val="0"/>
                <w:strike w:val="0"/>
              </w:rPr>
              <w:t>Regulator licence</w:t>
            </w:r>
          </w:p>
        </w:tc>
        <w:tc>
          <w:tcPr>
            <w:tcW w:type="dxa" w:w="2880"/>
          </w:tcPr>
          <w:p>
            <w:r/>
            <w:r>
              <w:rPr>
                <w:b w:val="0"/>
                <w:i w:val="0"/>
                <w:strike w:val="0"/>
              </w:rPr>
              <w:t>Licence number (typed in) and optionally the licence document itself (uploaded as a file)</w:t>
            </w:r>
          </w:p>
        </w:tc>
        <w:tc>
          <w:tcPr>
            <w:tcW w:type="dxa" w:w="2880"/>
          </w:tcPr>
          <w:p>
            <w:r/>
            <w:r>
              <w:rPr>
                <w:b w:val="0"/>
                <w:i w:val="0"/>
                <w:strike w:val="0"/>
              </w:rPr>
              <w:t>The licence number appears on report cover pages and triggers an annual licence review reminder</w:t>
            </w:r>
          </w:p>
        </w:tc>
      </w:tr>
      <w:tr>
        <w:tc>
          <w:tcPr>
            <w:tcW w:type="dxa" w:w="2880"/>
          </w:tcPr>
          <w:p>
            <w:r/>
            <w:r>
              <w:rPr>
                <w:b w:val="0"/>
                <w:i w:val="0"/>
                <w:strike w:val="0"/>
              </w:rPr>
              <w:t>Home jurisdiction</w:t>
            </w:r>
          </w:p>
        </w:tc>
        <w:tc>
          <w:tcPr>
            <w:tcW w:type="dxa" w:w="2880"/>
          </w:tcPr>
          <w:p>
            <w:r/>
            <w:r>
              <w:rPr>
                <w:b w:val="0"/>
                <w:i w:val="0"/>
                <w:strike w:val="0"/>
              </w:rPr>
              <w:t>Which EU country issued their CASP licence</w:t>
            </w:r>
          </w:p>
        </w:tc>
        <w:tc>
          <w:tcPr>
            <w:tcW w:type="dxa" w:w="2880"/>
          </w:tcPr>
          <w:p>
            <w:r/>
            <w:r>
              <w:rPr>
                <w:b w:val="0"/>
                <w:i w:val="0"/>
                <w:strike w:val="0"/>
              </w:rPr>
              <w:t>Determines which national regulator's rules apply on top of base MiCA</w:t>
            </w:r>
          </w:p>
        </w:tc>
      </w:tr>
      <w:tr>
        <w:tc>
          <w:tcPr>
            <w:tcW w:type="dxa" w:w="2880"/>
          </w:tcPr>
          <w:p>
            <w:r/>
            <w:r>
              <w:rPr>
                <w:b w:val="0"/>
                <w:i w:val="0"/>
                <w:strike w:val="0"/>
              </w:rPr>
              <w:t>Branch jurisdictions</w:t>
            </w:r>
          </w:p>
        </w:tc>
        <w:tc>
          <w:tcPr>
            <w:tcW w:type="dxa" w:w="2880"/>
          </w:tcPr>
          <w:p>
            <w:r/>
            <w:r>
              <w:rPr>
                <w:b w:val="0"/>
                <w:i w:val="0"/>
                <w:strike w:val="0"/>
              </w:rPr>
              <w:t>Any other EU countries where they have offices or operate</w:t>
            </w:r>
          </w:p>
        </w:tc>
        <w:tc>
          <w:tcPr>
            <w:tcW w:type="dxa" w:w="2880"/>
          </w:tcPr>
          <w:p>
            <w:r/>
            <w:r>
              <w:rPr>
                <w:b w:val="0"/>
                <w:i w:val="0"/>
                <w:strike w:val="0"/>
              </w:rPr>
              <w:t>Layers additional local rules on top of the base MiCA requirements</w:t>
            </w:r>
          </w:p>
        </w:tc>
      </w:tr>
      <w:tr>
        <w:tc>
          <w:tcPr>
            <w:tcW w:type="dxa" w:w="2880"/>
          </w:tcPr>
          <w:p>
            <w:r/>
            <w:r>
              <w:rPr>
                <w:b w:val="0"/>
                <w:i w:val="0"/>
                <w:strike w:val="0"/>
              </w:rPr>
              <w:t>Revenue source file</w:t>
            </w:r>
          </w:p>
        </w:tc>
        <w:tc>
          <w:tcPr>
            <w:tcW w:type="dxa" w:w="2880"/>
          </w:tcPr>
          <w:p>
            <w:r/>
            <w:r>
              <w:rPr>
                <w:b w:val="0"/>
                <w:i w:val="0"/>
                <w:strike w:val="0"/>
              </w:rPr>
              <w:t>An Excel file using the platform's template, showing the firm's revenue by business line</w:t>
            </w:r>
          </w:p>
        </w:tc>
        <w:tc>
          <w:tcPr>
            <w:tcW w:type="dxa" w:w="2880"/>
          </w:tcPr>
          <w:p>
            <w:r/>
            <w:r>
              <w:rPr>
                <w:b w:val="0"/>
                <w:i w:val="0"/>
                <w:strike w:val="0"/>
              </w:rPr>
              <w:t>This is how the platform determines which CASP service lines the firm operates — which in turn determines which tests they need to run</w:t>
            </w:r>
          </w:p>
        </w:tc>
      </w:tr>
      <w:tr>
        <w:tc>
          <w:tcPr>
            <w:tcW w:type="dxa" w:w="2880"/>
          </w:tcPr>
          <w:p>
            <w:r/>
            <w:r>
              <w:rPr>
                <w:b/>
                <w:i/>
                <w:strike w:val="0"/>
                <w:color w:val="7030A0"/>
              </w:rPr>
              <w:t>Financial reports</w:t>
            </w:r>
            <w:r>
              <w:rPr>
                <w:b w:val="0"/>
                <w:i w:val="0"/>
                <w:strike w:val="0"/>
              </w:rPr>
              <w:t xml:space="preserve"> </w:t>
            </w:r>
            <w:r>
              <w:rPr>
                <w:b w:val="0"/>
                <w:i/>
                <w:strike w:val="0"/>
                <w:color w:val="7030A0"/>
                <w:sz w:val="16"/>
              </w:rPr>
              <w:t xml:space="preserve"> [Aug 2026 client MOM]</w:t>
            </w:r>
          </w:p>
        </w:tc>
        <w:tc>
          <w:tcPr>
            <w:tcW w:type="dxa" w:w="2880"/>
          </w:tcPr>
          <w:p>
            <w:r/>
            <w:r>
              <w:rPr>
                <w:b/>
                <w:i/>
                <w:strike w:val="0"/>
                <w:color w:val="7030A0"/>
              </w:rPr>
              <w:t>The firm's financial statements / regulatory financial reports, uploaded as files</w:t>
            </w:r>
            <w:r>
              <w:rPr>
                <w:b w:val="0"/>
                <w:i w:val="0"/>
                <w:strike w:val="0"/>
              </w:rPr>
              <w:t xml:space="preserve"> </w:t>
            </w:r>
            <w:r>
              <w:rPr>
                <w:b w:val="0"/>
                <w:i/>
                <w:strike w:val="0"/>
                <w:color w:val="7030A0"/>
                <w:sz w:val="16"/>
              </w:rPr>
              <w:t xml:space="preserve"> [Aug 2026 client MOM]</w:t>
            </w:r>
          </w:p>
        </w:tc>
        <w:tc>
          <w:tcPr>
            <w:tcW w:type="dxa" w:w="2880"/>
          </w:tcPr>
          <w:p>
            <w:r/>
            <w:r>
              <w:rPr>
                <w:b/>
                <w:i/>
                <w:strike w:val="0"/>
                <w:color w:val="7030A0"/>
              </w:rPr>
              <w:t>NEW in v5.0: the platform reads these to help identify the firm's service lines automatically, alongside the revenue template. See FR-92.</w:t>
            </w:r>
            <w:r>
              <w:rPr>
                <w:b w:val="0"/>
                <w:i w:val="0"/>
                <w:strike w:val="0"/>
              </w:rPr>
              <w:t xml:space="preserve"> </w:t>
            </w:r>
            <w:r>
              <w:rPr>
                <w:b w:val="0"/>
                <w:i/>
                <w:strike w:val="0"/>
                <w:color w:val="7030A0"/>
                <w:sz w:val="16"/>
              </w:rPr>
              <w:t xml:space="preserve"> [Aug 2026 client MOM]</w:t>
            </w:r>
          </w:p>
        </w:tc>
      </w:tr>
      <w:tr>
        <w:tc>
          <w:tcPr>
            <w:tcW w:type="dxa" w:w="2880"/>
          </w:tcPr>
          <w:p>
            <w:r/>
            <w:r>
              <w:rPr>
                <w:b w:val="0"/>
                <w:i w:val="0"/>
                <w:strike w:val="0"/>
              </w:rPr>
              <w:t>Service line confirmation</w:t>
            </w:r>
          </w:p>
        </w:tc>
        <w:tc>
          <w:tcPr>
            <w:tcW w:type="dxa" w:w="2880"/>
          </w:tcPr>
          <w:p>
            <w:r/>
            <w:r>
              <w:rPr>
                <w:b w:val="0"/>
                <w:i w:val="0"/>
                <w:strike w:val="0"/>
              </w:rPr>
              <w:t>A review screen showing the service lines the platform derived from the revenue file</w:t>
            </w:r>
          </w:p>
        </w:tc>
        <w:tc>
          <w:tcPr>
            <w:tcW w:type="dxa" w:w="2880"/>
          </w:tcPr>
          <w:p>
            <w:r/>
            <w:r>
              <w:rPr>
                <w:b w:val="0"/>
                <w:i w:val="0"/>
                <w:strike w:val="0"/>
              </w:rPr>
              <w:t>The CCO confirms the derived service lines before tests are loaded</w:t>
            </w:r>
          </w:p>
        </w:tc>
      </w:tr>
      <w:tr>
        <w:tc>
          <w:tcPr>
            <w:tcW w:type="dxa" w:w="2880"/>
          </w:tcPr>
          <w:p>
            <w:r/>
            <w:r>
              <w:rPr>
                <w:b w:val="0"/>
                <w:i w:val="0"/>
                <w:strike w:val="0"/>
              </w:rPr>
              <w:t>Client base</w:t>
            </w:r>
          </w:p>
        </w:tc>
        <w:tc>
          <w:tcPr>
            <w:tcW w:type="dxa" w:w="2880"/>
          </w:tcPr>
          <w:p>
            <w:r/>
            <w:r>
              <w:rPr>
                <w:b w:val="0"/>
                <w:i w:val="0"/>
                <w:strike w:val="0"/>
              </w:rPr>
              <w:t>Whether the firm serves retail clients, institutional clients, or both</w:t>
            </w:r>
          </w:p>
        </w:tc>
        <w:tc>
          <w:tcPr>
            <w:tcW w:type="dxa" w:w="2880"/>
          </w:tcPr>
          <w:p>
            <w:r/>
            <w:r>
              <w:rPr>
                <w:b w:val="0"/>
                <w:i w:val="0"/>
                <w:strike w:val="0"/>
              </w:rPr>
              <w:t>Relevant to the suitability and appropriateness tests and the AML risk approach</w:t>
            </w:r>
          </w:p>
        </w:tc>
      </w:tr>
      <w:tr>
        <w:tc>
          <w:tcPr>
            <w:tcW w:type="dxa" w:w="2880"/>
          </w:tcPr>
          <w:p>
            <w:r/>
            <w:r>
              <w:rPr>
                <w:b/>
                <w:i/>
                <w:strike w:val="0"/>
                <w:color w:val="843C0C"/>
              </w:rPr>
              <w:t>Staff, reporting lines and call tree</w:t>
            </w:r>
            <w:r>
              <w:rPr>
                <w:b w:val="0"/>
                <w:i w:val="0"/>
                <w:strike w:val="0"/>
              </w:rPr>
              <w:t xml:space="preserve"> </w:t>
            </w:r>
            <w:r>
              <w:rPr>
                <w:b w:val="0"/>
                <w:i/>
                <w:strike w:val="0"/>
                <w:color w:val="843C0C"/>
                <w:sz w:val="16"/>
              </w:rPr>
              <w:t xml:space="preserve"> [Aug 2026 onboarding flow]</w:t>
            </w:r>
          </w:p>
        </w:tc>
        <w:tc>
          <w:tcPr>
            <w:tcW w:type="dxa" w:w="2880"/>
          </w:tcPr>
          <w:p>
            <w:r/>
            <w:r>
              <w:rPr>
                <w:b/>
                <w:i/>
                <w:strike w:val="0"/>
                <w:color w:val="843C0C"/>
              </w:rPr>
              <w:t>The firm's people, who reports to whom, and each person's next contact in the business continuity call tree — by spreadsheet upload only (manual entry removed in v8.0, see FR-62)</w:t>
            </w:r>
            <w:r>
              <w:rPr>
                <w:b w:val="0"/>
                <w:i w:val="0"/>
                <w:strike w:val="0"/>
              </w:rPr>
              <w:t xml:space="preserve"> </w:t>
            </w:r>
            <w:r>
              <w:rPr>
                <w:b w:val="0"/>
                <w:i/>
                <w:strike w:val="0"/>
                <w:color w:val="843C0C"/>
                <w:sz w:val="16"/>
              </w:rPr>
              <w:t xml:space="preserve"> [Aug 2026 onboarding flow]</w:t>
            </w:r>
            <w:r>
              <w:rPr>
                <w:b w:val="0"/>
                <w:i w:val="0"/>
                <w:strike w:val="0"/>
              </w:rPr>
              <w:t xml:space="preserve"> </w:t>
            </w:r>
            <w:r>
              <w:rPr>
                <w:b w:val="0"/>
                <w:i/>
                <w:strike w:val="0"/>
                <w:color w:val="CC00CC"/>
                <w:sz w:val="16"/>
              </w:rPr>
              <w:t xml:space="preserve"> [14 Aug 2026 MOM]</w:t>
            </w:r>
          </w:p>
        </w:tc>
        <w:tc>
          <w:tcPr>
            <w:tcW w:type="dxa" w:w="2880"/>
          </w:tcPr>
          <w:p>
            <w:r/>
            <w:r>
              <w:rPr>
                <w:b/>
                <w:i/>
                <w:strike w:val="0"/>
                <w:color w:val="843C0C"/>
              </w:rPr>
              <w:t>NEW in v7.0: the org chart and call tree are built during onboarding, not after. The platform reviews them for gaps in the same step. Tests are tagged to business owners drawn from these records (FR-82), so testing cannot start without them. See 5.6.</w:t>
            </w:r>
            <w:r>
              <w:rPr>
                <w:b w:val="0"/>
                <w:i w:val="0"/>
                <w:strike w:val="0"/>
              </w:rPr>
              <w:t xml:space="preserve"> </w:t>
            </w:r>
            <w:r>
              <w:rPr>
                <w:b w:val="0"/>
                <w:i/>
                <w:strike w:val="0"/>
                <w:color w:val="843C0C"/>
                <w:sz w:val="16"/>
              </w:rPr>
              <w:t xml:space="preserve"> [Aug 2026 onboarding flow]</w:t>
            </w:r>
          </w:p>
        </w:tc>
      </w:tr>
      <w:tr>
        <w:tc>
          <w:tcPr>
            <w:tcW w:type="dxa" w:w="2880"/>
          </w:tcPr>
          <w:p>
            <w:r/>
            <w:r>
              <w:rPr>
                <w:b/>
                <w:i/>
                <w:strike w:val="0"/>
                <w:color w:val="843C0C"/>
              </w:rPr>
              <w:t>Second administrator</w:t>
            </w:r>
            <w:r>
              <w:rPr>
                <w:b w:val="0"/>
                <w:i w:val="0"/>
                <w:strike w:val="0"/>
              </w:rPr>
              <w:t xml:space="preserve"> </w:t>
            </w:r>
            <w:r>
              <w:rPr>
                <w:b w:val="0"/>
                <w:i/>
                <w:strike w:val="0"/>
                <w:color w:val="843C0C"/>
                <w:sz w:val="16"/>
              </w:rPr>
              <w:t xml:space="preserve"> [Aug 2026 onboarding flow]</w:t>
            </w:r>
          </w:p>
        </w:tc>
        <w:tc>
          <w:tcPr>
            <w:tcW w:type="dxa" w:w="2880"/>
          </w:tcPr>
          <w:p>
            <w:r/>
            <w:r>
              <w:rPr>
                <w:b/>
                <w:i/>
                <w:strike w:val="0"/>
                <w:color w:val="843C0C"/>
              </w:rPr>
              <w:t>An invitation to a second Firm Super Admin</w:t>
            </w:r>
            <w:r>
              <w:rPr>
                <w:b w:val="0"/>
                <w:i w:val="0"/>
                <w:strike w:val="0"/>
              </w:rPr>
              <w:t xml:space="preserve"> </w:t>
            </w:r>
            <w:r>
              <w:rPr>
                <w:b w:val="0"/>
                <w:i/>
                <w:strike w:val="0"/>
                <w:color w:val="843C0C"/>
                <w:sz w:val="16"/>
              </w:rPr>
              <w:t xml:space="preserve"> [Aug 2026 onboarding flow]</w:t>
            </w:r>
          </w:p>
        </w:tc>
        <w:tc>
          <w:tcPr>
            <w:tcW w:type="dxa" w:w="2880"/>
          </w:tcPr>
          <w:p>
            <w:r/>
            <w:r>
              <w:rPr>
                <w:b/>
                <w:i/>
                <w:strike w:val="0"/>
                <w:color w:val="843C0C"/>
              </w:rPr>
              <w:t>NEW in v7.0: FR-15 requires at least two. Collected here so the requirement is satisfied before first login rather than warned about afterwards. See FR-117.</w:t>
            </w:r>
            <w:r>
              <w:rPr>
                <w:b w:val="0"/>
                <w:i w:val="0"/>
                <w:strike w:val="0"/>
              </w:rPr>
              <w:t xml:space="preserve"> </w:t>
            </w:r>
            <w:r>
              <w:rPr>
                <w:b w:val="0"/>
                <w:i/>
                <w:strike w:val="0"/>
                <w:color w:val="843C0C"/>
                <w:sz w:val="16"/>
              </w:rPr>
              <w:t xml:space="preserve"> [Aug 2026 onboarding flow]</w:t>
            </w:r>
          </w:p>
        </w:tc>
      </w:tr>
    </w:tbl>
    <w:tbl>
      <w:tblPr>
        <w:tblStyle w:val="TableGrid"/>
        <w:tblW w:type="auto" w:w="0"/>
        <w:tblLook w:firstColumn="1" w:firstRow="1" w:lastColumn="0" w:lastRow="0" w:noHBand="0" w:noVBand="1" w:val="04A0"/>
      </w:tblPr>
      <w:tblGrid>
        <w:gridCol w:w="8640"/>
      </w:tblGrid>
      <w:tr>
        <w:tc>
          <w:tcPr>
            <w:tcW w:type="dxa" w:w="8640"/>
            <w:shd w:val="clear" w:fill="DDEBF7"/>
          </w:tcPr>
          <w:p>
            <w:r>
              <w:rPr>
                <w:b/>
                <w:i w:val="0"/>
                <w:strike w:val="0"/>
              </w:rPr>
              <w:t>📌 Note</w:t>
            </w:r>
          </w:p>
          <w:p>
            <w:pPr>
              <w:pStyle w:val="ListBullet"/>
            </w:pPr>
            <w:r>
              <w:rPr>
                <w:b w:val="0"/>
                <w:i w:val="0"/>
                <w:strike w:val="0"/>
              </w:rPr>
              <w:t>The firm does not manually tick a list of service lines. The platform reads the revenue source Excel file they upload and works out the service lines from that. The firm then confirms the result looks correct.</w:t>
            </w:r>
          </w:p>
          <w:p>
            <w:pPr>
              <w:pStyle w:val="ListBullet"/>
            </w:pPr>
            <w:r>
              <w:rPr>
                <w:b w:val="0"/>
                <w:i w:val="0"/>
                <w:strike w:val="0"/>
              </w:rPr>
              <w:t>This revenue file is the platform's template — found in the onboarding section. The firm fills it in and uploads it. They can re-upload it any time their business changes.</w:t>
            </w:r>
          </w:p>
          <w:p>
            <w:pPr>
              <w:pStyle w:val="ListBullet"/>
            </w:pPr>
            <w:r>
              <w:rPr>
                <w:b w:val="0"/>
                <w:i w:val="0"/>
                <w:strike w:val="0"/>
              </w:rPr>
              <w:t>If a firm adds a new service line later (for example, they start offering portfolio management), they upload a new revenue file. The platform detects the new service line and automatically loads the additional tests that come with it.</w:t>
            </w:r>
          </w:p>
          <w:p>
            <w:pPr>
              <w:pStyle w:val="ListBullet"/>
            </w:pPr>
            <w:r>
              <w:rPr>
                <w:b/>
                <w:i/>
                <w:strike w:val="0"/>
                <w:color w:val="1155CC"/>
              </w:rPr>
              <w:t>Service line list source: the DORA A–H activity list is maintained centrally at Super Admin level, is the same across every EU jurisdiction (one EU rule, not state-specific), and can be extended later as SayOne scales beyond crypto (e.g. non-crypto broker-dealers). Selection can't be fully automated 1:1 from the revenue file — a single revenue line can span two service lines — so the firm still confirms manually, guided by an informational pop-up ("what does your licence say?"). Sosinna is sourcing a sample regulatory line-item report (the EU equivalent of a US Form 1040) for the dev team to model the revenue template against.</w:t>
            </w:r>
            <w:r>
              <w:rPr>
                <w:b w:val="0"/>
                <w:i w:val="0"/>
                <w:strike w:val="0"/>
              </w:rPr>
              <w:t xml:space="preserve"> </w:t>
            </w:r>
            <w:r>
              <w:rPr>
                <w:b w:val="0"/>
                <w:i/>
                <w:strike w:val="0"/>
                <w:color w:val="1155CC"/>
                <w:sz w:val="16"/>
              </w:rPr>
              <w:t xml:space="preserve"> [25 Jun FRD call]</w:t>
            </w:r>
          </w:p>
          <w:p>
            <w:pPr>
              <w:pStyle w:val="ListBullet"/>
            </w:pPr>
            <w:r>
              <w:rPr>
                <w:b/>
                <w:i/>
                <w:strike w:val="0"/>
                <w:color w:val="1155CC"/>
              </w:rPr>
              <w:t>Multi-jurisdiction handling: for MVP, testing runs at the entity holding the EU licence (headquarters) — branch-level testing is not required for EU-only branches. The architecture should be built to eventually ingest non-EU rule sets (e.g. UK post-Brexit, or non-EU sectors entirely), but this must not be exposed in the UI for MVP — it's a later-phase toggle.</w:t>
            </w:r>
            <w:r>
              <w:rPr>
                <w:b w:val="0"/>
                <w:i w:val="0"/>
                <w:strike w:val="0"/>
              </w:rPr>
              <w:t xml:space="preserve"> </w:t>
            </w:r>
            <w:r>
              <w:rPr>
                <w:b w:val="0"/>
                <w:i/>
                <w:strike w:val="0"/>
                <w:color w:val="1155CC"/>
                <w:sz w:val="16"/>
              </w:rPr>
              <w:t xml:space="preserve"> [25 Jun FRD call]</w:t>
            </w:r>
          </w:p>
        </w:tc>
      </w:tr>
    </w:tbl>
    <w:p>
      <w:r>
        <w:rPr>
          <w:b/>
          <w:i w:val="0"/>
          <w:strike w:val="0"/>
          <w:color w:val="1155CC"/>
        </w:rPr>
        <w:t>[FR-01]</w:t>
      </w:r>
      <w:r>
        <w:rPr>
          <w:b w:val="0"/>
          <w:i w:val="0"/>
          <w:strike w:val="0"/>
        </w:rPr>
        <w:t xml:space="preserve"> Firm registration captures: legal name, registered address, home jurisdiction, and licence details.</w:t>
      </w:r>
    </w:p>
    <w:p>
      <w:r>
        <w:rPr>
          <w:b/>
          <w:i w:val="0"/>
          <w:strike w:val="0"/>
          <w:color w:val="1155CC"/>
        </w:rPr>
        <w:t>[FR-02]</w:t>
      </w:r>
      <w:r>
        <w:rPr>
          <w:b w:val="0"/>
          <w:i w:val="0"/>
          <w:strike w:val="0"/>
        </w:rPr>
        <w:t xml:space="preserve"> NCA licence is captured as both a typed licence number and an optional uploaded PDF of the licence document itself.</w:t>
      </w:r>
    </w:p>
    <w:p>
      <w:r>
        <w:rPr>
          <w:b/>
          <w:i w:val="0"/>
          <w:strike w:val="0"/>
          <w:color w:val="1155CC"/>
        </w:rPr>
        <w:t>[FR-03]</w:t>
      </w:r>
      <w:r>
        <w:rPr>
          <w:b w:val="0"/>
          <w:i w:val="0"/>
          <w:strike w:val="0"/>
        </w:rPr>
        <w:t xml:space="preserve"> Home jurisdiction and branch jurisdictions are both captured during setup.</w:t>
      </w:r>
    </w:p>
    <w:p>
      <w:r>
        <w:rPr>
          <w:b/>
          <w:i w:val="0"/>
          <w:strike w:val="0"/>
          <w:color w:val="1155CC"/>
        </w:rPr>
        <w:t>[FR-04]</w:t>
      </w:r>
      <w:r>
        <w:rPr>
          <w:b w:val="0"/>
          <w:i w:val="0"/>
          <w:strike w:val="0"/>
        </w:rPr>
        <w:t xml:space="preserve"> The firm uploads their revenue source Excel file using the platform's template. The platform reads it to identify active service lines. </w:t>
      </w:r>
      <w:r>
        <w:rPr>
          <w:b/>
          <w:i w:val="0"/>
          <w:strike w:val="0"/>
        </w:rPr>
        <w:t>💬 Sosinna's comment:</w:t>
      </w:r>
      <w:r>
        <w:rPr>
          <w:b w:val="0"/>
          <w:i w:val="0"/>
          <w:strike w:val="0"/>
        </w:rPr>
        <w:t xml:space="preserve"> </w:t>
      </w:r>
      <w:r>
        <w:rPr>
          <w:b w:val="0"/>
          <w:i/>
          <w:strike w:val="0"/>
          <w:color w:val="C55A11"/>
        </w:rPr>
        <w:t>The onboarding process is what determines which rules and tests apply — a wallet-custody-only firm gets a much smaller test set than a full trading platform serving retail and institutional clients. Getting this mapping accurate is a governance priority, not just a convenience feature.</w:t>
      </w:r>
      <w:r>
        <w:rPr>
          <w:b w:val="0"/>
          <w:i w:val="0"/>
          <w:strike w:val="0"/>
        </w:rPr>
        <w:t xml:space="preserve"> </w:t>
      </w:r>
      <w:r>
        <w:rPr>
          <w:b w:val="0"/>
          <w:i/>
          <w:strike w:val="0"/>
          <w:color w:val="C55A11"/>
          <w:sz w:val="16"/>
        </w:rPr>
        <w:t xml:space="preserve"> [Sosinna's Drive comment]</w:t>
      </w:r>
    </w:p>
    <w:p>
      <w:r>
        <w:rPr>
          <w:b/>
          <w:i w:val="0"/>
          <w:strike w:val="0"/>
          <w:color w:val="1155CC"/>
        </w:rPr>
        <w:t>[FR-05]</w:t>
      </w:r>
      <w:r>
        <w:rPr>
          <w:b w:val="0"/>
          <w:i w:val="0"/>
          <w:strike w:val="0"/>
        </w:rPr>
        <w:t xml:space="preserve"> After processing the revenue file, the platform shows the CCO the derived service lines for confirmation. If something looks wrong, they re-upload a corrected file.</w:t>
      </w:r>
    </w:p>
    <w:p>
      <w:r>
        <w:rPr>
          <w:b/>
          <w:i w:val="0"/>
          <w:strike w:val="0"/>
          <w:color w:val="1155CC"/>
        </w:rPr>
        <w:t>[FR-06]</w:t>
      </w:r>
      <w:r>
        <w:rPr>
          <w:b w:val="0"/>
          <w:i w:val="0"/>
          <w:strike w:val="0"/>
        </w:rPr>
        <w:t xml:space="preserve"> Client base composition (Retail / Institutional / both) is captured.</w:t>
      </w:r>
    </w:p>
    <w:p>
      <w:r>
        <w:rPr>
          <w:b/>
          <w:i w:val="0"/>
          <w:strike w:val="0"/>
          <w:color w:val="1155CC"/>
        </w:rPr>
        <w:t>[FR-07]</w:t>
      </w:r>
      <w:r>
        <w:rPr>
          <w:b w:val="0"/>
          <w:i w:val="0"/>
          <w:strike w:val="0"/>
        </w:rPr>
        <w:t xml:space="preserve"> The platform automatically loads the correct Requirement IDs and testing schedule based on the confirmed service lines.</w:t>
      </w:r>
    </w:p>
    <w:p>
      <w:r>
        <w:rPr>
          <w:b/>
          <w:i w:val="0"/>
          <w:strike w:val="0"/>
          <w:color w:val="1155CC"/>
        </w:rPr>
        <w:t>[FR-08]</w:t>
      </w:r>
      <w:r>
        <w:rPr>
          <w:b w:val="0"/>
          <w:i w:val="0"/>
          <w:strike w:val="0"/>
        </w:rPr>
        <w:t xml:space="preserve"> The firm can update their profile at any time — for example, after a business change. Uploading a new revenue file triggers a recalculation of applicable tests.</w:t>
      </w:r>
    </w:p>
    <w:p>
      <w:r>
        <w:rPr>
          <w:b/>
          <w:i w:val="0"/>
          <w:strike w:val="0"/>
          <w:color w:val="1155CC"/>
        </w:rPr>
        <w:t>[FR-92]</w:t>
      </w:r>
      <w:r>
        <w:rPr>
          <w:b w:val="0"/>
          <w:i w:val="0"/>
          <w:strike w:val="0"/>
        </w:rPr>
        <w:t xml:space="preserve"> </w:t>
      </w:r>
      <w:r>
        <w:rPr>
          <w:b/>
          <w:i/>
          <w:strike w:val="0"/>
          <w:color w:val="7030A0"/>
        </w:rPr>
        <w:t>NEW in v5.0 — the onboarding wizard collects the firm's financial reports (statements or regulatory financial filings) as part of setup, and the platform uses them to derive the firm's service lines automatically. The financial reports are an additional input to the same derivation that FR-04 runs on the revenue template — they are not a replacement for it. The derived service lines are still presented to the CCO for manual confirmation under FR-05, because the 25 Jun call established that a single revenue line can span two service lines and cannot be mapped 1:1 by machine.</w:t>
      </w:r>
      <w:r>
        <w:rPr>
          <w:b w:val="0"/>
          <w:i w:val="0"/>
          <w:strike w:val="0"/>
        </w:rPr>
        <w:t xml:space="preserve"> </w:t>
      </w:r>
      <w:r>
        <w:rPr>
          <w:b w:val="0"/>
          <w:i/>
          <w:strike w:val="0"/>
          <w:color w:val="7030A0"/>
          <w:sz w:val="16"/>
        </w:rPr>
        <w:t xml:space="preserve"> [Aug 2026 client MOM]</w:t>
      </w:r>
    </w:p>
    <w:p>
      <w:r>
        <w:rPr>
          <w:b/>
          <w:i w:val="0"/>
          <w:strike w:val="0"/>
          <w:color w:val="1155CC"/>
        </w:rPr>
        <w:t>[FR-93]</w:t>
      </w:r>
      <w:r>
        <w:rPr>
          <w:b w:val="0"/>
          <w:i w:val="0"/>
          <w:strike w:val="0"/>
        </w:rPr>
        <w:t xml:space="preserve"> </w:t>
      </w:r>
      <w:r>
        <w:rPr>
          <w:b/>
          <w:i/>
          <w:strike w:val="0"/>
          <w:color w:val="7030A0"/>
        </w:rPr>
        <w:t>Where the financial reports and the revenue template imply different service lines, the platform shows both derivations side by side on the FR-05 confirmation screen and flags the discrepancy. The CCO resolves it; the resolution and its rationale are recorded.</w:t>
      </w:r>
      <w:r>
        <w:rPr>
          <w:b w:val="0"/>
          <w:i w:val="0"/>
          <w:strike w:val="0"/>
        </w:rPr>
        <w:t xml:space="preserve"> </w:t>
      </w:r>
      <w:r>
        <w:rPr>
          <w:b w:val="0"/>
          <w:i/>
          <w:strike w:val="0"/>
          <w:color w:val="7030A0"/>
          <w:sz w:val="16"/>
        </w:rPr>
        <w:t xml:space="preserve"> [Aug 2026 client MOM]</w:t>
      </w:r>
    </w:p>
    <w:p>
      <w:r>
        <w:rPr>
          <w:b/>
          <w:i w:val="0"/>
          <w:strike w:val="0"/>
          <w:color w:val="1155CC"/>
        </w:rPr>
        <w:t>[FR-104]</w:t>
      </w:r>
      <w:r>
        <w:rPr>
          <w:b w:val="0"/>
          <w:i w:val="0"/>
          <w:strike w:val="0"/>
        </w:rPr>
        <w:t xml:space="preserve"> </w:t>
      </w:r>
      <w:r>
        <w:rPr>
          <w:b/>
          <w:i/>
          <w:strike w:val="0"/>
          <w:color w:val="008080"/>
        </w:rPr>
        <w:t xml:space="preserve">The onboarding flow is a step-by-step wizard whose output is the firm's regulatory perimeter, not only its service lines: from the firm details and the uploaded financial reports the platform determines both the applicable </w:t>
      </w:r>
      <w:r>
        <w:rPr>
          <w:b/>
          <w:i/>
          <w:strike w:val="0"/>
          <w:color w:val="008080"/>
        </w:rPr>
        <w:t>service lines</w:t>
      </w:r>
      <w:r>
        <w:rPr>
          <w:b/>
          <w:i/>
          <w:strike w:val="0"/>
          <w:color w:val="008080"/>
        </w:rPr>
        <w:t xml:space="preserve"> and the </w:t>
      </w:r>
      <w:r>
        <w:rPr>
          <w:b/>
          <w:i/>
          <w:strike w:val="0"/>
          <w:color w:val="008080"/>
        </w:rPr>
        <w:t>applicable regulations</w:t>
      </w:r>
      <w:r>
        <w:rPr>
          <w:b/>
          <w:i/>
          <w:strike w:val="0"/>
          <w:color w:val="008080"/>
        </w:rPr>
        <w:t xml:space="preserve"> — which of the regulations published under Section 4.5 the firm is subject to, and therefore which Requirement IDs load under FR-07. The regulation set is presented on the same FR-05 confirmation screen as the service lines and is confirmed by the CCO in the same step.</w:t>
      </w:r>
      <w:r>
        <w:rPr>
          <w:b w:val="0"/>
          <w:i w:val="0"/>
          <w:strike w:val="0"/>
        </w:rPr>
        <w:t xml:space="preserve"> </w:t>
      </w:r>
      <w:r>
        <w:rPr>
          <w:b w:val="0"/>
          <w:i/>
          <w:strike w:val="0"/>
          <w:color w:val="008080"/>
          <w:sz w:val="16"/>
        </w:rPr>
        <w:t xml:space="preserve"> [11 Aug 2026 MOM]</w:t>
      </w:r>
    </w:p>
    <w:tbl>
      <w:tblPr>
        <w:tblStyle w:val="TableGrid"/>
        <w:tblW w:type="auto" w:w="0"/>
        <w:tblLook w:firstColumn="1" w:firstRow="1" w:lastColumn="0" w:lastRow="0" w:noHBand="0" w:noVBand="1" w:val="04A0"/>
      </w:tblPr>
      <w:tblGrid>
        <w:gridCol w:w="8640"/>
      </w:tblGrid>
      <w:tr>
        <w:tc>
          <w:tcPr>
            <w:tcW w:type="dxa" w:w="8640"/>
            <w:shd w:val="clear" w:fill="EDEDED"/>
          </w:tcPr>
          <w:p>
            <w:r>
              <w:rPr>
                <w:b/>
                <w:i w:val="0"/>
                <w:strike w:val="0"/>
              </w:rPr>
              <w:t>DEVELOPER NOTE</w:t>
            </w:r>
            <w:r>
              <w:rPr>
                <w:b w:val="0"/>
                <w:i w:val="0"/>
                <w:strike w:val="0"/>
              </w:rPr>
              <w:t xml:space="preserve"> </w:t>
            </w:r>
            <w:r>
              <w:rPr>
                <w:b w:val="0"/>
                <w:i/>
                <w:strike w:val="0"/>
              </w:rPr>
              <w:t>(grey — new in v6.0)</w:t>
            </w:r>
          </w:p>
          <w:p>
            <w:r>
              <w:rPr>
                <w:b/>
                <w:i w:val="0"/>
                <w:strike w:val="0"/>
              </w:rPr>
              <w:t>📌 Note</w:t>
            </w:r>
          </w:p>
          <w:p>
            <w:pPr>
              <w:pStyle w:val="ListBullet"/>
            </w:pPr>
            <w:r>
              <w:rPr>
                <w:b/>
                <w:i/>
                <w:strike w:val="0"/>
                <w:color w:val="008080"/>
              </w:rPr>
              <w:t>FR-104 is not a new derivation engine. Service line → Requirement ID mapping already exists in SA-07, and every Requirement ID already carries its regulation. The new part is presenting the regulation set explicitly as a confirmed onboarding output rather than leaving it implicit in the loaded test list — a firm needs to be told "you are in scope for MiCA and DORA" in words, at onboarding.</w:t>
            </w:r>
            <w:r>
              <w:rPr>
                <w:b w:val="0"/>
                <w:i w:val="0"/>
                <w:strike w:val="0"/>
              </w:rPr>
              <w:t xml:space="preserve"> </w:t>
            </w:r>
            <w:r>
              <w:rPr>
                <w:b w:val="0"/>
                <w:i/>
                <w:strike w:val="0"/>
                <w:color w:val="008080"/>
                <w:sz w:val="16"/>
              </w:rPr>
              <w:t xml:space="preserve"> [11 Aug 2026 MOM]</w:t>
            </w:r>
          </w:p>
          <w:p>
            <w:pPr>
              <w:pStyle w:val="ListBullet"/>
            </w:pPr>
            <w:r>
              <w:rPr>
                <w:b/>
                <w:i/>
                <w:strike w:val="0"/>
                <w:color w:val="008080"/>
              </w:rPr>
              <w:t>For MVP the published regulation set is MiCA and DORA only, so the derived set will be one or both. The requirement is written generically because Section 4.5 makes the regulation library extensible.</w:t>
            </w:r>
            <w:r>
              <w:rPr>
                <w:b w:val="0"/>
                <w:i w:val="0"/>
                <w:strike w:val="0"/>
              </w:rPr>
              <w:t xml:space="preserve"> </w:t>
            </w:r>
            <w:r>
              <w:rPr>
                <w:b w:val="0"/>
                <w:i/>
                <w:strike w:val="0"/>
                <w:color w:val="008080"/>
                <w:sz w:val="16"/>
              </w:rPr>
              <w:t xml:space="preserve"> [11 Aug 2026 MOM]</w:t>
            </w:r>
          </w:p>
        </w:tc>
      </w:tr>
    </w:tbl>
    <w:tbl>
      <w:tblPr>
        <w:tblStyle w:val="TableGrid"/>
        <w:tblW w:type="auto" w:w="0"/>
        <w:tblLook w:firstColumn="1" w:firstRow="1" w:lastColumn="0" w:lastRow="0" w:noHBand="0" w:noVBand="1" w:val="04A0"/>
      </w:tblPr>
      <w:tblGrid>
        <w:gridCol w:w="8640"/>
      </w:tblGrid>
      <w:tr>
        <w:tc>
          <w:tcPr>
            <w:tcW w:type="dxa" w:w="8640"/>
            <w:shd w:val="clear" w:fill="EDEDED"/>
          </w:tcPr>
          <w:p>
            <w:r>
              <w:rPr>
                <w:b/>
                <w:i w:val="0"/>
                <w:strike w:val="0"/>
              </w:rPr>
              <w:t>DEVELOPER NOTE</w:t>
            </w:r>
            <w:r>
              <w:rPr>
                <w:b w:val="0"/>
                <w:i w:val="0"/>
                <w:strike w:val="0"/>
              </w:rPr>
              <w:t xml:space="preserve"> </w:t>
            </w:r>
            <w:r>
              <w:rPr>
                <w:b w:val="0"/>
                <w:i/>
                <w:strike w:val="0"/>
              </w:rPr>
              <w:t>(grey — new in v5.0)</w:t>
            </w:r>
          </w:p>
          <w:p>
            <w:r>
              <w:rPr>
                <w:b/>
                <w:i w:val="0"/>
                <w:strike w:val="0"/>
              </w:rPr>
              <w:t>📌 Note</w:t>
            </w:r>
          </w:p>
          <w:p>
            <w:pPr>
              <w:pStyle w:val="ListBullet"/>
            </w:pPr>
            <w:r>
              <w:rPr>
                <w:b/>
                <w:i/>
                <w:strike w:val="0"/>
                <w:color w:val="7030A0"/>
              </w:rPr>
              <w:t>FR-92 raises an unresolved dependency: financial reports arrive in whatever format the firm's accountants produce (PDF statements, XBRL filings, spreadsheets). Automatic derivation from a free-form PDF is a materially different problem from reading a fixed Excel template. Sosinna was already sourcing a sample regulatory line-item report (the EU equivalent of a US Form 1040) after the 25 Jun call — that sample is now a hard prerequisite for scoping FR-92, not a nice-to-have. Logged as FO-09 in Section 15.</w:t>
            </w:r>
            <w:r>
              <w:rPr>
                <w:b w:val="0"/>
                <w:i w:val="0"/>
                <w:strike w:val="0"/>
              </w:rPr>
              <w:t xml:space="preserve"> </w:t>
            </w:r>
            <w:r>
              <w:rPr>
                <w:b w:val="0"/>
                <w:i/>
                <w:strike w:val="0"/>
                <w:color w:val="7030A0"/>
                <w:sz w:val="16"/>
              </w:rPr>
              <w:t xml:space="preserve"> [Aug 2026 client MOM]</w:t>
            </w:r>
          </w:p>
          <w:p>
            <w:pPr>
              <w:pStyle w:val="ListBullet"/>
            </w:pPr>
            <w:r>
              <w:rPr>
                <w:b/>
                <w:i/>
                <w:strike w:val="0"/>
                <w:color w:val="7030A0"/>
              </w:rPr>
              <w:t>Financial reports are commercially sensitive. They inherit the same storage, encryption, and access rules as the revenue source file.</w:t>
            </w:r>
            <w:r>
              <w:rPr>
                <w:b w:val="0"/>
                <w:i w:val="0"/>
                <w:strike w:val="0"/>
              </w:rPr>
              <w:t xml:space="preserve"> </w:t>
            </w:r>
            <w:r>
              <w:rPr>
                <w:b w:val="0"/>
                <w:i/>
                <w:strike w:val="0"/>
                <w:color w:val="7030A0"/>
                <w:sz w:val="16"/>
              </w:rPr>
              <w:t xml:space="preserve"> [Aug 2026 client MOM]</w:t>
            </w:r>
          </w:p>
        </w:tc>
      </w:tr>
    </w:tbl>
    <w:tbl>
      <w:tblPr>
        <w:tblStyle w:val="TableGrid"/>
        <w:tblW w:type="auto" w:w="0"/>
        <w:tblLook w:firstColumn="1" w:firstRow="1" w:lastColumn="0" w:lastRow="0" w:noHBand="0" w:noVBand="1" w:val="04A0"/>
      </w:tblPr>
      <w:tblGrid>
        <w:gridCol w:w="8640"/>
      </w:tblGrid>
      <w:tr>
        <w:tc>
          <w:tcPr>
            <w:tcW w:type="dxa" w:w="8640"/>
            <w:shd w:val="clear" w:fill="E2EFDA"/>
          </w:tcPr>
          <w:p>
            <w:r/>
            <w:r>
              <w:rPr>
                <w:b/>
                <w:i w:val="0"/>
                <w:strike w:val="0"/>
              </w:rPr>
              <w:t>✅ What we have agreed</w:t>
            </w:r>
            <w:r>
              <w:rPr>
                <w:b w:val="0"/>
                <w:i w:val="0"/>
                <w:strike w:val="0"/>
              </w:rPr>
              <w:t xml:space="preserve"> </w:t>
            </w:r>
            <w:r>
              <w:br/>
            </w:r>
            <w:r>
              <w:rPr>
                <w:b w:val="0"/>
                <w:i w:val="0"/>
                <w:strike w:val="0"/>
              </w:rPr>
              <w:t xml:space="preserve"> • Service lines are derived from the revenue source Excel file — not from a manual selection screen. </w:t>
            </w:r>
            <w:r>
              <w:br/>
            </w:r>
            <w:r>
              <w:rPr>
                <w:b w:val="0"/>
                <w:i w:val="0"/>
                <w:strike w:val="0"/>
              </w:rPr>
              <w:t xml:space="preserve"> • NCA licence: the firm provides both the licence number (text) and optionally the licence document (file upload). </w:t>
            </w:r>
            <w:r>
              <w:br/>
            </w:r>
            <w:r>
              <w:rPr>
                <w:b w:val="0"/>
                <w:i w:val="0"/>
                <w:strike w:val="0"/>
              </w:rPr>
              <w:t xml:space="preserve"> • The onboarding flow is a step-by-step wizard. </w:t>
            </w:r>
            <w:r>
              <w:br/>
            </w:r>
            <w:r>
              <w:rPr>
                <w:b w:val="0"/>
                <w:i w:val="0"/>
                <w:strike w:val="0"/>
              </w:rPr>
              <w:t xml:space="preserve"> • Branch jurisdictions are captured and affect which local regulatory rules apply.</w:t>
            </w:r>
          </w:p>
        </w:tc>
      </w:tr>
      <w:tr>
        <w:tc>
          <w:tcPr>
            <w:tcW w:type="dxa" w:w="8640"/>
            <w:shd w:val="clear" w:fill="FFF2CC"/>
          </w:tcPr>
          <w:p>
            <w:r/>
            <w:r>
              <w:rPr>
                <w:b/>
                <w:i w:val="0"/>
                <w:strike w:val="0"/>
              </w:rPr>
              <w:t>💬 Questions still to confirm</w:t>
            </w:r>
            <w:r>
              <w:rPr>
                <w:b w:val="0"/>
                <w:i w:val="0"/>
                <w:strike w:val="0"/>
              </w:rPr>
              <w:t xml:space="preserve"> </w:t>
            </w:r>
            <w:r>
              <w:br/>
            </w:r>
            <w:r>
              <w:rPr>
                <w:b w:val="0"/>
                <w:i w:val="0"/>
                <w:strike w:val="0"/>
              </w:rPr>
              <w:t xml:space="preserve"> • Client type (FO-02): Should this be a simple set of checkboxes (tick: Retail, Institutional, Non-Profit) or should the firm enter a percentage split (e.g. 60% Retail, 40% Institutional)? </w:t>
            </w:r>
            <w:r>
              <w:br/>
            </w:r>
            <w:r>
              <w:rPr>
                <w:b w:val="0"/>
                <w:i w:val="0"/>
                <w:strike w:val="0"/>
              </w:rPr>
              <w:t xml:space="preserve"> • Who completes the setup (FO-07): Can any Firm Super Admin complete the onboarding, or should this be restricted to the CCO? </w:t>
            </w:r>
            <w:r>
              <w:rPr>
                <w:b/>
                <w:i/>
                <w:strike w:val="0"/>
                <w:color w:val="843C0C"/>
              </w:rPr>
              <w:t>v7.0 note: FR-117 partly answers this — the person who receives the onboarding link creates the first Firm Super Admin account and therefore completes the wizard. What is still undecided is whether that person must hold the CCO role.</w:t>
            </w:r>
            <w:r>
              <w:rPr>
                <w:b w:val="0"/>
                <w:i w:val="0"/>
                <w:strike w:val="0"/>
              </w:rPr>
              <w:t xml:space="preserve"> </w:t>
            </w:r>
            <w:r>
              <w:rPr>
                <w:b w:val="0"/>
                <w:i/>
                <w:strike w:val="0"/>
                <w:color w:val="843C0C"/>
                <w:sz w:val="16"/>
              </w:rPr>
              <w:t xml:space="preserve"> [Aug 2026 onboarding flow]</w:t>
            </w:r>
            <w:r>
              <w:rPr>
                <w:b w:val="0"/>
                <w:i w:val="0"/>
                <w:strike w:val="0"/>
              </w:rPr>
              <w:t xml:space="preserve"> </w:t>
            </w:r>
            <w:r>
              <w:br/>
            </w:r>
            <w:r>
              <w:rPr>
                <w:b w:val="0"/>
                <w:i w:val="0"/>
                <w:strike w:val="0"/>
              </w:rPr>
              <w:t xml:space="preserve"> • Multi-entity firms (FO-08): If a company has multiple regulated subsidiaries (e.g. a parent group with separate CASPs in Ireland and France), do they get separate logins for each entity, or one group login with a consolidated view? [Deferred — not needed for the first version]</w:t>
            </w:r>
          </w:p>
        </w:tc>
      </w:tr>
    </w:tbl>
    <w:p>
      <w:pPr>
        <w:pStyle w:val="Heading2"/>
      </w:pPr>
      <w:r>
        <w:t>5.6 Call Tree and Organisation Gap Review</w:t>
      </w:r>
    </w:p>
    <w:p>
      <w:r>
        <w:rPr>
          <w:b/>
          <w:i/>
          <w:strike w:val="0"/>
          <w:color w:val="843C0C"/>
        </w:rPr>
        <w:t>NEW in v7.0.</w:t>
      </w:r>
      <w:r>
        <w:rPr>
          <w:b w:val="0"/>
          <w:i w:val="0"/>
          <w:strike w:val="0"/>
        </w:rPr>
        <w:t xml:space="preserve"> </w:t>
      </w:r>
      <w:r>
        <w:rPr>
          <w:b w:val="0"/>
          <w:i/>
          <w:strike w:val="0"/>
          <w:color w:val="843C0C"/>
          <w:sz w:val="16"/>
        </w:rPr>
        <w:t xml:space="preserve"> [Aug 2026 onboarding flow]</w:t>
      </w:r>
    </w:p>
    <w:p>
      <w:r>
        <w:rPr>
          <w:b w:val="0"/>
          <w:i w:val="0"/>
          <w:strike w:val="0"/>
        </w:rPr>
        <w:t>The business continuity call tree — the chain by which the firm reaches everyone in an emergency — is captured during onboarding rather than left to be filled in later. It is reviewed for gaps at the same time, because a call tree with a break in it is not a call tree, and a firm that discovers this during an incident discovers it too late.</w:t>
      </w:r>
    </w:p>
    <w:p>
      <w:r>
        <w:rPr>
          <w:b/>
          <w:i w:val="0"/>
          <w:strike w:val="0"/>
          <w:color w:val="1155CC"/>
        </w:rPr>
        <w:t>[FR-120]</w:t>
      </w:r>
      <w:r>
        <w:rPr>
          <w:b w:val="0"/>
          <w:i w:val="0"/>
          <w:strike w:val="0"/>
        </w:rPr>
        <w:t xml:space="preserve"> </w:t>
      </w:r>
      <w:r>
        <w:rPr>
          <w:b/>
          <w:i/>
          <w:strike w:val="0"/>
          <w:color w:val="843C0C"/>
        </w:rPr>
        <w:t xml:space="preserve">Onboarding captures the firm's staff records, their reporting lines, and each person's next contact in the business continuity call tree. These are the same records described in Section 10 and are created here, by CSV upload against the platform's template (FR-62) </w:t>
      </w:r>
      <w:r>
        <w:rPr>
          <w:b/>
          <w:i/>
          <w:strike/>
          <w:color w:val="843C0C"/>
        </w:rPr>
        <w:t>or by manual entry</w:t>
      </w:r>
      <w:r>
        <w:rPr>
          <w:b/>
          <w:i/>
          <w:strike w:val="0"/>
          <w:color w:val="843C0C"/>
        </w:rPr>
        <w:t>. Onboarding is where the org chart and call tree first come into existence.</w:t>
      </w:r>
      <w:r>
        <w:rPr>
          <w:b w:val="0"/>
          <w:i w:val="0"/>
          <w:strike w:val="0"/>
        </w:rPr>
        <w:t xml:space="preserve"> </w:t>
      </w:r>
      <w:r>
        <w:rPr>
          <w:b w:val="0"/>
          <w:i/>
          <w:strike w:val="0"/>
          <w:color w:val="843C0C"/>
          <w:sz w:val="16"/>
        </w:rPr>
        <w:t xml:space="preserve"> [Aug 2026 onboarding flow]</w:t>
      </w:r>
      <w:r>
        <w:rPr>
          <w:b w:val="0"/>
          <w:i w:val="0"/>
          <w:strike w:val="0"/>
        </w:rPr>
        <w:t xml:space="preserve"> </w:t>
      </w:r>
      <w:r>
        <w:rPr>
          <w:b/>
          <w:i/>
          <w:strike w:val="0"/>
          <w:color w:val="CC00CC"/>
        </w:rPr>
        <w:t>REVISED in v8.0: manual entry is removed — the spreadsheet upload is the only route, per the FR-62 revision.</w:t>
      </w:r>
      <w:r>
        <w:rPr>
          <w:b w:val="0"/>
          <w:i w:val="0"/>
          <w:strike w:val="0"/>
        </w:rPr>
        <w:t xml:space="preserve"> </w:t>
      </w:r>
      <w:r>
        <w:rPr>
          <w:b w:val="0"/>
          <w:i/>
          <w:strike w:val="0"/>
          <w:color w:val="CC00CC"/>
          <w:sz w:val="16"/>
        </w:rPr>
        <w:t xml:space="preserve"> [14 Aug 2026 MOM]</w:t>
      </w:r>
    </w:p>
    <w:p>
      <w:r>
        <w:rPr>
          <w:b/>
          <w:i w:val="0"/>
          <w:strike w:val="0"/>
          <w:color w:val="1155CC"/>
        </w:rPr>
        <w:t>[FR-121]</w:t>
      </w:r>
      <w:r>
        <w:rPr>
          <w:b w:val="0"/>
          <w:i w:val="0"/>
          <w:strike w:val="0"/>
        </w:rPr>
        <w:t xml:space="preserve"> </w:t>
      </w:r>
      <w:r>
        <w:rPr>
          <w:b/>
          <w:i/>
          <w:strike w:val="0"/>
          <w:color w:val="843C0C"/>
        </w:rPr>
        <w:t>The platform evaluates the captured data for gaps and shows the firm the result before onboarding completes. Two checks are mandatory and were named by the client: every employee must have a call-tree contact, and every employee must have a reporting manager. The platform lists the specific people failing each check — a count alone is not actionable — and the firm corrects them in place.</w:t>
      </w:r>
      <w:r>
        <w:rPr>
          <w:b w:val="0"/>
          <w:i w:val="0"/>
          <w:strike w:val="0"/>
        </w:rPr>
        <w:t xml:space="preserve"> </w:t>
      </w:r>
      <w:r>
        <w:rPr>
          <w:b w:val="0"/>
          <w:i/>
          <w:strike w:val="0"/>
          <w:color w:val="843C0C"/>
          <w:sz w:val="16"/>
        </w:rPr>
        <w:t xml:space="preserve"> [Aug 2026 onboarding flow]</w:t>
      </w:r>
      <w:r>
        <w:rPr>
          <w:b w:val="0"/>
          <w:i w:val="0"/>
          <w:strike w:val="0"/>
        </w:rPr>
        <w:t xml:space="preserve"> </w:t>
      </w:r>
      <w:r>
        <w:rPr>
          <w:b/>
          <w:i/>
          <w:strike w:val="0"/>
          <w:color w:val="CC00CC"/>
        </w:rPr>
        <w:t>CONFIRMED on 14 Aug 2026: call trees are submitted during onboarding, the system evaluates whether every contact has a call contact, and identifies any missing call contact. FR-120 and FR-121 restated by the client; no change. Note the deliberate limit added the same day: the call tree is captured and gap-checked but is not displayed on any page — see Section 10.5.</w:t>
      </w:r>
      <w:r>
        <w:rPr>
          <w:b w:val="0"/>
          <w:i w:val="0"/>
          <w:strike w:val="0"/>
        </w:rPr>
        <w:t xml:space="preserve"> </w:t>
      </w:r>
      <w:r>
        <w:rPr>
          <w:b w:val="0"/>
          <w:i/>
          <w:strike w:val="0"/>
          <w:color w:val="CC00CC"/>
          <w:sz w:val="16"/>
        </w:rPr>
        <w:t xml:space="preserve"> [14 Aug 2026 MOM]</w:t>
      </w:r>
    </w:p>
    <w:p>
      <w:r>
        <w:rPr>
          <w:b/>
          <w:i w:val="0"/>
          <w:strike w:val="0"/>
          <w:color w:val="1155CC"/>
        </w:rPr>
        <w:t>[FR-122]</w:t>
      </w:r>
      <w:r>
        <w:rPr>
          <w:b w:val="0"/>
          <w:i w:val="0"/>
          <w:strike w:val="0"/>
        </w:rPr>
        <w:t xml:space="preserve"> </w:t>
      </w:r>
      <w:r>
        <w:rPr>
          <w:b/>
          <w:i/>
          <w:strike w:val="0"/>
          <w:color w:val="843C0C"/>
        </w:rPr>
        <w:t>Where a gap is legitimate rather than an oversight — the chief executive has no reporting manager, the last person in a call-tree branch has no next contact — the firm marks it as such with a written reason instead of inventing data to satisfy a validation rule. Acknowledged exceptions are recorded, are visible in the Section 10.6 analytics as exceptions rather than as gaps, and are re-surfaced at the next annual review.</w:t>
      </w:r>
      <w:r>
        <w:rPr>
          <w:b w:val="0"/>
          <w:i w:val="0"/>
          <w:strike w:val="0"/>
        </w:rPr>
        <w:t xml:space="preserve"> </w:t>
      </w:r>
      <w:r>
        <w:rPr>
          <w:b w:val="0"/>
          <w:i/>
          <w:strike w:val="0"/>
          <w:color w:val="843C0C"/>
          <w:sz w:val="16"/>
        </w:rPr>
        <w:t xml:space="preserve"> [Aug 2026 onboarding flow]</w:t>
      </w:r>
    </w:p>
    <w:tbl>
      <w:tblPr>
        <w:tblStyle w:val="TableGrid"/>
        <w:tblW w:type="auto" w:w="0"/>
        <w:tblLook w:firstColumn="1" w:firstRow="1" w:lastColumn="0" w:lastRow="0" w:noHBand="0" w:noVBand="1" w:val="04A0"/>
      </w:tblPr>
      <w:tblGrid>
        <w:gridCol w:w="8640"/>
      </w:tblGrid>
      <w:tr>
        <w:tc>
          <w:tcPr>
            <w:tcW w:type="dxa" w:w="8640"/>
            <w:shd w:val="clear" w:fill="EDEDED"/>
          </w:tcPr>
          <w:p>
            <w:r>
              <w:rPr>
                <w:b/>
                <w:i w:val="0"/>
                <w:strike w:val="0"/>
              </w:rPr>
              <w:t>DEVELOPER NOTE</w:t>
            </w:r>
            <w:r>
              <w:rPr>
                <w:b w:val="0"/>
                <w:i w:val="0"/>
                <w:strike w:val="0"/>
              </w:rPr>
              <w:t xml:space="preserve"> </w:t>
            </w:r>
            <w:r>
              <w:rPr>
                <w:b w:val="0"/>
                <w:i/>
                <w:strike w:val="0"/>
              </w:rPr>
              <w:t>(grey — new in v7.0)</w:t>
            </w:r>
          </w:p>
          <w:p>
            <w:r>
              <w:rPr>
                <w:b/>
                <w:i w:val="0"/>
                <w:strike w:val="0"/>
              </w:rPr>
              <w:t>📌 Note</w:t>
            </w:r>
          </w:p>
          <w:p>
            <w:pPr>
              <w:pStyle w:val="ListBullet"/>
            </w:pPr>
            <w:r>
              <w:rPr>
                <w:b/>
                <w:i/>
                <w:strike w:val="0"/>
                <w:color w:val="843C0C"/>
              </w:rPr>
              <w:t>FR-121 introduces no new rules. The same two checks already exist as FR-70 (call tree link missing) and FR-102 (employees with no reporting manager) — the change is that they now run at onboarding, when the data is first entered, instead of only appearing later on the analytics dashboard. One implementation, two entry points.</w:t>
            </w:r>
            <w:r>
              <w:rPr>
                <w:b w:val="0"/>
                <w:i w:val="0"/>
                <w:strike w:val="0"/>
              </w:rPr>
              <w:t xml:space="preserve"> </w:t>
            </w:r>
            <w:r>
              <w:rPr>
                <w:b w:val="0"/>
                <w:i/>
                <w:strike w:val="0"/>
                <w:color w:val="843C0C"/>
                <w:sz w:val="16"/>
              </w:rPr>
              <w:t xml:space="preserve"> [Aug 2026 onboarding flow]</w:t>
            </w:r>
          </w:p>
          <w:p>
            <w:pPr>
              <w:pStyle w:val="ListBullet"/>
            </w:pPr>
            <w:r>
              <w:rPr>
                <w:b/>
                <w:i/>
                <w:strike w:val="0"/>
                <w:color w:val="843C0C"/>
              </w:rPr>
              <w:t>This closes a real dependency, not just a nicety: FR-82 tags every test to a business owner drawn from these staff records, and Section 7.4 sends the announcement letter and request list to that person. Without staff data captured at onboarding, the first test a firm runs has nobody to send its request list to.</w:t>
            </w:r>
            <w:r>
              <w:rPr>
                <w:b w:val="0"/>
                <w:i w:val="0"/>
                <w:strike w:val="0"/>
              </w:rPr>
              <w:t xml:space="preserve"> </w:t>
            </w:r>
            <w:r>
              <w:rPr>
                <w:b w:val="0"/>
                <w:i/>
                <w:strike w:val="0"/>
                <w:color w:val="843C0C"/>
                <w:sz w:val="16"/>
              </w:rPr>
              <w:t xml:space="preserve"> [Aug 2026 onboarding flow]</w:t>
            </w:r>
          </w:p>
          <w:p>
            <w:pPr>
              <w:pStyle w:val="ListBullet"/>
            </w:pPr>
            <w:r>
              <w:rPr>
                <w:b/>
                <w:i/>
                <w:strike w:val="0"/>
                <w:color w:val="843C0C"/>
              </w:rPr>
              <w:t>Whether an unresolved gap blocks completion or merely warns is not settled — the requirement above is written as a soft gate with mandatory acknowledgement. See ON-05.</w:t>
            </w:r>
            <w:r>
              <w:rPr>
                <w:b w:val="0"/>
                <w:i w:val="0"/>
                <w:strike w:val="0"/>
              </w:rPr>
              <w:t xml:space="preserve"> </w:t>
            </w:r>
            <w:r>
              <w:rPr>
                <w:b w:val="0"/>
                <w:i/>
                <w:strike w:val="0"/>
                <w:color w:val="843C0C"/>
                <w:sz w:val="16"/>
              </w:rPr>
              <w:t xml:space="preserve"> [Aug 2026 onboarding flow]</w:t>
            </w:r>
          </w:p>
        </w:tc>
      </w:tr>
    </w:tbl>
    <w:p>
      <w:pPr>
        <w:pStyle w:val="Heading2"/>
      </w:pPr>
      <w:r>
        <w:t>5.7 Payment</w:t>
      </w:r>
    </w:p>
    <w:p>
      <w:r>
        <w:rPr>
          <w:b/>
          <w:i/>
          <w:strike w:val="0"/>
          <w:color w:val="843C0C"/>
        </w:rPr>
        <w:t>NEW in v7.0. This is the first version of this document in which money moves through the platform. Read the flags below before estimating.</w:t>
      </w:r>
      <w:r>
        <w:rPr>
          <w:b w:val="0"/>
          <w:i w:val="0"/>
          <w:strike w:val="0"/>
        </w:rPr>
        <w:t xml:space="preserve"> </w:t>
      </w:r>
      <w:r>
        <w:rPr>
          <w:b w:val="0"/>
          <w:i/>
          <w:strike w:val="0"/>
          <w:color w:val="843C0C"/>
          <w:sz w:val="16"/>
        </w:rPr>
        <w:t xml:space="preserve"> [Aug 2026 onboarding flow]</w:t>
      </w:r>
    </w:p>
    <w:p>
      <w:r>
        <w:rPr>
          <w:b/>
          <w:i w:val="0"/>
          <w:strike w:val="0"/>
          <w:color w:val="1155CC"/>
        </w:rPr>
        <w:t>[FR-123]</w:t>
      </w:r>
      <w:r>
        <w:rPr>
          <w:b w:val="0"/>
          <w:i w:val="0"/>
          <w:strike w:val="0"/>
        </w:rPr>
        <w:t xml:space="preserve"> </w:t>
      </w:r>
      <w:r>
        <w:rPr>
          <w:b/>
          <w:i/>
          <w:strike w:val="0"/>
          <w:color w:val="843C0C"/>
        </w:rPr>
        <w:t>Once every mandatory onboarding step is complete and validated, the firm proceeds to payment. The amount and plan are not chosen by the firm on screen — they are read from the agreed plan type and seat count recorded against the enquiry under SA-19, so what the firm sees is what Sosinna's team agreed with them offline. Payment is the final step of onboarding, not an earlier gate: a firm enters all of its details first.</w:t>
      </w:r>
      <w:r>
        <w:rPr>
          <w:b w:val="0"/>
          <w:i w:val="0"/>
          <w:strike w:val="0"/>
        </w:rPr>
        <w:t xml:space="preserve"> </w:t>
      </w:r>
      <w:r>
        <w:rPr>
          <w:b w:val="0"/>
          <w:i/>
          <w:strike w:val="0"/>
          <w:color w:val="843C0C"/>
          <w:sz w:val="16"/>
        </w:rPr>
        <w:t xml:space="preserve"> [Aug 2026 onboarding flow]</w:t>
      </w:r>
    </w:p>
    <w:p>
      <w:r>
        <w:rPr>
          <w:b/>
          <w:i w:val="0"/>
          <w:strike w:val="0"/>
          <w:color w:val="1155CC"/>
        </w:rPr>
        <w:t>[FR-124]</w:t>
      </w:r>
      <w:r>
        <w:rPr>
          <w:b w:val="0"/>
          <w:i w:val="0"/>
          <w:strike w:val="0"/>
        </w:rPr>
        <w:t xml:space="preserve"> </w:t>
      </w:r>
      <w:r>
        <w:rPr>
          <w:b/>
          <w:i/>
          <w:strike w:val="0"/>
          <w:color w:val="843C0C"/>
        </w:rPr>
        <w:t>Every payment attempt is recorded against the firm — when, how much, the outcome, and the provider's transaction reference — whether it succeeds or fails. This record is what the tenant's active status is derived from and what any billing question is answered from.</w:t>
      </w:r>
      <w:r>
        <w:rPr>
          <w:b w:val="0"/>
          <w:i w:val="0"/>
          <w:strike w:val="0"/>
        </w:rPr>
        <w:t xml:space="preserve"> </w:t>
      </w:r>
      <w:r>
        <w:rPr>
          <w:b w:val="0"/>
          <w:i/>
          <w:strike w:val="0"/>
          <w:color w:val="843C0C"/>
          <w:sz w:val="16"/>
        </w:rPr>
        <w:t xml:space="preserve"> [Aug 2026 onboarding flow]</w:t>
      </w:r>
    </w:p>
    <w:p>
      <w:r>
        <w:rPr>
          <w:b/>
          <w:i w:val="0"/>
          <w:strike w:val="0"/>
          <w:color w:val="1155CC"/>
        </w:rPr>
        <w:t>[FR-125]</w:t>
      </w:r>
      <w:r>
        <w:rPr>
          <w:b w:val="0"/>
          <w:i w:val="0"/>
          <w:strike w:val="0"/>
        </w:rPr>
        <w:t xml:space="preserve"> </w:t>
      </w:r>
      <w:r>
        <w:rPr>
          <w:b/>
          <w:i/>
          <w:strike w:val="0"/>
          <w:color w:val="843C0C"/>
        </w:rPr>
        <w:t>On successful payment the firm's tenant is activated: the account moves from pre-activation to active, the Requirement IDs derived at FR-07 are loaded into the pending-item pool (FR-78), and the enquiry moves to Active under SA-18. Sosinna's team is notified that the firm is live.</w:t>
      </w:r>
      <w:r>
        <w:rPr>
          <w:b w:val="0"/>
          <w:i w:val="0"/>
          <w:strike w:val="0"/>
        </w:rPr>
        <w:t xml:space="preserve"> </w:t>
      </w:r>
      <w:r>
        <w:rPr>
          <w:b w:val="0"/>
          <w:i/>
          <w:strike w:val="0"/>
          <w:color w:val="843C0C"/>
          <w:sz w:val="16"/>
        </w:rPr>
        <w:t xml:space="preserve"> [Aug 2026 onboarding flow]</w:t>
      </w:r>
    </w:p>
    <w:p>
      <w:r>
        <w:rPr>
          <w:b/>
          <w:i w:val="0"/>
          <w:strike w:val="0"/>
          <w:color w:val="1155CC"/>
        </w:rPr>
        <w:t>[FR-126]</w:t>
      </w:r>
      <w:r>
        <w:rPr>
          <w:b w:val="0"/>
          <w:i w:val="0"/>
          <w:strike w:val="0"/>
        </w:rPr>
        <w:t xml:space="preserve"> </w:t>
      </w:r>
      <w:r>
        <w:rPr>
          <w:b/>
          <w:i/>
          <w:strike w:val="0"/>
          <w:color w:val="843C0C"/>
        </w:rPr>
        <w:t>A failed payment does not end the onboarding and does not discard anything. The firm is shown a plain explanation, everything they entered is retained exactly as it was, and they can retry — immediately, or by returning later through the same link. Repeated failures are visible to Sosinna's team on the enquiry so they can intervene, since a firm stuck at payment is a firm that has already done all of the work and cannot get in.</w:t>
      </w:r>
      <w:r>
        <w:rPr>
          <w:b w:val="0"/>
          <w:i w:val="0"/>
          <w:strike w:val="0"/>
        </w:rPr>
        <w:t xml:space="preserve"> </w:t>
      </w:r>
      <w:r>
        <w:rPr>
          <w:b w:val="0"/>
          <w:i/>
          <w:strike w:val="0"/>
          <w:color w:val="843C0C"/>
          <w:sz w:val="16"/>
        </w:rPr>
        <w:t xml:space="preserve"> [Aug 2026 onboarding flow]</w:t>
      </w:r>
    </w:p>
    <w:tbl>
      <w:tblPr>
        <w:tblStyle w:val="TableGrid"/>
        <w:tblW w:type="auto" w:w="0"/>
        <w:tblLook w:firstColumn="1" w:firstRow="1" w:lastColumn="0" w:lastRow="0" w:noHBand="0" w:noVBand="1" w:val="04A0"/>
      </w:tblPr>
      <w:tblGrid>
        <w:gridCol w:w="8640"/>
      </w:tblGrid>
      <w:tr>
        <w:tc>
          <w:tcPr>
            <w:tcW w:type="dxa" w:w="8640"/>
            <w:shd w:val="clear" w:fill="EDEDED"/>
          </w:tcPr>
          <w:p>
            <w:r>
              <w:rPr>
                <w:b/>
                <w:i w:val="0"/>
                <w:strike w:val="0"/>
              </w:rPr>
              <w:t>DEVELOPER NOTE</w:t>
            </w:r>
            <w:r>
              <w:rPr>
                <w:b w:val="0"/>
                <w:i w:val="0"/>
                <w:strike w:val="0"/>
              </w:rPr>
              <w:t xml:space="preserve"> </w:t>
            </w:r>
            <w:r>
              <w:rPr>
                <w:b w:val="0"/>
                <w:i/>
                <w:strike w:val="0"/>
              </w:rPr>
              <w:t>(grey — new in v7.0)</w:t>
            </w:r>
          </w:p>
          <w:p>
            <w:r>
              <w:rPr>
                <w:b/>
                <w:i w:val="0"/>
                <w:strike w:val="0"/>
              </w:rPr>
              <w:t>📌 Note</w:t>
            </w:r>
          </w:p>
          <w:p>
            <w:pPr>
              <w:pStyle w:val="ListBullet"/>
            </w:pPr>
            <w:r>
              <w:rPr>
                <w:b/>
                <w:i/>
                <w:strike w:val="0"/>
                <w:color w:val="843C0C"/>
              </w:rPr>
              <w:t>Card data must never touch ControlIQ's servers or database. Use a payment provider's hosted fields or hosted checkout so the platform handles only a provider token and a transaction reference. This keeps PCI DSS obligations at the lightest tier and keeps card data out of Section 2's six-year retention regime, where it must not be. See NFR-12.</w:t>
            </w:r>
            <w:r>
              <w:rPr>
                <w:b w:val="0"/>
                <w:i w:val="0"/>
                <w:strike w:val="0"/>
              </w:rPr>
              <w:t xml:space="preserve"> </w:t>
            </w:r>
            <w:r>
              <w:rPr>
                <w:b w:val="0"/>
                <w:i/>
                <w:strike w:val="0"/>
                <w:color w:val="843C0C"/>
                <w:sz w:val="16"/>
              </w:rPr>
              <w:t xml:space="preserve"> [Aug 2026 onboarding flow]</w:t>
            </w:r>
          </w:p>
          <w:p>
            <w:pPr>
              <w:pStyle w:val="ListBullet"/>
            </w:pPr>
            <w:r>
              <w:rPr>
                <w:b/>
                <w:i/>
                <w:strike w:val="0"/>
                <w:color w:val="843C0C"/>
              </w:rPr>
              <w:t>Activation must be driven by the provider's confirmation — its server-to-server webhook — not by the browser returning to a success page. A user closing the tab after paying must still end up activated, and a user reaching the success URL without paying must not.</w:t>
            </w:r>
            <w:r>
              <w:rPr>
                <w:b w:val="0"/>
                <w:i w:val="0"/>
                <w:strike w:val="0"/>
              </w:rPr>
              <w:t xml:space="preserve"> </w:t>
            </w:r>
            <w:r>
              <w:rPr>
                <w:b w:val="0"/>
                <w:i/>
                <w:strike w:val="0"/>
                <w:color w:val="843C0C"/>
                <w:sz w:val="16"/>
              </w:rPr>
              <w:t xml:space="preserve"> [Aug 2026 onboarding flow]</w:t>
            </w:r>
          </w:p>
          <w:p>
            <w:pPr>
              <w:pStyle w:val="ListBullet"/>
            </w:pPr>
            <w:r>
              <w:rPr>
                <w:b/>
                <w:i/>
                <w:strike w:val="0"/>
                <w:color w:val="843C0C"/>
              </w:rPr>
              <w:t>Two commercial contradictions have to be resolved before this is built, and neither is a developer's to decide. MKT-02 states there is no self-serve checkout; CC-06 states Synergy is the reseller and bills firms directly. If the firm now pays through the platform, who is the merchant of record, who issues the invoice, who handles VAT, refunds and chasing a failed renewal? Logged as GAP-18 and GAP-19, and as ON-01 in Section 15. Do not resolve these by writing code.</w:t>
            </w:r>
            <w:r>
              <w:rPr>
                <w:b w:val="0"/>
                <w:i w:val="0"/>
                <w:strike w:val="0"/>
              </w:rPr>
              <w:t xml:space="preserve"> </w:t>
            </w:r>
            <w:r>
              <w:rPr>
                <w:b w:val="0"/>
                <w:i/>
                <w:strike w:val="0"/>
                <w:color w:val="843C0C"/>
                <w:sz w:val="16"/>
              </w:rPr>
              <w:t xml:space="preserve"> [Aug 2026 onboarding flow]</w:t>
            </w:r>
          </w:p>
          <w:p>
            <w:pPr>
              <w:pStyle w:val="ListBullet"/>
            </w:pPr>
            <w:r>
              <w:rPr>
                <w:b/>
                <w:i/>
                <w:strike w:val="0"/>
                <w:color w:val="843C0C"/>
              </w:rPr>
              <w:t>Recurrence is undefined. The flow above describes the first payment that unlocks the account. Whether the subscription then renews in-platform, and whether a failed renewal re-locks a firm that already holds six years of compliance evidence, is ON-02 — and the re-locking question is a serious one, because a regulated firm losing access to its own audit trail over a card expiry is not an acceptable outcome.</w:t>
            </w:r>
            <w:r>
              <w:rPr>
                <w:b w:val="0"/>
                <w:i w:val="0"/>
                <w:strike w:val="0"/>
              </w:rPr>
              <w:t xml:space="preserve"> </w:t>
            </w:r>
            <w:r>
              <w:rPr>
                <w:b w:val="0"/>
                <w:i/>
                <w:strike w:val="0"/>
                <w:color w:val="843C0C"/>
                <w:sz w:val="16"/>
              </w:rPr>
              <w:t xml:space="preserve"> [Aug 2026 onboarding flow]</w:t>
            </w:r>
          </w:p>
        </w:tc>
      </w:tr>
    </w:tbl>
    <w:p>
      <w:pPr>
        <w:pStyle w:val="Heading2"/>
      </w:pPr>
      <w:r>
        <w:t>5.8 First Login and What "Onboarded" Means</w:t>
      </w:r>
    </w:p>
    <w:p>
      <w:r>
        <w:rPr>
          <w:b/>
          <w:i w:val="0"/>
          <w:strike w:val="0"/>
          <w:color w:val="1155CC"/>
        </w:rPr>
        <w:t>[FR-127]</w:t>
      </w:r>
      <w:r>
        <w:rPr>
          <w:b w:val="0"/>
          <w:i w:val="0"/>
          <w:strike w:val="0"/>
        </w:rPr>
        <w:t xml:space="preserve"> </w:t>
      </w:r>
      <w:r>
        <w:rPr>
          <w:b/>
          <w:i/>
          <w:strike w:val="0"/>
          <w:color w:val="843C0C"/>
        </w:rPr>
        <w:t>A firm can log in once, and only once, its tenant is active under FR-125. Before that the onboarding link is the only thing that works — there is no partial or read-only access to the platform for an unpaid firm. After activation the normal login applies: email, password and MFA under FR-11.</w:t>
      </w:r>
      <w:r>
        <w:rPr>
          <w:b w:val="0"/>
          <w:i w:val="0"/>
          <w:strike w:val="0"/>
        </w:rPr>
        <w:t xml:space="preserve"> </w:t>
      </w:r>
      <w:r>
        <w:rPr>
          <w:b w:val="0"/>
          <w:i/>
          <w:strike w:val="0"/>
          <w:color w:val="843C0C"/>
          <w:sz w:val="16"/>
        </w:rPr>
        <w:t xml:space="preserve"> [Aug 2026 onboarding flow]</w:t>
      </w:r>
    </w:p>
    <w:p>
      <w:r>
        <w:rPr>
          <w:b/>
          <w:i w:val="0"/>
          <w:strike w:val="0"/>
          <w:color w:val="1155CC"/>
        </w:rPr>
        <w:t>[FR-128]</w:t>
      </w:r>
      <w:r>
        <w:rPr>
          <w:b w:val="0"/>
          <w:i w:val="0"/>
          <w:strike w:val="0"/>
        </w:rPr>
        <w:t xml:space="preserve"> </w:t>
      </w:r>
      <w:r>
        <w:rPr>
          <w:b/>
          <w:i/>
          <w:strike w:val="0"/>
          <w:color w:val="843C0C"/>
        </w:rPr>
        <w:t>A firm is "onboarded" when all of the following hold: firm details and licence captured (FR-01 to FR-03); revenue template and financial reports accepted (FR-04, FR-92); service lines and applicable regulations confirmed by the firm (FR-05, FR-104); client base captured (FR-06); staff, reporting lines and call tree captured with gaps resolved or acknowledged (FR-120 to FR-122); a second Firm Super Admin invited (FR-117); and payment successful (FR-125). The Portal shows each firm's position against this checklist, so Sosinna's team can see exactly where a stalled firm has stopped.</w:t>
      </w:r>
      <w:r>
        <w:rPr>
          <w:b w:val="0"/>
          <w:i w:val="0"/>
          <w:strike w:val="0"/>
        </w:rPr>
        <w:t xml:space="preserve"> </w:t>
      </w:r>
      <w:r>
        <w:rPr>
          <w:b w:val="0"/>
          <w:i/>
          <w:strike w:val="0"/>
          <w:color w:val="843C0C"/>
          <w:sz w:val="16"/>
        </w:rPr>
        <w:t xml:space="preserve"> [Aug 2026 onboarding flow]</w:t>
      </w:r>
    </w:p>
    <w:tbl>
      <w:tblPr>
        <w:tblStyle w:val="TableGrid"/>
        <w:tblW w:type="auto" w:w="0"/>
        <w:tblLook w:firstColumn="1" w:firstRow="1" w:lastColumn="0" w:lastRow="0" w:noHBand="0" w:noVBand="1" w:val="04A0"/>
      </w:tblPr>
      <w:tblGrid>
        <w:gridCol w:w="8640"/>
      </w:tblGrid>
      <w:tr>
        <w:tc>
          <w:tcPr>
            <w:tcW w:type="dxa" w:w="8640"/>
            <w:shd w:val="clear" w:fill="E2EFDA"/>
          </w:tcPr>
          <w:p>
            <w:r>
              <w:rPr>
                <w:b/>
                <w:i w:val="0"/>
                <w:strike w:val="0"/>
              </w:rPr>
              <w:t>CONFIRMED</w:t>
            </w:r>
            <w:r>
              <w:rPr>
                <w:b w:val="0"/>
                <w:i w:val="0"/>
                <w:strike w:val="0"/>
              </w:rPr>
              <w:t xml:space="preserve"> </w:t>
            </w:r>
            <w:r>
              <w:rPr>
                <w:b w:val="0"/>
                <w:i/>
                <w:strike w:val="0"/>
              </w:rPr>
              <w:t>(green — agreed August 2026)</w:t>
            </w:r>
          </w:p>
          <w:p>
            <w:r>
              <w:rPr>
                <w:b/>
                <w:i w:val="0"/>
                <w:strike w:val="0"/>
              </w:rPr>
              <w:t>✅ What we have agreed</w:t>
            </w:r>
          </w:p>
          <w:p>
            <w:pPr>
              <w:pStyle w:val="ListBullet"/>
            </w:pPr>
            <w:r>
              <w:rPr>
                <w:b/>
                <w:i/>
                <w:strike w:val="0"/>
                <w:color w:val="843C0C"/>
              </w:rPr>
              <w:t>Firms arrive by enquiry. The platform receives enquiries and Sosinna's team works them from a list in the Portal.</w:t>
            </w:r>
            <w:r>
              <w:rPr>
                <w:b w:val="0"/>
                <w:i w:val="0"/>
                <w:strike w:val="0"/>
              </w:rPr>
              <w:t xml:space="preserve"> </w:t>
            </w:r>
            <w:r>
              <w:rPr>
                <w:b w:val="0"/>
                <w:i/>
                <w:strike w:val="0"/>
                <w:color w:val="843C0C"/>
                <w:sz w:val="16"/>
              </w:rPr>
              <w:t xml:space="preserve"> [Aug 2026 onboarding flow]</w:t>
            </w:r>
          </w:p>
          <w:p>
            <w:pPr>
              <w:pStyle w:val="ListBullet"/>
            </w:pPr>
            <w:r>
              <w:rPr>
                <w:b/>
                <w:i/>
                <w:strike w:val="0"/>
                <w:color w:val="843C0C"/>
              </w:rPr>
              <w:t>The legal agreement is done offline, outside the system. The platform records only that it happened.</w:t>
            </w:r>
            <w:r>
              <w:rPr>
                <w:b w:val="0"/>
                <w:i w:val="0"/>
                <w:strike w:val="0"/>
              </w:rPr>
              <w:t xml:space="preserve"> </w:t>
            </w:r>
            <w:r>
              <w:rPr>
                <w:b w:val="0"/>
                <w:i/>
                <w:strike w:val="0"/>
                <w:color w:val="843C0C"/>
                <w:sz w:val="16"/>
              </w:rPr>
              <w:t xml:space="preserve"> [Aug 2026 onboarding flow]</w:t>
            </w:r>
          </w:p>
          <w:p>
            <w:pPr>
              <w:pStyle w:val="ListBullet"/>
            </w:pPr>
            <w:r>
              <w:rPr>
                <w:b/>
                <w:i/>
                <w:strike w:val="0"/>
                <w:color w:val="843C0C"/>
              </w:rPr>
              <w:t>Entry is by an emailed onboarding link generated by Sosinna's team. No self-registration.</w:t>
            </w:r>
            <w:r>
              <w:rPr>
                <w:b w:val="0"/>
                <w:i w:val="0"/>
                <w:strike w:val="0"/>
              </w:rPr>
              <w:t xml:space="preserve"> </w:t>
            </w:r>
            <w:r>
              <w:rPr>
                <w:b w:val="0"/>
                <w:i/>
                <w:strike w:val="0"/>
                <w:color w:val="843C0C"/>
                <w:sz w:val="16"/>
              </w:rPr>
              <w:t xml:space="preserve"> [Aug 2026 onboarding flow]</w:t>
            </w:r>
          </w:p>
          <w:p>
            <w:pPr>
              <w:pStyle w:val="ListBullet"/>
            </w:pPr>
            <w:r>
              <w:rPr>
                <w:b/>
                <w:i/>
                <w:strike w:val="0"/>
                <w:color w:val="843C0C"/>
              </w:rPr>
              <w:t>The call tree is captured during onboarding and reviewed for gaps — every employee needs a call contact and a reporting manager.</w:t>
            </w:r>
            <w:r>
              <w:rPr>
                <w:b w:val="0"/>
                <w:i w:val="0"/>
                <w:strike w:val="0"/>
              </w:rPr>
              <w:t xml:space="preserve"> </w:t>
            </w:r>
            <w:r>
              <w:rPr>
                <w:b w:val="0"/>
                <w:i/>
                <w:strike w:val="0"/>
                <w:color w:val="843C0C"/>
                <w:sz w:val="16"/>
              </w:rPr>
              <w:t xml:space="preserve"> [Aug 2026 onboarding flow]</w:t>
            </w:r>
          </w:p>
          <w:p>
            <w:pPr>
              <w:pStyle w:val="ListBullet"/>
            </w:pPr>
            <w:r>
              <w:rPr>
                <w:b/>
                <w:i/>
                <w:strike w:val="0"/>
                <w:color w:val="843C0C"/>
              </w:rPr>
              <w:t>Payment comes after the onboarding details, and login comes after payment.</w:t>
            </w:r>
            <w:r>
              <w:rPr>
                <w:b w:val="0"/>
                <w:i w:val="0"/>
                <w:strike w:val="0"/>
              </w:rPr>
              <w:t xml:space="preserve"> </w:t>
            </w:r>
            <w:r>
              <w:rPr>
                <w:b w:val="0"/>
                <w:i/>
                <w:strike w:val="0"/>
                <w:color w:val="843C0C"/>
                <w:sz w:val="16"/>
              </w:rPr>
              <w:t xml:space="preserve"> [Aug 2026 onboarding flow]</w:t>
            </w:r>
          </w:p>
          <w:p>
            <w:pPr>
              <w:pStyle w:val="ListBullet"/>
            </w:pPr>
            <w:r>
              <w:rPr>
                <w:b/>
                <w:i/>
                <w:strike w:val="0"/>
                <w:color w:val="843C0C"/>
              </w:rPr>
              <w:t>A failed payment can be retried without losing the work already done.</w:t>
            </w:r>
            <w:r>
              <w:rPr>
                <w:b w:val="0"/>
                <w:i w:val="0"/>
                <w:strike w:val="0"/>
              </w:rPr>
              <w:t xml:space="preserve"> </w:t>
            </w:r>
            <w:r>
              <w:rPr>
                <w:b w:val="0"/>
                <w:i/>
                <w:strike w:val="0"/>
                <w:color w:val="843C0C"/>
                <w:sz w:val="16"/>
              </w:rPr>
              <w:t xml:space="preserve"> [Aug 2026 onboarding flow]</w:t>
            </w:r>
          </w:p>
        </w:tc>
      </w:tr>
    </w:tbl>
    <w:tbl>
      <w:tblPr>
        <w:tblStyle w:val="TableGrid"/>
        <w:tblW w:type="auto" w:w="0"/>
        <w:tblLook w:firstColumn="1" w:firstRow="1" w:lastColumn="0" w:lastRow="0" w:noHBand="0" w:noVBand="1" w:val="04A0"/>
      </w:tblPr>
      <w:tblGrid>
        <w:gridCol w:w="8640"/>
      </w:tblGrid>
      <w:tr>
        <w:tc>
          <w:tcPr>
            <w:tcW w:type="dxa" w:w="8640"/>
            <w:shd w:val="clear" w:fill="FFF2CC"/>
          </w:tcPr>
          <w:p>
            <w:r>
              <w:rPr>
                <w:b/>
                <w:i w:val="0"/>
                <w:strike w:val="0"/>
              </w:rPr>
              <w:t>OPEN QUESTION</w:t>
            </w:r>
            <w:r>
              <w:rPr>
                <w:b w:val="0"/>
                <w:i w:val="0"/>
                <w:strike w:val="0"/>
              </w:rPr>
              <w:t xml:space="preserve"> </w:t>
            </w:r>
            <w:r>
              <w:rPr>
                <w:b w:val="0"/>
                <w:i/>
                <w:strike w:val="0"/>
              </w:rPr>
              <w:t>(amber — new in v7.0)</w:t>
            </w:r>
          </w:p>
          <w:p>
            <w:r>
              <w:rPr>
                <w:b/>
                <w:i w:val="0"/>
                <w:strike w:val="0"/>
              </w:rPr>
              <w:t>💬 Questions still to confirm</w:t>
            </w:r>
          </w:p>
          <w:p>
            <w:pPr>
              <w:pStyle w:val="ListBullet"/>
            </w:pPr>
            <w:r>
              <w:rPr>
                <w:b/>
                <w:i/>
                <w:strike w:val="0"/>
                <w:color w:val="843C0C"/>
              </w:rPr>
              <w:t>Merchant of record (ON-01): CC-06 makes Synergy the reseller who bills firms directly, but the firm now pays through the platform. Who receives the money, issues the invoice, and handles VAT and refunds? This is a contract question with a direct build consequence and it blocks the Section 5.7 estimate.</w:t>
            </w:r>
            <w:r>
              <w:rPr>
                <w:b w:val="0"/>
                <w:i w:val="0"/>
                <w:strike w:val="0"/>
              </w:rPr>
              <w:t xml:space="preserve"> </w:t>
            </w:r>
            <w:r>
              <w:rPr>
                <w:b w:val="0"/>
                <w:i/>
                <w:strike w:val="0"/>
                <w:color w:val="843C0C"/>
                <w:sz w:val="16"/>
              </w:rPr>
              <w:t xml:space="preserve"> [Aug 2026 onboarding flow]</w:t>
            </w:r>
          </w:p>
          <w:p>
            <w:pPr>
              <w:pStyle w:val="ListBullet"/>
            </w:pPr>
            <w:r>
              <w:rPr>
                <w:b/>
                <w:i/>
                <w:strike w:val="0"/>
                <w:color w:val="843C0C"/>
              </w:rPr>
              <w:t>Recurrence and renewal (ON-02): is the onboarding payment a one-off unlock, or the first instalment of a subscription the platform then manages? If the latter — what happens on a failed renewal? Re-locking a regulated firm out of its own evidence is not obviously acceptable.</w:t>
            </w:r>
            <w:r>
              <w:rPr>
                <w:b w:val="0"/>
                <w:i w:val="0"/>
                <w:strike w:val="0"/>
              </w:rPr>
              <w:t xml:space="preserve"> </w:t>
            </w:r>
            <w:r>
              <w:rPr>
                <w:b w:val="0"/>
                <w:i/>
                <w:strike w:val="0"/>
                <w:color w:val="843C0C"/>
                <w:sz w:val="16"/>
              </w:rPr>
              <w:t xml:space="preserve"> [Aug 2026 onboarding flow]</w:t>
            </w:r>
          </w:p>
          <w:p>
            <w:pPr>
              <w:pStyle w:val="ListBullet"/>
            </w:pPr>
            <w:r>
              <w:rPr>
                <w:b/>
                <w:i/>
                <w:strike w:val="0"/>
                <w:color w:val="843C0C"/>
              </w:rPr>
              <w:t>Payment provider and currency (ON-03): which provider, which currencies, and does the firm pay by card, SEPA transfer, or invoice? An invoice-and-transfer model would mean no in-platform card payment at all and a much smaller build — worth deciding before assuming a checkout.</w:t>
            </w:r>
            <w:r>
              <w:rPr>
                <w:b w:val="0"/>
                <w:i w:val="0"/>
                <w:strike w:val="0"/>
              </w:rPr>
              <w:t xml:space="preserve"> </w:t>
            </w:r>
            <w:r>
              <w:rPr>
                <w:b w:val="0"/>
                <w:i/>
                <w:strike w:val="0"/>
                <w:color w:val="843C0C"/>
                <w:sz w:val="16"/>
              </w:rPr>
              <w:t xml:space="preserve"> [Aug 2026 onboarding flow]</w:t>
            </w:r>
          </w:p>
          <w:p>
            <w:pPr>
              <w:pStyle w:val="ListBullet"/>
            </w:pPr>
            <w:r>
              <w:rPr>
                <w:b/>
                <w:i/>
                <w:strike w:val="0"/>
                <w:color w:val="843C0C"/>
              </w:rPr>
              <w:t>Link lifetime (ON-04): what is the default expiry on an onboarding link, and can a firm that lets it lapse be re-invited automatically or only by Sosinna's team?</w:t>
            </w:r>
            <w:r>
              <w:rPr>
                <w:b w:val="0"/>
                <w:i w:val="0"/>
                <w:strike w:val="0"/>
              </w:rPr>
              <w:t xml:space="preserve"> </w:t>
            </w:r>
            <w:r>
              <w:rPr>
                <w:b w:val="0"/>
                <w:i/>
                <w:strike w:val="0"/>
                <w:color w:val="843C0C"/>
                <w:sz w:val="16"/>
              </w:rPr>
              <w:t xml:space="preserve"> [Aug 2026 onboarding flow]</w:t>
            </w:r>
          </w:p>
          <w:p>
            <w:pPr>
              <w:pStyle w:val="ListBullet"/>
            </w:pPr>
            <w:r>
              <w:rPr>
                <w:b/>
                <w:i/>
                <w:strike w:val="0"/>
                <w:color w:val="843C0C"/>
              </w:rPr>
              <w:t>Call tree gaps — block or warn (ON-05): can a firm finish onboarding with unresolved call-tree or reporting-manager gaps if it acknowledges them, or is a complete chain mandatory before payment? FR-122 assumes acknowledgement is enough.</w:t>
            </w:r>
            <w:r>
              <w:rPr>
                <w:b w:val="0"/>
                <w:i w:val="0"/>
                <w:strike w:val="0"/>
              </w:rPr>
              <w:t xml:space="preserve"> </w:t>
            </w:r>
            <w:r>
              <w:rPr>
                <w:b w:val="0"/>
                <w:i/>
                <w:strike w:val="0"/>
                <w:color w:val="843C0C"/>
                <w:sz w:val="16"/>
              </w:rPr>
              <w:t xml:space="preserve"> [Aug 2026 onboarding flow]</w:t>
            </w:r>
          </w:p>
          <w:p>
            <w:pPr>
              <w:pStyle w:val="ListBullet"/>
            </w:pPr>
            <w:r>
              <w:rPr>
                <w:b/>
                <w:i/>
                <w:strike w:val="0"/>
                <w:color w:val="843C0C"/>
              </w:rPr>
              <w:t>Staff data volume at onboarding (ON-06): must the firm load its entire headcount before it can pay, or only the compliance-relevant staff, with the rest added later? The client's worked example was 42 staff for 9 platform users — a real ask to complete before a firm has access to anything.</w:t>
            </w:r>
            <w:r>
              <w:rPr>
                <w:b w:val="0"/>
                <w:i w:val="0"/>
                <w:strike w:val="0"/>
              </w:rPr>
              <w:t xml:space="preserve"> </w:t>
            </w:r>
            <w:r>
              <w:rPr>
                <w:b w:val="0"/>
                <w:i/>
                <w:strike w:val="0"/>
                <w:color w:val="843C0C"/>
                <w:sz w:val="16"/>
              </w:rPr>
              <w:t xml:space="preserve"> [Aug 2026 onboarding flow]</w:t>
            </w:r>
          </w:p>
          <w:p>
            <w:pPr>
              <w:pStyle w:val="ListBullet"/>
            </w:pPr>
            <w:r>
              <w:rPr>
                <w:b/>
                <w:i/>
                <w:strike w:val="0"/>
                <w:color w:val="843C0C"/>
              </w:rPr>
              <w:t>Enquiry intake route (ON-07): does the marketing site post enquiries into the platform through an API, or does Sosinna's team re-key them? MKT-04's unresolved hosting/CMS question decides what is even possible here.</w:t>
            </w:r>
            <w:r>
              <w:rPr>
                <w:b w:val="0"/>
                <w:i w:val="0"/>
                <w:strike w:val="0"/>
              </w:rPr>
              <w:t xml:space="preserve"> </w:t>
            </w:r>
            <w:r>
              <w:rPr>
                <w:b w:val="0"/>
                <w:i/>
                <w:strike w:val="0"/>
                <w:color w:val="843C0C"/>
                <w:sz w:val="16"/>
              </w:rPr>
              <w:t xml:space="preserve"> [Aug 2026 onboarding flow]</w:t>
            </w:r>
          </w:p>
          <w:p>
            <w:pPr>
              <w:pStyle w:val="ListBullet"/>
            </w:pPr>
            <w:r>
              <w:rPr>
                <w:b/>
                <w:i/>
                <w:strike w:val="0"/>
                <w:color w:val="843C0C"/>
              </w:rPr>
              <w:t>Retention of dead enquiries and abandoned onboardings (ON-08): SA-18 says an enquiry is never deleted, and abandoned onboardings hold real firm data — licence numbers, financial reports, staff names. Section 2's never-delete rule was written for the compliance record of paying clients, not for prospects who walked away. GDPR data minimisation points the other way. Needs a retention rule of its own.</w:t>
            </w:r>
            <w:r>
              <w:rPr>
                <w:b w:val="0"/>
                <w:i w:val="0"/>
                <w:strike w:val="0"/>
              </w:rPr>
              <w:t xml:space="preserve"> </w:t>
            </w:r>
            <w:r>
              <w:rPr>
                <w:b w:val="0"/>
                <w:i/>
                <w:strike w:val="0"/>
                <w:color w:val="843C0C"/>
                <w:sz w:val="16"/>
              </w:rPr>
              <w:t xml:space="preserve"> [Aug 2026 onboarding flow]</w:t>
            </w:r>
          </w:p>
        </w:tc>
      </w:tr>
    </w:tbl>
    <w:p>
      <w:pPr>
        <w:pStyle w:val="Heading1"/>
      </w:pPr>
      <w:r>
        <w:t>6. Written Supervisory Procedures (WSP)</w:t>
      </w:r>
    </w:p>
    <w:p>
      <w:r>
        <w:rPr>
          <w:b w:val="0"/>
          <w:i w:val="0"/>
          <w:strike w:val="0"/>
        </w:rPr>
        <w:t>A Written Supervisory Procedure — WSP for short — is the firm's internal compliance manual. It describes, in the firm's own words, the policies and procedures they have in place to comply with each regulation. Regulators expect firms to have these procedures written down and kept up to date.</w:t>
      </w:r>
    </w:p>
    <w:p>
      <w:r>
        <w:rPr>
          <w:b w:val="0"/>
          <w:i w:val="0"/>
          <w:strike w:val="0"/>
        </w:rPr>
        <w:t>The WSP module in ControlIQ serves three purposes: it stores the firm's compliance manual, it checks that the manual actually covers all the rules the firm needs to comply with, and it alerts the firm when the manual needs to be updated because a regulation has changed.</w:t>
      </w:r>
    </w:p>
    <w:p>
      <w:pPr>
        <w:pStyle w:val="Heading2"/>
      </w:pPr>
      <w:r>
        <w:t>6.1 Uploading the WSP</w:t>
      </w:r>
    </w:p>
    <w:p>
      <w:r>
        <w:rPr>
          <w:b/>
          <w:i w:val="0"/>
          <w:strike w:val="0"/>
          <w:color w:val="1155CC"/>
        </w:rPr>
        <w:t>[FR-30]</w:t>
      </w:r>
      <w:r>
        <w:rPr>
          <w:b w:val="0"/>
          <w:i w:val="0"/>
          <w:strike w:val="0"/>
        </w:rPr>
        <w:t xml:space="preserve"> The firm uploads their entire compliance manual as a single document — not section by section. The platform accepts standard Word documents (.docx) and PDFs. It also accepts scanned PDFs (a scanned PDF is a photograph of a physical document — the platform uses OCR, which stands for Optical Character Recognition, to read the text from the scan automatically).</w:t>
      </w:r>
    </w:p>
    <w:p>
      <w:pPr>
        <w:pStyle w:val="Heading2"/>
      </w:pPr>
      <w:r>
        <w:t>6.2 AI-Assisted Rule Mapping</w:t>
      </w:r>
    </w:p>
    <w:p>
      <w:r>
        <w:rPr>
          <w:b w:val="0"/>
          <w:i w:val="0"/>
          <w:strike w:val="0"/>
        </w:rPr>
        <w:t>Once the document is uploaded, the platform uses artificial intelligence to read through it and suggest which regulations each section of the manual is addressing. For example, it might suggest that pages 12–15 cover the firm's transaction monitoring obligations under MiCA Art. 92.</w:t>
      </w:r>
    </w:p>
    <w:p>
      <w:r>
        <w:rPr>
          <w:b/>
          <w:i w:val="0"/>
          <w:strike w:val="0"/>
          <w:color w:val="1155CC"/>
        </w:rPr>
        <w:t>[FR-31]</w:t>
      </w:r>
      <w:r>
        <w:rPr>
          <w:b w:val="0"/>
          <w:i w:val="0"/>
          <w:strike w:val="0"/>
        </w:rPr>
        <w:t xml:space="preserve"> The AI suggestions are a starting point only — not a final determination. A compliance officer reviews each suggestion and either confirms it or adjusts it. The AI makes the process faster; the human makes the final call.</w:t>
      </w:r>
    </w:p>
    <w:p>
      <w:r>
        <w:rPr>
          <w:b/>
          <w:i w:val="0"/>
          <w:strike w:val="0"/>
        </w:rPr>
        <w:t>💬 Sosinna's comment (accepted by Jomin, 3 Jul 2026):</w:t>
      </w:r>
      <w:r>
        <w:rPr>
          <w:b w:val="0"/>
          <w:i w:val="0"/>
          <w:strike w:val="0"/>
        </w:rPr>
        <w:t xml:space="preserve"> </w:t>
      </w:r>
      <w:r>
        <w:rPr>
          <w:b w:val="0"/>
          <w:i/>
          <w:strike w:val="0"/>
          <w:color w:val="C55A11"/>
        </w:rPr>
        <w:t>the AI-assisted mapping feature must achieve a minimum verified accuracy rate of 85% against pre-defined verification text vectors during UAT. All the work to hit and maintain that bar — prompt engineering, vector database indexing, algorithmic tuning — is inside the initial fixed-fee scope. It does not trigger additional development cost. This supersedes the note below, which previously left accuracy entirely up to SayOne's internal judgement.</w:t>
      </w:r>
      <w:r>
        <w:rPr>
          <w:b w:val="0"/>
          <w:i w:val="0"/>
          <w:strike w:val="0"/>
        </w:rPr>
        <w:t xml:space="preserve"> </w:t>
      </w:r>
      <w:r>
        <w:rPr>
          <w:b w:val="0"/>
          <w:i/>
          <w:strike w:val="0"/>
          <w:color w:val="C55A11"/>
          <w:sz w:val="16"/>
        </w:rPr>
        <w:t xml:space="preserve"> [Sosinna's Drive comment]</w:t>
      </w:r>
    </w:p>
    <w:tbl>
      <w:tblPr>
        <w:tblStyle w:val="TableGrid"/>
        <w:tblW w:type="auto" w:w="0"/>
        <w:tblLook w:firstColumn="1" w:firstRow="1" w:lastColumn="0" w:lastRow="0" w:noHBand="0" w:noVBand="1" w:val="04A0"/>
      </w:tblPr>
      <w:tblGrid>
        <w:gridCol w:w="8640"/>
      </w:tblGrid>
      <w:tr>
        <w:tc>
          <w:tcPr>
            <w:tcW w:type="dxa" w:w="8640"/>
            <w:shd w:val="clear" w:fill="EDEDED"/>
          </w:tcPr>
          <w:p>
            <w:r>
              <w:rPr>
                <w:b/>
                <w:i w:val="0"/>
                <w:strike w:val="0"/>
              </w:rPr>
              <w:t>DEVELOPER NOTE</w:t>
            </w:r>
            <w:r>
              <w:rPr>
                <w:b w:val="0"/>
                <w:i w:val="0"/>
                <w:strike w:val="0"/>
              </w:rPr>
              <w:t xml:space="preserve"> </w:t>
            </w:r>
            <w:r>
              <w:rPr>
                <w:b w:val="0"/>
                <w:i/>
                <w:strike w:val="0"/>
              </w:rPr>
              <w:t>(grey)</w:t>
            </w:r>
          </w:p>
          <w:p>
            <w:r>
              <w:rPr>
                <w:b/>
                <w:i w:val="0"/>
                <w:strike w:val="0"/>
              </w:rPr>
              <w:t>📌 Note</w:t>
            </w:r>
          </w:p>
          <w:p>
            <w:pPr>
              <w:pStyle w:val="ListBullet"/>
            </w:pPr>
            <w:r>
              <w:rPr>
                <w:b w:val="0"/>
                <w:i/>
                <w:strike w:val="0"/>
              </w:rPr>
              <w:t>Superseded — kept for context only: this note previously said the acceptable accuracy rate was an internal SayOne decision, not something Sosinna's team needed to weigh in on. That is no longer the case — see the accepted 85% UAT threshold above.</w:t>
            </w:r>
          </w:p>
        </w:tc>
      </w:tr>
    </w:tbl>
    <w:p>
      <w:pPr>
        <w:pStyle w:val="Heading2"/>
      </w:pPr>
      <w:r>
        <w:t>6.3 Sign-Off on Every Mapping</w:t>
      </w:r>
    </w:p>
    <w:p>
      <w:r>
        <w:rPr>
          <w:b/>
          <w:i w:val="0"/>
          <w:strike w:val="0"/>
          <w:color w:val="1155CC"/>
        </w:rPr>
        <w:t>[FR-32]</w:t>
      </w:r>
      <w:r>
        <w:rPr>
          <w:b w:val="0"/>
          <w:i w:val="0"/>
          <w:strike w:val="0"/>
        </w:rPr>
        <w:t xml:space="preserve"> Before any rule mapping is confirmed — or changed — two senior people at the firm must independently approve it. The person who wrote the policy cannot be one of the two approvers. This two-person sign-off rule is there to prevent any single person from unilaterally confirming that the firm's manual is compliant when it may not be.</w:t>
      </w:r>
    </w:p>
    <w:p>
      <w:r>
        <w:rPr>
          <w:b/>
          <w:i w:val="0"/>
          <w:strike w:val="0"/>
          <w:color w:val="1155CC"/>
        </w:rPr>
        <w:t>[FR-33]</w:t>
      </w:r>
      <w:r>
        <w:rPr>
          <w:b w:val="0"/>
          <w:i w:val="0"/>
          <w:strike w:val="0"/>
        </w:rPr>
        <w:t xml:space="preserve"> If a previously confirmed mapping is reversed — meaning a section of the manual is untagged from a rule it was previously mapped to — the same two-person approval process applies. The reversal, the two approvers, and the date are permanently recorded.</w:t>
      </w:r>
    </w:p>
    <w:p>
      <w:r>
        <w:rPr>
          <w:b/>
          <w:i w:val="0"/>
          <w:strike w:val="0"/>
        </w:rPr>
        <w:t>💬 Sosinna's comment (GAP-09 answer):</w:t>
      </w:r>
      <w:r>
        <w:rPr>
          <w:b w:val="0"/>
          <w:i w:val="0"/>
          <w:strike w:val="0"/>
        </w:rPr>
        <w:t xml:space="preserve"> </w:t>
      </w:r>
      <w:r>
        <w:rPr>
          <w:b w:val="0"/>
          <w:i/>
          <w:strike w:val="0"/>
          <w:color w:val="C55A11"/>
        </w:rPr>
        <w:t>the mapping should re-run automatically whenever a new WSP version is uploaded and correctly labelled — it shouldn't rely on someone remembering to re-map. Manual override of an automatic mapping is allowed, but any manual change must carry a visible tag flagging that it was a human override, not an AI or system-generated mapping.</w:t>
      </w:r>
      <w:r>
        <w:rPr>
          <w:b w:val="0"/>
          <w:i w:val="0"/>
          <w:strike w:val="0"/>
        </w:rPr>
        <w:t xml:space="preserve"> </w:t>
      </w:r>
      <w:r>
        <w:rPr>
          <w:b w:val="0"/>
          <w:i/>
          <w:strike w:val="0"/>
          <w:color w:val="C55A11"/>
          <w:sz w:val="16"/>
        </w:rPr>
        <w:t xml:space="preserve"> [Sosinna's Drive comment]</w:t>
      </w:r>
    </w:p>
    <w:p>
      <w:pPr>
        <w:pStyle w:val="Heading2"/>
      </w:pPr>
      <w:r>
        <w:t>6.4 Gap Analysis</w:t>
      </w:r>
    </w:p>
    <w:p>
      <w:r>
        <w:rPr>
          <w:b/>
          <w:i w:val="0"/>
          <w:strike w:val="0"/>
          <w:color w:val="1155CC"/>
        </w:rPr>
        <w:t>[FR-34]</w:t>
      </w:r>
      <w:r>
        <w:rPr>
          <w:b w:val="0"/>
          <w:i w:val="0"/>
          <w:strike w:val="0"/>
        </w:rPr>
        <w:t xml:space="preserve"> At any point, the platform shows a real-time gap analysis: which of the firm's required Requirement IDs have a corresponding section in their compliance manual, and which do not. Any gap is flagged on the firm's dashboard as a compliance gap that needs to be addressed.</w:t>
      </w:r>
    </w:p>
    <w:p>
      <w:pPr>
        <w:pStyle w:val="Heading2"/>
      </w:pPr>
      <w:r>
        <w:t>6.5 Staying Up to Date</w:t>
      </w:r>
    </w:p>
    <w:p>
      <w:r>
        <w:rPr>
          <w:b/>
          <w:i w:val="0"/>
          <w:strike w:val="0"/>
          <w:color w:val="1155CC"/>
        </w:rPr>
        <w:t>[FR-35]</w:t>
      </w:r>
      <w:r>
        <w:rPr>
          <w:b w:val="0"/>
          <w:i w:val="0"/>
          <w:strike w:val="0"/>
        </w:rPr>
        <w:t xml:space="preserve"> When the Platform Admin Portal detects a change to a regulation that the firm is subject to, the firm is immediately alerted. The specific sections of their compliance manual that were mapped to the affected rule are flagged for review. This review is not deferred to the next testing cycle — it is triggered straight away.</w:t>
      </w:r>
    </w:p>
    <w:p>
      <w:r>
        <w:rPr>
          <w:b/>
          <w:i w:val="0"/>
          <w:strike w:val="0"/>
          <w:color w:val="1155CC"/>
        </w:rPr>
        <w:t>[FR-36]</w:t>
      </w:r>
      <w:r>
        <w:rPr>
          <w:b w:val="0"/>
          <w:i w:val="0"/>
          <w:strike w:val="0"/>
        </w:rPr>
        <w:t xml:space="preserve"> Regardless of whether anything changes, the platform triggers an annual review of the entire compliance manual. The CCO and designated approvers sign off that they have reviewed the document and either updated it or confirmed that no changes were needed.</w:t>
      </w:r>
    </w:p>
    <w:p>
      <w:r>
        <w:rPr>
          <w:b/>
          <w:i w:val="0"/>
          <w:strike w:val="0"/>
          <w:color w:val="1155CC"/>
        </w:rPr>
        <w:t>[FR-37]</w:t>
      </w:r>
      <w:r>
        <w:rPr>
          <w:b w:val="0"/>
          <w:i w:val="0"/>
          <w:strike w:val="0"/>
        </w:rPr>
        <w:t xml:space="preserve"> Every version of the uploaded compliance manual, and every change to any rule mapping, is kept permanently with a complete version history. Nothing is overwritten.</w:t>
      </w:r>
    </w:p>
    <w:tbl>
      <w:tblPr>
        <w:tblStyle w:val="TableGrid"/>
        <w:tblW w:type="auto" w:w="0"/>
        <w:tblLook w:firstColumn="1" w:firstRow="1" w:lastColumn="0" w:lastRow="0" w:noHBand="0" w:noVBand="1" w:val="04A0"/>
      </w:tblPr>
      <w:tblGrid>
        <w:gridCol w:w="8640"/>
      </w:tblGrid>
      <w:tr>
        <w:tc>
          <w:tcPr>
            <w:tcW w:type="dxa" w:w="8640"/>
            <w:shd w:val="clear" w:fill="E2EFDA"/>
          </w:tcPr>
          <w:p>
            <w:r>
              <w:rPr>
                <w:b/>
                <w:i w:val="0"/>
                <w:strike w:val="0"/>
              </w:rPr>
              <w:t>CONFIRMED</w:t>
            </w:r>
            <w:r>
              <w:rPr>
                <w:b w:val="0"/>
                <w:i w:val="0"/>
                <w:strike w:val="0"/>
              </w:rPr>
              <w:t xml:space="preserve"> </w:t>
            </w:r>
            <w:r>
              <w:rPr>
                <w:b w:val="0"/>
                <w:i/>
                <w:strike w:val="0"/>
              </w:rPr>
              <w:t>(green — agreed decision)</w:t>
            </w:r>
          </w:p>
          <w:p>
            <w:r>
              <w:rPr>
                <w:b/>
                <w:i w:val="0"/>
                <w:strike w:val="0"/>
              </w:rPr>
              <w:t>✅ What we have agreed</w:t>
            </w:r>
          </w:p>
          <w:p>
            <w:pPr>
              <w:pStyle w:val="ListBullet"/>
            </w:pPr>
            <w:r>
              <w:rPr>
                <w:b w:val="0"/>
                <w:i w:val="0"/>
                <w:strike w:val="0"/>
              </w:rPr>
              <w:t>The firm uploads the complete compliance manual as one document — not section by section.</w:t>
            </w:r>
          </w:p>
          <w:p>
            <w:pPr>
              <w:pStyle w:val="ListBullet"/>
            </w:pPr>
            <w:r>
              <w:rPr>
                <w:b w:val="0"/>
                <w:i w:val="0"/>
                <w:strike w:val="0"/>
              </w:rPr>
              <w:t>Scanned PDFs are supported — the platform reads them using OCR.</w:t>
            </w:r>
          </w:p>
          <w:p>
            <w:pPr>
              <w:pStyle w:val="ListBullet"/>
            </w:pPr>
            <w:r>
              <w:rPr>
                <w:b w:val="0"/>
                <w:i w:val="0"/>
                <w:strike w:val="0"/>
              </w:rPr>
              <w:t>Any mapping, change, or reversal requires two-person sign-off. The policy author cannot be one of the approvers.</w:t>
            </w:r>
          </w:p>
          <w:p>
            <w:pPr>
              <w:pStyle w:val="ListBullet"/>
            </w:pPr>
            <w:r>
              <w:rPr>
                <w:b w:val="0"/>
                <w:i w:val="0"/>
                <w:strike w:val="0"/>
              </w:rPr>
              <w:t>Regulation changes trigger an immediate alert and WSP review — not deferred to the next test cycle.</w:t>
            </w:r>
          </w:p>
          <w:p>
            <w:pPr>
              <w:pStyle w:val="ListBullet"/>
            </w:pPr>
            <w:r>
              <w:rPr>
                <w:b/>
                <w:i/>
                <w:strike w:val="0"/>
                <w:color w:val="C55A11"/>
              </w:rPr>
              <w:t>AI mapping accuracy: minimum 85% verified at UAT, tuning included in the fixed fee (accepted 3 Jul 2026).</w:t>
            </w:r>
            <w:r>
              <w:rPr>
                <w:b w:val="0"/>
                <w:i w:val="0"/>
                <w:strike w:val="0"/>
              </w:rPr>
              <w:t xml:space="preserve"> </w:t>
            </w:r>
            <w:r>
              <w:rPr>
                <w:b w:val="0"/>
                <w:i/>
                <w:strike w:val="0"/>
                <w:color w:val="C55A11"/>
                <w:sz w:val="16"/>
              </w:rPr>
              <w:t xml:space="preserve"> [Sosinna's Drive comment]</w:t>
            </w:r>
          </w:p>
          <w:p>
            <w:pPr>
              <w:pStyle w:val="ListBullet"/>
            </w:pPr>
            <w:r>
              <w:rPr>
                <w:b/>
                <w:i/>
                <w:strike w:val="0"/>
                <w:color w:val="C55A11"/>
              </w:rPr>
              <w:t>Re-mapping triggers automatically on new WSP upload; manual overrides are permitted but must be tagged as manual.</w:t>
            </w:r>
            <w:r>
              <w:rPr>
                <w:b w:val="0"/>
                <w:i w:val="0"/>
                <w:strike w:val="0"/>
              </w:rPr>
              <w:t xml:space="preserve"> </w:t>
            </w:r>
            <w:r>
              <w:rPr>
                <w:b w:val="0"/>
                <w:i/>
                <w:strike w:val="0"/>
                <w:color w:val="C55A11"/>
                <w:sz w:val="16"/>
              </w:rPr>
              <w:t xml:space="preserve"> [Sosinna's Drive comment]</w:t>
            </w:r>
          </w:p>
        </w:tc>
      </w:tr>
    </w:tbl>
    <w:p>
      <w:pPr>
        <w:pStyle w:val="Heading1"/>
      </w:pPr>
      <w:r>
        <w:t>7. Running Compliance Tests</w:t>
      </w:r>
    </w:p>
    <w:p>
      <w:r>
        <w:rPr>
          <w:b w:val="0"/>
          <w:i w:val="0"/>
          <w:strike w:val="0"/>
        </w:rPr>
        <w:t>This is the core of the platform. The compliance testing module is where the firm's compliance team actually does the work: running tests, collecting evidence, recording what they find, and feeding results into the reporting process.</w:t>
      </w:r>
    </w:p>
    <w:p>
      <w:r>
        <w:rPr>
          <w:b w:val="0"/>
          <w:i w:val="0"/>
          <w:strike w:val="0"/>
        </w:rPr>
        <w:t>Every test the firm runs is based on one of the Requirement IDs built by Sosinna's team in the Platform Admin Portal. The test procedure — the step-by-step instructions — comes from that portal. The compliance team's job is to follow those steps, upload the required evidence, and record an honest result.</w:t>
      </w:r>
    </w:p>
    <w:p>
      <w:pPr>
        <w:pStyle w:val="Heading2"/>
      </w:pPr>
      <w:r>
        <w:t>7.1 The Full Testing Workflow — Step by Step</w:t>
      </w:r>
    </w:p>
    <w:p>
      <w:r>
        <w:rPr>
          <w:b w:val="0"/>
          <w:i w:val="0"/>
          <w:strike w:val="0"/>
        </w:rPr>
        <w:t>Here is the complete sequence of events from the moment a test is due to the moment the final report is distributed:</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4E79"/>
          </w:tcPr>
          <w:p>
            <w:r>
              <w:rPr>
                <w:b/>
                <w:color w:val="FFFFFF"/>
              </w:rPr>
            </w:r>
            <w:r>
              <w:rPr>
                <w:b/>
                <w:i w:val="0"/>
                <w:strike w:val="0"/>
                <w:color w:val="FFFFFF"/>
              </w:rPr>
              <w:t>#</w:t>
            </w:r>
          </w:p>
        </w:tc>
        <w:tc>
          <w:tcPr>
            <w:tcW w:type="dxa" w:w="2880"/>
            <w:shd w:val="clear" w:fill="1F4E79"/>
          </w:tcPr>
          <w:p>
            <w:r>
              <w:rPr>
                <w:b/>
                <w:color w:val="FFFFFF"/>
              </w:rPr>
            </w:r>
            <w:r>
              <w:rPr>
                <w:b/>
                <w:i w:val="0"/>
                <w:strike w:val="0"/>
                <w:color w:val="FFFFFF"/>
              </w:rPr>
              <w:t>Who</w:t>
            </w:r>
          </w:p>
        </w:tc>
        <w:tc>
          <w:tcPr>
            <w:tcW w:type="dxa" w:w="2880"/>
            <w:shd w:val="clear" w:fill="1F4E79"/>
          </w:tcPr>
          <w:p>
            <w:r>
              <w:rPr>
                <w:b/>
                <w:color w:val="FFFFFF"/>
              </w:rPr>
            </w:r>
            <w:r>
              <w:rPr>
                <w:b/>
                <w:i w:val="0"/>
                <w:strike w:val="0"/>
                <w:color w:val="FFFFFF"/>
              </w:rPr>
              <w:t>What happens</w:t>
            </w:r>
          </w:p>
        </w:tc>
      </w:tr>
      <w:tr>
        <w:tc>
          <w:tcPr>
            <w:tcW w:type="dxa" w:w="2880"/>
          </w:tcPr>
          <w:p>
            <w:r/>
            <w:r>
              <w:rPr>
                <w:b w:val="0"/>
                <w:i w:val="0"/>
                <w:strike w:val="0"/>
              </w:rPr>
              <w:t>1</w:t>
            </w:r>
          </w:p>
        </w:tc>
        <w:tc>
          <w:tcPr>
            <w:tcW w:type="dxa" w:w="2880"/>
          </w:tcPr>
          <w:p>
            <w:r/>
            <w:r>
              <w:rPr>
                <w:b w:val="0"/>
                <w:i w:val="0"/>
                <w:strike w:val="0"/>
              </w:rPr>
              <w:t>Platform</w:t>
            </w:r>
          </w:p>
        </w:tc>
        <w:tc>
          <w:tcPr>
            <w:tcW w:type="dxa" w:w="2880"/>
          </w:tcPr>
          <w:p>
            <w:r/>
            <w:r>
              <w:rPr>
                <w:b/>
                <w:i/>
                <w:strike w:val="0"/>
                <w:color w:val="7030A0"/>
              </w:rPr>
              <w:t>REVISED in v5.0.</w:t>
            </w:r>
            <w:r>
              <w:rPr>
                <w:b w:val="0"/>
                <w:i w:val="0"/>
                <w:strike w:val="0"/>
              </w:rPr>
              <w:t xml:space="preserve"> The platform derives every test the firm owes from its active Requirement IDs and their required frequencies — some monthly, some quarterly, some annual — and places them in a </w:t>
            </w:r>
            <w:r>
              <w:rPr>
                <w:b/>
                <w:i w:val="0"/>
                <w:strike w:val="0"/>
              </w:rPr>
              <w:t>pending-item pool</w:t>
            </w:r>
            <w:r>
              <w:rPr>
                <w:b w:val="0"/>
                <w:i w:val="0"/>
                <w:strike w:val="0"/>
              </w:rPr>
              <w:t xml:space="preserve"> rather than writing each one into the calendar as its own scheduled entry. The CCO can also manually create additional one-off reviews at any time. </w:t>
            </w:r>
            <w:r>
              <w:rPr>
                <w:b w:val="0"/>
                <w:i/>
                <w:strike w:val="0"/>
                <w:color w:val="7030A0"/>
              </w:rPr>
              <w:t>Superseded text, kept for context: "The platform's testing calendar automatically schedules all regulatory tests…" — see Section 7.2 for why this changed.</w:t>
            </w:r>
            <w:r>
              <w:rPr>
                <w:b w:val="0"/>
                <w:i w:val="0"/>
                <w:strike w:val="0"/>
              </w:rPr>
              <w:t xml:space="preserve"> </w:t>
            </w:r>
            <w:r>
              <w:rPr>
                <w:b w:val="0"/>
                <w:i/>
                <w:strike w:val="0"/>
                <w:color w:val="7030A0"/>
                <w:sz w:val="16"/>
              </w:rPr>
              <w:t xml:space="preserve"> [Aug 2026 client MOM]</w:t>
            </w:r>
          </w:p>
        </w:tc>
      </w:tr>
      <w:tr>
        <w:tc>
          <w:tcPr>
            <w:tcW w:type="dxa" w:w="2880"/>
          </w:tcPr>
          <w:p>
            <w:r/>
            <w:r>
              <w:rPr>
                <w:b w:val="0"/>
                <w:i w:val="0"/>
                <w:strike w:val="0"/>
              </w:rPr>
              <w:t>2</w:t>
            </w:r>
          </w:p>
        </w:tc>
        <w:tc>
          <w:tcPr>
            <w:tcW w:type="dxa" w:w="2880"/>
          </w:tcPr>
          <w:p>
            <w:r/>
            <w:r>
              <w:rPr>
                <w:b w:val="0"/>
                <w:i w:val="0"/>
                <w:strike w:val="0"/>
              </w:rPr>
              <w:t>CCO</w:t>
            </w:r>
          </w:p>
        </w:tc>
        <w:tc>
          <w:tcPr>
            <w:tcW w:type="dxa" w:w="2880"/>
          </w:tcPr>
          <w:p>
            <w:r/>
            <w:r>
              <w:rPr>
                <w:b/>
                <w:i/>
                <w:strike w:val="0"/>
                <w:color w:val="7030A0"/>
              </w:rPr>
              <w:t>REVISED in v5.0.</w:t>
            </w:r>
            <w:r>
              <w:rPr>
                <w:b w:val="0"/>
                <w:i w:val="0"/>
                <w:strike w:val="0"/>
              </w:rPr>
              <w:t xml:space="preserve"> The CCO works the pending pool: selects a specific article or requirement, sets its scope period, and assigns it to a Compliance Officer — their Lead Tester. This is a formal step. The Lead Tester receives a notification and cannot start the test without this assignment. </w:t>
            </w:r>
            <w:r>
              <w:rPr>
                <w:b w:val="0"/>
                <w:i/>
                <w:strike w:val="0"/>
                <w:color w:val="7030A0"/>
                <w:sz w:val="16"/>
              </w:rPr>
              <w:t xml:space="preserve"> [Aug 2026 client MOM]</w:t>
            </w:r>
            <w:r>
              <w:rPr>
                <w:b w:val="0"/>
                <w:i w:val="0"/>
                <w:strike w:val="0"/>
              </w:rPr>
              <w:t xml:space="preserve"> </w:t>
            </w:r>
            <w:r>
              <w:br/>
            </w:r>
            <w:r>
              <w:rPr>
                <w:b w:val="0"/>
                <w:i w:val="0"/>
                <w:strike w:val="0"/>
              </w:rPr>
              <w:t xml:space="preserve"> </w:t>
            </w:r>
            <w:r>
              <w:rPr>
                <w:b/>
                <w:i/>
                <w:strike w:val="0"/>
                <w:color w:val="008080"/>
              </w:rPr>
              <w:t>REVISED again in v6.0: where a regulation is large enough that one tester would be slow, the CCO can assign different articles of the same test to different testers instead — see FR-106.</w:t>
            </w:r>
            <w:r>
              <w:rPr>
                <w:b w:val="0"/>
                <w:i w:val="0"/>
                <w:strike w:val="0"/>
              </w:rPr>
              <w:t xml:space="preserve"> </w:t>
            </w:r>
            <w:r>
              <w:rPr>
                <w:b w:val="0"/>
                <w:i/>
                <w:strike w:val="0"/>
                <w:color w:val="008080"/>
                <w:sz w:val="16"/>
              </w:rPr>
              <w:t xml:space="preserve"> [11 Aug 2026 MOM]</w:t>
            </w:r>
          </w:p>
        </w:tc>
      </w:tr>
      <w:tr>
        <w:tc>
          <w:tcPr>
            <w:tcW w:type="dxa" w:w="2880"/>
          </w:tcPr>
          <w:p>
            <w:r/>
            <w:r>
              <w:rPr>
                <w:b w:val="0"/>
                <w:i w:val="0"/>
                <w:strike w:val="0"/>
              </w:rPr>
              <w:t>2a</w:t>
            </w:r>
          </w:p>
        </w:tc>
        <w:tc>
          <w:tcPr>
            <w:tcW w:type="dxa" w:w="2880"/>
          </w:tcPr>
          <w:p>
            <w:r/>
            <w:r>
              <w:rPr>
                <w:b w:val="0"/>
                <w:i w:val="0"/>
                <w:strike w:val="0"/>
              </w:rPr>
              <w:t>CCO / Platform</w:t>
            </w:r>
          </w:p>
        </w:tc>
        <w:tc>
          <w:tcPr>
            <w:tcW w:type="dxa" w:w="2880"/>
          </w:tcPr>
          <w:p>
            <w:r/>
            <w:r>
              <w:rPr>
                <w:b/>
                <w:i/>
                <w:strike w:val="0"/>
                <w:color w:val="7030A0"/>
              </w:rPr>
              <w:t>NEW in v5.0.</w:t>
            </w:r>
            <w:r>
              <w:rPr>
                <w:b w:val="0"/>
                <w:i w:val="0"/>
                <w:strike w:val="0"/>
              </w:rPr>
              <w:t xml:space="preserve"> Before testing begins, the business unit owner receives an </w:t>
            </w:r>
            <w:r>
              <w:rPr>
                <w:b/>
                <w:i w:val="0"/>
                <w:strike w:val="0"/>
              </w:rPr>
              <w:t>announcement letter</w:t>
            </w:r>
            <w:r>
              <w:rPr>
                <w:b w:val="0"/>
                <w:i w:val="0"/>
                <w:strike w:val="0"/>
              </w:rPr>
              <w:t xml:space="preserve"> and an </w:t>
            </w:r>
            <w:r>
              <w:rPr>
                <w:b/>
                <w:i w:val="0"/>
                <w:strike w:val="0"/>
              </w:rPr>
              <w:t>initial request list</w:t>
            </w:r>
            <w:r>
              <w:rPr>
                <w:b w:val="0"/>
                <w:i w:val="0"/>
                <w:strike w:val="0"/>
              </w:rPr>
              <w:t xml:space="preserve"> — the documents and records the tester will need. The date each item is requested is recorded from this moment. See Section 7.4. </w:t>
            </w:r>
            <w:r>
              <w:rPr>
                <w:b w:val="0"/>
                <w:i/>
                <w:strike w:val="0"/>
                <w:color w:val="7030A0"/>
                <w:sz w:val="16"/>
              </w:rPr>
              <w:t xml:space="preserve"> [Aug 2026 client MOM]</w:t>
            </w:r>
            <w:r>
              <w:rPr>
                <w:b w:val="0"/>
                <w:i w:val="0"/>
                <w:strike w:val="0"/>
              </w:rPr>
              <w:t xml:space="preserve"> </w:t>
            </w:r>
            <w:r>
              <w:br/>
            </w:r>
            <w:r>
              <w:rPr>
                <w:b w:val="0"/>
                <w:i w:val="0"/>
                <w:strike w:val="0"/>
              </w:rPr>
              <w:t xml:space="preserve"> </w:t>
            </w:r>
            <w:r>
              <w:rPr>
                <w:b/>
                <w:i/>
                <w:strike w:val="0"/>
                <w:color w:val="CC00CC"/>
              </w:rPr>
              <w:t>REVISED in v8.0: the announcement letter goes to a distribution list of all relevant business units, auto-populated by the platform — see FR-132. The letter carries a link that takes each business owner to their own dashboard of request items — see FR-133.</w:t>
            </w:r>
            <w:r>
              <w:rPr>
                <w:b w:val="0"/>
                <w:i w:val="0"/>
                <w:strike w:val="0"/>
              </w:rPr>
              <w:t xml:space="preserve"> </w:t>
            </w:r>
            <w:r>
              <w:rPr>
                <w:b w:val="0"/>
                <w:i/>
                <w:strike w:val="0"/>
                <w:color w:val="CC00CC"/>
                <w:sz w:val="16"/>
              </w:rPr>
              <w:t xml:space="preserve"> [14 Aug 2026 MOM]</w:t>
            </w:r>
          </w:p>
        </w:tc>
      </w:tr>
      <w:tr>
        <w:tc>
          <w:tcPr>
            <w:tcW w:type="dxa" w:w="2880"/>
          </w:tcPr>
          <w:p>
            <w:r/>
            <w:r>
              <w:rPr>
                <w:b w:val="0"/>
                <w:i w:val="0"/>
                <w:strike w:val="0"/>
              </w:rPr>
              <w:t>2b</w:t>
            </w:r>
          </w:p>
        </w:tc>
        <w:tc>
          <w:tcPr>
            <w:tcW w:type="dxa" w:w="2880"/>
          </w:tcPr>
          <w:p>
            <w:r/>
            <w:r>
              <w:rPr>
                <w:b w:val="0"/>
                <w:i w:val="0"/>
                <w:strike w:val="0"/>
              </w:rPr>
              <w:t>Business unit</w:t>
            </w:r>
          </w:p>
        </w:tc>
        <w:tc>
          <w:tcPr>
            <w:tcW w:type="dxa" w:w="2880"/>
          </w:tcPr>
          <w:p>
            <w:r/>
            <w:r>
              <w:rPr>
                <w:b/>
                <w:i/>
                <w:strike w:val="0"/>
                <w:color w:val="7030A0"/>
              </w:rPr>
              <w:t>NEW in v5.0.</w:t>
            </w:r>
            <w:r>
              <w:rPr>
                <w:b w:val="0"/>
                <w:i w:val="0"/>
                <w:strike w:val="0"/>
              </w:rPr>
              <w:t xml:space="preserve"> The business side uploads the requested documents. Each upload is checked — initially by AI — to confirm it matches the item that was actually requested, and the date received is recorded against the request. See Section 7.4. </w:t>
            </w:r>
            <w:r>
              <w:rPr>
                <w:b w:val="0"/>
                <w:i/>
                <w:strike w:val="0"/>
                <w:color w:val="7030A0"/>
                <w:sz w:val="16"/>
              </w:rPr>
              <w:t xml:space="preserve"> [Aug 2026 client MOM]</w:t>
            </w:r>
          </w:p>
        </w:tc>
      </w:tr>
      <w:tr>
        <w:tc>
          <w:tcPr>
            <w:tcW w:type="dxa" w:w="2880"/>
          </w:tcPr>
          <w:p>
            <w:r/>
            <w:r>
              <w:rPr>
                <w:b w:val="0"/>
                <w:i w:val="0"/>
                <w:strike w:val="0"/>
              </w:rPr>
              <w:t>3</w:t>
            </w:r>
          </w:p>
        </w:tc>
        <w:tc>
          <w:tcPr>
            <w:tcW w:type="dxa" w:w="2880"/>
          </w:tcPr>
          <w:p>
            <w:r/>
            <w:r>
              <w:rPr>
                <w:b w:val="0"/>
                <w:i w:val="0"/>
                <w:strike w:val="0"/>
              </w:rPr>
              <w:t>Lead Tester</w:t>
            </w:r>
          </w:p>
        </w:tc>
        <w:tc>
          <w:tcPr>
            <w:tcW w:type="dxa" w:w="2880"/>
          </w:tcPr>
          <w:p>
            <w:r/>
            <w:r>
              <w:rPr>
                <w:b w:val="0"/>
                <w:i w:val="0"/>
                <w:strike w:val="0"/>
              </w:rPr>
              <w:t xml:space="preserve">The Lead Tester opens the assigned test and works through it step by step. Each step shows what to do and what evidence to collect. The Lead Tester records their observation at each step and uploads the relevant files. Other team members (for example, the IT manager) can upload specialist evidence to specific steps, but only the Lead Tester records the formal findings. </w:t>
            </w:r>
            <w:r>
              <w:rPr>
                <w:b/>
                <w:i/>
                <w:strike w:val="0"/>
                <w:color w:val="CC00CC"/>
              </w:rPr>
              <w:t>REVISED in v8.0: each step also shows the AI-identified gaps relevant to it, and the Lead Tester records a status per step accordingly — see FR-135 in Section 7.5.</w:t>
            </w:r>
            <w:r>
              <w:rPr>
                <w:b w:val="0"/>
                <w:i w:val="0"/>
                <w:strike w:val="0"/>
              </w:rPr>
              <w:t xml:space="preserve"> </w:t>
            </w:r>
            <w:r>
              <w:rPr>
                <w:b w:val="0"/>
                <w:i/>
                <w:strike w:val="0"/>
                <w:color w:val="CC00CC"/>
                <w:sz w:val="16"/>
              </w:rPr>
              <w:t xml:space="preserve"> [14 Aug 2026 MOM]</w:t>
            </w:r>
          </w:p>
        </w:tc>
      </w:tr>
      <w:tr>
        <w:tc>
          <w:tcPr>
            <w:tcW w:type="dxa" w:w="2880"/>
          </w:tcPr>
          <w:p>
            <w:r/>
            <w:r>
              <w:rPr>
                <w:b w:val="0"/>
                <w:i w:val="0"/>
                <w:strike w:val="0"/>
              </w:rPr>
              <w:t>4</w:t>
            </w:r>
          </w:p>
        </w:tc>
        <w:tc>
          <w:tcPr>
            <w:tcW w:type="dxa" w:w="2880"/>
          </w:tcPr>
          <w:p>
            <w:r/>
            <w:r>
              <w:rPr>
                <w:b w:val="0"/>
                <w:i w:val="0"/>
                <w:strike w:val="0"/>
              </w:rPr>
              <w:t>Lead Tester</w:t>
            </w:r>
          </w:p>
        </w:tc>
        <w:tc>
          <w:tcPr>
            <w:tcW w:type="dxa" w:w="2880"/>
          </w:tcPr>
          <w:p>
            <w:r/>
            <w:r>
              <w:rPr>
                <w:b w:val="0"/>
                <w:i w:val="0"/>
                <w:strike w:val="0"/>
              </w:rPr>
              <w:t>Where the test involves checking a sample of records (for example, reviewing a selection of KYC files rather than every single one), the Lead Tester records: how many records exist in total, how many were selected, how they were selected, and which sampling methodology from the platform's library they used. The platform enforces a minimum sample size.</w:t>
            </w:r>
          </w:p>
        </w:tc>
      </w:tr>
      <w:tr>
        <w:tc>
          <w:tcPr>
            <w:tcW w:type="dxa" w:w="2880"/>
          </w:tcPr>
          <w:p>
            <w:r/>
            <w:r>
              <w:rPr>
                <w:b w:val="0"/>
                <w:i w:val="0"/>
                <w:strike w:val="0"/>
              </w:rPr>
              <w:t>5</w:t>
            </w:r>
          </w:p>
        </w:tc>
        <w:tc>
          <w:tcPr>
            <w:tcW w:type="dxa" w:w="2880"/>
          </w:tcPr>
          <w:p>
            <w:r/>
            <w:r>
              <w:rPr>
                <w:b w:val="0"/>
                <w:i w:val="0"/>
                <w:strike w:val="0"/>
              </w:rPr>
              <w:t>Lead Tester</w:t>
            </w:r>
          </w:p>
        </w:tc>
        <w:tc>
          <w:tcPr>
            <w:tcW w:type="dxa" w:w="2880"/>
          </w:tcPr>
          <w:p>
            <w:r/>
            <w:r>
              <w:rPr>
                <w:b w:val="0"/>
                <w:i w:val="0"/>
                <w:strike w:val="0"/>
              </w:rPr>
              <w:t>Evidence is uploaded during the test. This can be any type of file — a PDF, a screenshot, an Excel export, an audio recording, a video, a screen recording, a ZIP archive of files. All uploads are non-deletable and permanently linked to the test.</w:t>
            </w:r>
          </w:p>
        </w:tc>
      </w:tr>
      <w:tr>
        <w:tc>
          <w:tcPr>
            <w:tcW w:type="dxa" w:w="2880"/>
          </w:tcPr>
          <w:p>
            <w:r/>
            <w:r>
              <w:rPr>
                <w:b w:val="0"/>
                <w:i w:val="0"/>
                <w:strike w:val="0"/>
              </w:rPr>
              <w:t>6</w:t>
            </w:r>
          </w:p>
        </w:tc>
        <w:tc>
          <w:tcPr>
            <w:tcW w:type="dxa" w:w="2880"/>
          </w:tcPr>
          <w:p>
            <w:r/>
            <w:r>
              <w:rPr>
                <w:b w:val="0"/>
                <w:i w:val="0"/>
                <w:strike w:val="0"/>
              </w:rPr>
              <w:t>Lead Tester</w:t>
            </w:r>
          </w:p>
        </w:tc>
        <w:tc>
          <w:tcPr>
            <w:tcW w:type="dxa" w:w="2880"/>
          </w:tcPr>
          <w:p>
            <w:r/>
            <w:r>
              <w:rPr>
                <w:b w:val="0"/>
                <w:i w:val="0"/>
                <w:strike w:val="0"/>
              </w:rPr>
              <w:t>Some tests can be run in partial scope — for example, testing only the KYC segment of the onboarding obligations in one quarter and the UBO (Ultimate Beneficial Owner) refresh in the next. The Lead Tester documents the scope at the start, and the platform tracks which parts of each Requirement ID have been covered across testing periods.</w:t>
            </w:r>
          </w:p>
        </w:tc>
      </w:tr>
      <w:tr>
        <w:tc>
          <w:tcPr>
            <w:tcW w:type="dxa" w:w="2880"/>
          </w:tcPr>
          <w:p>
            <w:r/>
            <w:r>
              <w:rPr>
                <w:b w:val="0"/>
                <w:i w:val="0"/>
                <w:strike w:val="0"/>
              </w:rPr>
              <w:t>7</w:t>
            </w:r>
          </w:p>
        </w:tc>
        <w:tc>
          <w:tcPr>
            <w:tcW w:type="dxa" w:w="2880"/>
          </w:tcPr>
          <w:p>
            <w:r/>
            <w:r>
              <w:rPr>
                <w:b w:val="0"/>
                <w:i w:val="0"/>
                <w:strike w:val="0"/>
              </w:rPr>
              <w:t>Lead Tester</w:t>
            </w:r>
          </w:p>
        </w:tc>
        <w:tc>
          <w:tcPr>
            <w:tcW w:type="dxa" w:w="2880"/>
          </w:tcPr>
          <w:p>
            <w:r/>
            <w:r>
              <w:rPr>
                <w:b w:val="0"/>
                <w:i w:val="0"/>
                <w:strike w:val="0"/>
              </w:rPr>
              <w:t>Once all steps are complete, the Lead Tester records the overall result: Pass (everything is in order), Fail (something is non-compliant), or Observation (something needs attention but is not yet a breach).</w:t>
            </w:r>
          </w:p>
        </w:tc>
      </w:tr>
      <w:tr>
        <w:tc>
          <w:tcPr>
            <w:tcW w:type="dxa" w:w="2880"/>
          </w:tcPr>
          <w:p>
            <w:r/>
            <w:r>
              <w:rPr>
                <w:b w:val="0"/>
                <w:i w:val="0"/>
                <w:strike w:val="0"/>
              </w:rPr>
              <w:t>8</w:t>
            </w:r>
          </w:p>
        </w:tc>
        <w:tc>
          <w:tcPr>
            <w:tcW w:type="dxa" w:w="2880"/>
          </w:tcPr>
          <w:p>
            <w:r/>
            <w:r>
              <w:rPr>
                <w:b w:val="0"/>
                <w:i w:val="0"/>
                <w:strike w:val="0"/>
              </w:rPr>
              <w:t>Lead Tester</w:t>
            </w:r>
          </w:p>
        </w:tc>
        <w:tc>
          <w:tcPr>
            <w:tcW w:type="dxa" w:w="2880"/>
          </w:tcPr>
          <w:p>
            <w:r/>
            <w:r>
              <w:rPr>
                <w:b w:val="0"/>
                <w:i w:val="0"/>
                <w:strike w:val="0"/>
              </w:rPr>
              <w:t>For every Fail or Observation, the Lead Tester creates a Finding. Each Finding is independent — one test can produce multiple Findings, each with its own description, seriousness rating, the specific regulation article it relates to, and a root cause category (for example: Process Gap, Control Failure, Missing Documentation, System Issue, or Training Gap).</w:t>
            </w:r>
          </w:p>
        </w:tc>
      </w:tr>
      <w:tr>
        <w:tc>
          <w:tcPr>
            <w:tcW w:type="dxa" w:w="2880"/>
          </w:tcPr>
          <w:p>
            <w:r/>
            <w:r>
              <w:rPr>
                <w:b w:val="0"/>
                <w:i w:val="0"/>
                <w:strike w:val="0"/>
              </w:rPr>
              <w:t>9</w:t>
            </w:r>
          </w:p>
        </w:tc>
        <w:tc>
          <w:tcPr>
            <w:tcW w:type="dxa" w:w="2880"/>
          </w:tcPr>
          <w:p>
            <w:r/>
            <w:r>
              <w:rPr>
                <w:b w:val="0"/>
                <w:i w:val="0"/>
                <w:strike w:val="0"/>
              </w:rPr>
              <w:t>Lead Tester / CCO</w:t>
            </w:r>
          </w:p>
        </w:tc>
        <w:tc>
          <w:tcPr>
            <w:tcW w:type="dxa" w:w="2880"/>
          </w:tcPr>
          <w:p>
            <w:r/>
            <w:r>
              <w:rPr>
                <w:b w:val="0"/>
                <w:i w:val="0"/>
                <w:strike w:val="0"/>
              </w:rPr>
              <w:t>For each Finding, a remediation plan is created: a description of the corrective action needed, one or more milestones, each with a due date and a Remediation Owner assigned from the platform's registered users. The Remediation Owner is notified immediately.</w:t>
            </w:r>
          </w:p>
        </w:tc>
      </w:tr>
      <w:tr>
        <w:tc>
          <w:tcPr>
            <w:tcW w:type="dxa" w:w="2880"/>
          </w:tcPr>
          <w:p>
            <w:r/>
            <w:r>
              <w:rPr>
                <w:b w:val="0"/>
                <w:i w:val="0"/>
                <w:strike w:val="0"/>
              </w:rPr>
              <w:t>10</w:t>
            </w:r>
          </w:p>
        </w:tc>
        <w:tc>
          <w:tcPr>
            <w:tcW w:type="dxa" w:w="2880"/>
          </w:tcPr>
          <w:p>
            <w:r/>
            <w:r>
              <w:rPr>
                <w:b w:val="0"/>
                <w:i w:val="0"/>
                <w:strike w:val="0"/>
              </w:rPr>
              <w:t>CCO</w:t>
            </w:r>
          </w:p>
        </w:tc>
        <w:tc>
          <w:tcPr>
            <w:tcW w:type="dxa" w:w="2880"/>
          </w:tcPr>
          <w:p>
            <w:r/>
            <w:r>
              <w:rPr>
                <w:b w:val="0"/>
                <w:i w:val="0"/>
                <w:strike w:val="0"/>
              </w:rPr>
              <w:t xml:space="preserve">The CCO reviews the entire test, all the Findings, and all the remediation plans. The CCO can send it back to the Lead Tester for corrections, or formally approve it. Approval is recorded in the audit log. </w:t>
            </w:r>
            <w:r>
              <w:rPr>
                <w:b/>
                <w:i/>
                <w:strike w:val="0"/>
                <w:color w:val="CC00CC"/>
              </w:rPr>
              <w:t>REVISED in v8.0: the Lead Tester formally submits the test for CCO review, and the CCO has exactly three outcomes — mark the test completed, assign a remediation owner, or return it to the Lead Tester. Only the CCO can assign a remediation owner. See FR-136.</w:t>
            </w:r>
            <w:r>
              <w:rPr>
                <w:b w:val="0"/>
                <w:i w:val="0"/>
                <w:strike w:val="0"/>
              </w:rPr>
              <w:t xml:space="preserve"> </w:t>
            </w:r>
            <w:r>
              <w:rPr>
                <w:b w:val="0"/>
                <w:i/>
                <w:strike w:val="0"/>
                <w:color w:val="CC00CC"/>
                <w:sz w:val="16"/>
              </w:rPr>
              <w:t xml:space="preserve"> [14 Aug 2026 MOM]</w:t>
            </w:r>
          </w:p>
        </w:tc>
      </w:tr>
      <w:tr>
        <w:tc>
          <w:tcPr>
            <w:tcW w:type="dxa" w:w="2880"/>
          </w:tcPr>
          <w:p>
            <w:r/>
            <w:r>
              <w:rPr>
                <w:b w:val="0"/>
                <w:i w:val="0"/>
                <w:strike w:val="0"/>
              </w:rPr>
              <w:t>11</w:t>
            </w:r>
          </w:p>
        </w:tc>
        <w:tc>
          <w:tcPr>
            <w:tcW w:type="dxa" w:w="2880"/>
          </w:tcPr>
          <w:p>
            <w:r/>
            <w:r>
              <w:rPr>
                <w:b w:val="0"/>
                <w:i w:val="0"/>
                <w:strike w:val="0"/>
              </w:rPr>
              <w:t>AML Officer</w:t>
            </w:r>
          </w:p>
        </w:tc>
        <w:tc>
          <w:tcPr>
            <w:tcW w:type="dxa" w:w="2880"/>
          </w:tcPr>
          <w:p>
            <w:r/>
            <w:r>
              <w:rPr>
                <w:b w:val="0"/>
                <w:i w:val="0"/>
                <w:strike w:val="0"/>
              </w:rPr>
              <w:t>For tests involving AML obligations — such as transaction monitoring, customer risk ratings, or sanctions screening — the AML Officer (a Senior Management or CCO-level user) separately reviews and formally agrees to the Findings. This agreement is recorded in the audit log.</w:t>
            </w:r>
          </w:p>
        </w:tc>
      </w:tr>
      <w:tr>
        <w:tc>
          <w:tcPr>
            <w:tcW w:type="dxa" w:w="2880"/>
          </w:tcPr>
          <w:p>
            <w:r/>
            <w:r>
              <w:rPr>
                <w:b w:val="0"/>
                <w:i w:val="0"/>
                <w:strike w:val="0"/>
              </w:rPr>
              <w:t>12</w:t>
            </w:r>
          </w:p>
        </w:tc>
        <w:tc>
          <w:tcPr>
            <w:tcW w:type="dxa" w:w="2880"/>
          </w:tcPr>
          <w:p>
            <w:r/>
            <w:r>
              <w:rPr>
                <w:b w:val="0"/>
                <w:i w:val="0"/>
                <w:strike w:val="0"/>
              </w:rPr>
              <w:t>CCO</w:t>
            </w:r>
          </w:p>
        </w:tc>
        <w:tc>
          <w:tcPr>
            <w:tcW w:type="dxa" w:w="2880"/>
          </w:tcPr>
          <w:p>
            <w:r/>
            <w:r>
              <w:rPr>
                <w:b w:val="0"/>
                <w:i w:val="0"/>
                <w:strike w:val="0"/>
              </w:rPr>
              <w:t>Before the report can be generated, all remediation milestone dates must be confirmed with the Remediation Owners and signed off by the CCO. This locks in the plan. The moment the report is issued, the clock starts running on every milestone.</w:t>
            </w:r>
          </w:p>
        </w:tc>
      </w:tr>
      <w:tr>
        <w:tc>
          <w:tcPr>
            <w:tcW w:type="dxa" w:w="2880"/>
          </w:tcPr>
          <w:p>
            <w:r/>
            <w:r>
              <w:rPr>
                <w:b w:val="0"/>
                <w:i w:val="0"/>
                <w:strike w:val="0"/>
              </w:rPr>
              <w:t>13</w:t>
            </w:r>
          </w:p>
        </w:tc>
        <w:tc>
          <w:tcPr>
            <w:tcW w:type="dxa" w:w="2880"/>
          </w:tcPr>
          <w:p>
            <w:r/>
            <w:r>
              <w:rPr>
                <w:b w:val="0"/>
                <w:i w:val="0"/>
                <w:strike w:val="0"/>
              </w:rPr>
              <w:t>CCO</w:t>
            </w:r>
          </w:p>
        </w:tc>
        <w:tc>
          <w:tcPr>
            <w:tcW w:type="dxa" w:w="2880"/>
          </w:tcPr>
          <w:p>
            <w:r/>
            <w:r>
              <w:rPr>
                <w:b w:val="0"/>
                <w:i w:val="0"/>
                <w:strike w:val="0"/>
              </w:rPr>
              <w:t>The CCO generates the formal risk-based testing report for the testing period. The report includes every test result, every Finding, and the complete confirmed remediation plan. The report is branded with the ControlIQ logo.</w:t>
            </w:r>
          </w:p>
        </w:tc>
      </w:tr>
      <w:tr>
        <w:tc>
          <w:tcPr>
            <w:tcW w:type="dxa" w:w="2880"/>
          </w:tcPr>
          <w:p>
            <w:r/>
            <w:r>
              <w:rPr>
                <w:b w:val="0"/>
                <w:i w:val="0"/>
                <w:strike w:val="0"/>
              </w:rPr>
              <w:t>14</w:t>
            </w:r>
          </w:p>
        </w:tc>
        <w:tc>
          <w:tcPr>
            <w:tcW w:type="dxa" w:w="2880"/>
          </w:tcPr>
          <w:p>
            <w:r/>
            <w:r>
              <w:rPr>
                <w:b w:val="0"/>
                <w:i w:val="0"/>
                <w:strike w:val="0"/>
              </w:rPr>
              <w:t>Senior Management</w:t>
            </w:r>
          </w:p>
        </w:tc>
        <w:tc>
          <w:tcPr>
            <w:tcW w:type="dxa" w:w="2880"/>
          </w:tcPr>
          <w:p>
            <w:r/>
            <w:r>
              <w:rPr>
                <w:b w:val="0"/>
                <w:i w:val="0"/>
                <w:strike w:val="0"/>
              </w:rPr>
              <w:t>Senior Management users receive a notification that the report is ready for sign-off. They review it and provide their formal approval within the platform. This sign-off is permanently recorded.</w:t>
            </w:r>
          </w:p>
        </w:tc>
      </w:tr>
      <w:tr>
        <w:tc>
          <w:tcPr>
            <w:tcW w:type="dxa" w:w="2880"/>
          </w:tcPr>
          <w:p>
            <w:r/>
            <w:r>
              <w:rPr>
                <w:b w:val="0"/>
                <w:i w:val="0"/>
                <w:strike w:val="0"/>
              </w:rPr>
              <w:t>15</w:t>
            </w:r>
          </w:p>
        </w:tc>
        <w:tc>
          <w:tcPr>
            <w:tcW w:type="dxa" w:w="2880"/>
          </w:tcPr>
          <w:p>
            <w:r/>
            <w:r>
              <w:rPr>
                <w:b w:val="0"/>
                <w:i w:val="0"/>
                <w:strike w:val="0"/>
              </w:rPr>
              <w:t>Platform</w:t>
            </w:r>
          </w:p>
        </w:tc>
        <w:tc>
          <w:tcPr>
            <w:tcW w:type="dxa" w:w="2880"/>
          </w:tcPr>
          <w:p>
            <w:r/>
            <w:r>
              <w:rPr>
                <w:b w:val="0"/>
                <w:i w:val="0"/>
                <w:strike w:val="0"/>
              </w:rPr>
              <w:t>The signed-off report is automatically sent to the firm's configured email distribution lists.</w:t>
            </w:r>
          </w:p>
        </w:tc>
      </w:tr>
      <w:tr>
        <w:tc>
          <w:tcPr>
            <w:tcW w:type="dxa" w:w="2880"/>
          </w:tcPr>
          <w:p>
            <w:r/>
            <w:r>
              <w:rPr>
                <w:b w:val="0"/>
                <w:i w:val="0"/>
                <w:strike w:val="0"/>
              </w:rPr>
              <w:t>16</w:t>
            </w:r>
          </w:p>
        </w:tc>
        <w:tc>
          <w:tcPr>
            <w:tcW w:type="dxa" w:w="2880"/>
          </w:tcPr>
          <w:p>
            <w:r/>
            <w:r>
              <w:rPr>
                <w:b w:val="0"/>
                <w:i w:val="0"/>
                <w:strike w:val="0"/>
              </w:rPr>
              <w:t>Remediation Owners / CCO / Senior Management</w:t>
            </w:r>
          </w:p>
        </w:tc>
        <w:tc>
          <w:tcPr>
            <w:tcW w:type="dxa" w:w="2880"/>
          </w:tcPr>
          <w:p>
            <w:r/>
            <w:r>
              <w:rPr>
                <w:b w:val="0"/>
                <w:i w:val="0"/>
                <w:strike w:val="0"/>
              </w:rPr>
              <w:t>After the report is issued, each Remediation Owner works through their assigned action items. They update the status as they go and upload evidence when each fix is complete. The CCO monitors all open items on the dashboard. Formally closing a Finding requires sign-off from both the CCO and one relevant Senior Management user — after the CCO has reviewed the Remediation Owner's uploaded evidence.</w:t>
            </w:r>
          </w:p>
        </w:tc>
      </w:tr>
    </w:tbl>
    <w:p>
      <w:r>
        <w:rPr>
          <w:b/>
          <w:i w:val="0"/>
          <w:strike w:val="0"/>
        </w:rPr>
        <w:t>💬 Sosinna's comment:</w:t>
      </w:r>
      <w:r>
        <w:rPr>
          <w:b w:val="0"/>
          <w:i w:val="0"/>
          <w:strike w:val="0"/>
        </w:rPr>
        <w:t xml:space="preserve"> </w:t>
      </w:r>
      <w:r>
        <w:rPr>
          <w:b w:val="0"/>
          <w:i/>
          <w:strike w:val="0"/>
          <w:color w:val="C55A11"/>
        </w:rPr>
        <w:t>she suggested building a flow chart alongside this table to make the end-to-end process easier to follow. Recommend producing this as a companion diagram for the next client-facing review.</w:t>
      </w:r>
      <w:r>
        <w:rPr>
          <w:b w:val="0"/>
          <w:i w:val="0"/>
          <w:strike w:val="0"/>
        </w:rPr>
        <w:t xml:space="preserve"> </w:t>
      </w:r>
      <w:r>
        <w:rPr>
          <w:b w:val="0"/>
          <w:i/>
          <w:strike w:val="0"/>
          <w:color w:val="C55A11"/>
          <w:sz w:val="16"/>
        </w:rPr>
        <w:t xml:space="preserve"> [Sosinna's Drive comment]</w:t>
      </w:r>
    </w:p>
    <w:p>
      <w:r>
        <w:rPr>
          <w:b/>
          <w:i w:val="0"/>
          <w:strike w:val="0"/>
        </w:rPr>
        <w:t>💬 Sosinna's comment (on step 3, in-progress visibility — GAP-05 answer):</w:t>
      </w:r>
      <w:r>
        <w:rPr>
          <w:b w:val="0"/>
          <w:i w:val="0"/>
          <w:strike w:val="0"/>
        </w:rPr>
        <w:t xml:space="preserve"> </w:t>
      </w:r>
      <w:r>
        <w:rPr>
          <w:b w:val="0"/>
          <w:i/>
          <w:strike w:val="0"/>
          <w:color w:val="C55A11"/>
        </w:rPr>
        <w:t>the test should be accessible to whoever is assigned. Each new contribution should trigger an additional version, tagged to whoever recorded it. If someone is not assigned to the test, they get view-only — and only senior personnel with the right entitlements can view it at all. It is not open for anyone in the firm to browse.</w:t>
      </w:r>
      <w:r>
        <w:rPr>
          <w:b w:val="0"/>
          <w:i w:val="0"/>
          <w:strike w:val="0"/>
        </w:rPr>
        <w:t xml:space="preserve"> </w:t>
      </w:r>
      <w:r>
        <w:rPr>
          <w:b w:val="0"/>
          <w:i/>
          <w:strike w:val="0"/>
          <w:color w:val="C55A11"/>
          <w:sz w:val="16"/>
        </w:rPr>
        <w:t xml:space="preserve"> [Sosinna's Drive comment]</w:t>
      </w:r>
    </w:p>
    <w:p>
      <w:r>
        <w:rPr>
          <w:b/>
          <w:i w:val="0"/>
          <w:strike w:val="0"/>
        </w:rPr>
        <w:t>💬 Sosinna's comment (on step 1, scheduling — supports GAP-04):</w:t>
      </w:r>
      <w:r>
        <w:rPr>
          <w:b w:val="0"/>
          <w:i w:val="0"/>
          <w:strike w:val="0"/>
        </w:rPr>
        <w:t xml:space="preserve"> </w:t>
      </w:r>
      <w:r>
        <w:rPr>
          <w:b w:val="0"/>
          <w:i/>
          <w:strike w:val="0"/>
          <w:color w:val="C55A11"/>
        </w:rPr>
        <w:t>there should be a calendar for the CCO to schedule tests manually, and if any applicable test hasn't been scheduled, the platform should raise an alert or pending notification flagging that a required control has no scheduled test. New notification added to Section 12.</w:t>
      </w:r>
      <w:r>
        <w:rPr>
          <w:b w:val="0"/>
          <w:i w:val="0"/>
          <w:strike w:val="0"/>
        </w:rPr>
        <w:t xml:space="preserve"> </w:t>
      </w:r>
      <w:r>
        <w:rPr>
          <w:b w:val="0"/>
          <w:i/>
          <w:strike w:val="0"/>
          <w:color w:val="C55A11"/>
          <w:sz w:val="16"/>
        </w:rPr>
        <w:t xml:space="preserve"> [Sosinna's Drive comment]</w:t>
      </w:r>
    </w:p>
    <w:p>
      <w:pPr>
        <w:pStyle w:val="Heading2"/>
      </w:pPr>
      <w:r>
        <w:t>7.2 Scheduling and Assigning Tests</w:t>
      </w:r>
    </w:p>
    <w:p>
      <w:r>
        <w:rPr>
          <w:b/>
          <w:i/>
          <w:strike w:val="0"/>
          <w:color w:val="7030A0"/>
        </w:rPr>
        <w:t>REVISED in v5.0. The August 2026 meeting changed the scheduling model. Read this subsection in full even if you know v4.0.</w:t>
      </w:r>
      <w:r>
        <w:rPr>
          <w:b w:val="0"/>
          <w:i w:val="0"/>
          <w:strike w:val="0"/>
        </w:rPr>
        <w:t xml:space="preserve"> </w:t>
      </w:r>
      <w:r>
        <w:rPr>
          <w:b w:val="0"/>
          <w:i/>
          <w:strike w:val="0"/>
          <w:color w:val="7030A0"/>
          <w:sz w:val="16"/>
        </w:rPr>
        <w:t xml:space="preserve"> [Aug 2026 client MOM]</w:t>
      </w:r>
    </w:p>
    <w:p>
      <w:r>
        <w:rPr>
          <w:b w:val="0"/>
          <w:i w:val="0"/>
          <w:strike w:val="0"/>
        </w:rPr>
        <w:t xml:space="preserve">In v4.0 the platform auto-scheduled every applicable test as its own dated calendar entry. On the call the team agreed this produces a cluttered, unusable interface — a firm with a full test set would face a calendar of hundreds of entries, most of which nobody is working on. The model is now a </w:t>
      </w:r>
      <w:r>
        <w:rPr>
          <w:b/>
          <w:i w:val="0"/>
          <w:strike w:val="0"/>
        </w:rPr>
        <w:t>pool</w:t>
      </w:r>
      <w:r>
        <w:rPr>
          <w:b w:val="0"/>
          <w:i w:val="0"/>
          <w:strike w:val="0"/>
        </w:rPr>
        <w:t>.</w:t>
      </w:r>
    </w:p>
    <w:p>
      <w:r>
        <w:rPr>
          <w:b/>
          <w:i w:val="0"/>
          <w:strike w:val="0"/>
          <w:color w:val="1155CC"/>
        </w:rPr>
        <w:t>[FR-78]</w:t>
      </w:r>
      <w:r>
        <w:rPr>
          <w:b w:val="0"/>
          <w:i w:val="0"/>
          <w:strike w:val="0"/>
        </w:rPr>
        <w:t xml:space="preserve"> </w:t>
      </w:r>
      <w:r>
        <w:rPr>
          <w:b/>
          <w:i/>
          <w:strike w:val="0"/>
          <w:color w:val="7030A0"/>
        </w:rPr>
        <w:t>The platform maintains a pending-item pool: every test the firm owes, derived from its active Requirement IDs and their frequencies, held as an unassigned pending item. Items enter the pool automatically; they do not become dated calendar entries until a human assigns them. The pool is the CCO's work queue.</w:t>
      </w:r>
      <w:r>
        <w:rPr>
          <w:b w:val="0"/>
          <w:i w:val="0"/>
          <w:strike w:val="0"/>
        </w:rPr>
        <w:t xml:space="preserve"> </w:t>
      </w:r>
      <w:r>
        <w:rPr>
          <w:b w:val="0"/>
          <w:i/>
          <w:strike w:val="0"/>
          <w:color w:val="7030A0"/>
          <w:sz w:val="16"/>
        </w:rPr>
        <w:t xml:space="preserve"> [Aug 2026 client MOM]</w:t>
      </w:r>
    </w:p>
    <w:p>
      <w:r>
        <w:rPr>
          <w:b/>
          <w:i w:val="0"/>
          <w:strike w:val="0"/>
          <w:color w:val="1155CC"/>
        </w:rPr>
        <w:t>[FR-79]</w:t>
      </w:r>
      <w:r>
        <w:rPr>
          <w:b w:val="0"/>
          <w:i w:val="0"/>
          <w:strike w:val="0"/>
        </w:rPr>
        <w:t xml:space="preserve"> </w:t>
      </w:r>
      <w:r>
        <w:rPr>
          <w:b/>
          <w:i/>
          <w:strike w:val="0"/>
          <w:color w:val="7030A0"/>
        </w:rPr>
        <w:t>The CCO selects specific articles or requirements from the pool and manually assigns each to a tester. Selection is at article / requirement granularity — the CCO is not forced to take a whole Requirement ID at once where it splits into separately testable articles. Assignment is what creates a live test instance with dates.</w:t>
      </w:r>
      <w:r>
        <w:rPr>
          <w:b w:val="0"/>
          <w:i w:val="0"/>
          <w:strike w:val="0"/>
        </w:rPr>
        <w:t xml:space="preserve"> </w:t>
      </w:r>
      <w:r>
        <w:rPr>
          <w:b w:val="0"/>
          <w:i/>
          <w:strike w:val="0"/>
          <w:color w:val="7030A0"/>
          <w:sz w:val="16"/>
        </w:rPr>
        <w:t xml:space="preserve"> [Aug 2026 client MOM]</w:t>
      </w:r>
    </w:p>
    <w:p>
      <w:r>
        <w:rPr>
          <w:b/>
          <w:i w:val="0"/>
          <w:strike w:val="0"/>
          <w:color w:val="1155CC"/>
        </w:rPr>
        <w:t>[FR-80]</w:t>
      </w:r>
      <w:r>
        <w:rPr>
          <w:b w:val="0"/>
          <w:i w:val="0"/>
          <w:strike w:val="0"/>
        </w:rPr>
        <w:t xml:space="preserve"> </w:t>
      </w:r>
      <w:r>
        <w:rPr>
          <w:b/>
          <w:i/>
          <w:strike w:val="0"/>
          <w:color w:val="7030A0"/>
        </w:rPr>
        <w:t>Every test has a defined scope period — an explicit start and end date for the records under review (for example, January to June 2026). The scope period is set at assignment, is mandatory, and is displayed to the tester throughout execution. Its purpose is stated plainly in the minutes: a tester must not have to review "everything under the sun". Evidence and samples fall inside the scope period; anything outside it is out of scope for that test and the platform records it as such. The scope period is carried into the final report.</w:t>
      </w:r>
      <w:r>
        <w:rPr>
          <w:b w:val="0"/>
          <w:i w:val="0"/>
          <w:strike w:val="0"/>
        </w:rPr>
        <w:t xml:space="preserve"> </w:t>
      </w:r>
      <w:r>
        <w:rPr>
          <w:b w:val="0"/>
          <w:i/>
          <w:strike w:val="0"/>
          <w:color w:val="7030A0"/>
          <w:sz w:val="16"/>
        </w:rPr>
        <w:t xml:space="preserve"> [Aug 2026 client MOM]</w:t>
      </w:r>
      <w:r>
        <w:rPr>
          <w:b w:val="0"/>
          <w:i w:val="0"/>
          <w:strike w:val="0"/>
        </w:rPr>
        <w:t xml:space="preserve"> </w:t>
      </w:r>
      <w:r>
        <w:rPr>
          <w:b/>
          <w:i/>
          <w:strike w:val="0"/>
          <w:color w:val="CC00CC"/>
        </w:rPr>
        <w:t>CONFIRMED on 14 Aug 2026: when a test is created, the CCO sets its start and end dates. FR-80 restated; no change.</w:t>
      </w:r>
      <w:r>
        <w:rPr>
          <w:b w:val="0"/>
          <w:i w:val="0"/>
          <w:strike w:val="0"/>
        </w:rPr>
        <w:t xml:space="preserve"> </w:t>
      </w:r>
      <w:r>
        <w:rPr>
          <w:b w:val="0"/>
          <w:i/>
          <w:strike w:val="0"/>
          <w:color w:val="CC00CC"/>
          <w:sz w:val="16"/>
        </w:rPr>
        <w:t xml:space="preserve"> [14 Aug 2026 MOM]</w:t>
      </w:r>
    </w:p>
    <w:p>
      <w:r>
        <w:rPr>
          <w:b/>
          <w:i w:val="0"/>
          <w:strike w:val="0"/>
          <w:color w:val="1155CC"/>
        </w:rPr>
        <w:t>[FR-16]</w:t>
      </w:r>
      <w:r>
        <w:rPr>
          <w:b w:val="0"/>
          <w:i w:val="0"/>
          <w:strike w:val="0"/>
        </w:rPr>
        <w:t xml:space="preserve"> </w:t>
      </w:r>
      <w:r>
        <w:rPr>
          <w:b w:val="0"/>
          <w:i/>
          <w:strike w:val="0"/>
          <w:color w:val="7030A0"/>
        </w:rPr>
        <w:t>Superseded in v5.0 — kept for context. Previously: "The testing calendar is generated automatically when a firm completes onboarding, and is updated any time their service lines change." The derivation still happens on onboarding and on any service line change, but it now populates the FR-78 pool rather than the calendar.</w:t>
      </w:r>
      <w:r>
        <w:rPr>
          <w:b w:val="0"/>
          <w:i w:val="0"/>
          <w:strike w:val="0"/>
        </w:rPr>
        <w:t xml:space="preserve"> </w:t>
      </w:r>
      <w:r>
        <w:rPr>
          <w:b w:val="0"/>
          <w:i/>
          <w:strike w:val="0"/>
          <w:color w:val="7030A0"/>
          <w:sz w:val="16"/>
        </w:rPr>
        <w:t xml:space="preserve"> [Aug 2026 client MOM]</w:t>
      </w:r>
    </w:p>
    <w:p>
      <w:r>
        <w:rPr>
          <w:b/>
          <w:i w:val="0"/>
          <w:strike w:val="0"/>
          <w:color w:val="1155CC"/>
        </w:rPr>
        <w:t>[FR-17]</w:t>
      </w:r>
      <w:r>
        <w:rPr>
          <w:b w:val="0"/>
          <w:i w:val="0"/>
          <w:strike w:val="0"/>
        </w:rPr>
        <w:t xml:space="preserve"> Thematic reviews (deep dives into a specific topic) and Selective reviews (tests triggered by a specific event or risk) are not automatically scheduled. The CCO manually creates these when needed. </w:t>
      </w:r>
      <w:r>
        <w:rPr>
          <w:b/>
          <w:i/>
          <w:strike w:val="0"/>
          <w:color w:val="7030A0"/>
        </w:rPr>
        <w:t>Unchanged by the MOM — under the pool model these are simply items the CCO adds to the pool by hand.</w:t>
      </w:r>
      <w:r>
        <w:rPr>
          <w:b w:val="0"/>
          <w:i w:val="0"/>
          <w:strike w:val="0"/>
        </w:rPr>
        <w:t xml:space="preserve"> </w:t>
      </w:r>
      <w:r>
        <w:rPr>
          <w:b w:val="0"/>
          <w:i/>
          <w:strike w:val="0"/>
          <w:color w:val="7030A0"/>
          <w:sz w:val="16"/>
        </w:rPr>
        <w:t xml:space="preserve"> [Aug 2026 client MOM]</w:t>
      </w:r>
    </w:p>
    <w:p>
      <w:r>
        <w:rPr>
          <w:b/>
          <w:i w:val="0"/>
          <w:strike w:val="0"/>
          <w:color w:val="1155CC"/>
        </w:rPr>
        <w:t>[FR-18]</w:t>
      </w:r>
      <w:r>
        <w:rPr>
          <w:b w:val="0"/>
          <w:i w:val="0"/>
          <w:strike w:val="0"/>
        </w:rPr>
        <w:t xml:space="preserve"> The testing dashboard shows every test — Planned, Ongoing, or Completed — with filters so the CCO can quickly find what they are looking for. </w:t>
      </w:r>
      <w:r>
        <w:rPr>
          <w:b/>
          <w:i/>
          <w:strike w:val="0"/>
          <w:color w:val="7030A0"/>
        </w:rPr>
        <w:t>Revised in v5.0: this view now covers assigned test instances only. Unassigned work lives in the FR-78 pool, which is a separate view with its own filters (regulation, pillar, service line, SA-10 priority, period due).</w:t>
      </w:r>
      <w:r>
        <w:rPr>
          <w:b w:val="0"/>
          <w:i w:val="0"/>
          <w:strike w:val="0"/>
        </w:rPr>
        <w:t xml:space="preserve"> </w:t>
      </w:r>
      <w:r>
        <w:rPr>
          <w:b w:val="0"/>
          <w:i/>
          <w:strike w:val="0"/>
          <w:color w:val="7030A0"/>
          <w:sz w:val="16"/>
        </w:rPr>
        <w:t xml:space="preserve"> [Aug 2026 client MOM]</w:t>
      </w:r>
    </w:p>
    <w:p>
      <w:r>
        <w:rPr>
          <w:b/>
          <w:i w:val="0"/>
          <w:strike w:val="0"/>
          <w:color w:val="1155CC"/>
        </w:rPr>
        <w:t>[FR-19]</w:t>
      </w:r>
      <w:r>
        <w:rPr>
          <w:b w:val="0"/>
          <w:i w:val="0"/>
          <w:strike w:val="0"/>
        </w:rPr>
        <w:t xml:space="preserve"> Partial testing is supported. The scope of each test execution is documented at the start of the test. The platform tracks which parts of a Requirement ID have been covered across different testing periods. </w:t>
      </w:r>
      <w:r>
        <w:rPr>
          <w:b/>
          <w:i/>
          <w:strike w:val="0"/>
          <w:color w:val="7030A0"/>
        </w:rPr>
        <w:t>The FR-80 scope period is the mechanism that records this.</w:t>
      </w:r>
      <w:r>
        <w:rPr>
          <w:b w:val="0"/>
          <w:i w:val="0"/>
          <w:strike w:val="0"/>
        </w:rPr>
        <w:t xml:space="preserve"> </w:t>
      </w:r>
      <w:r>
        <w:rPr>
          <w:b w:val="0"/>
          <w:i/>
          <w:strike w:val="0"/>
          <w:color w:val="7030A0"/>
          <w:sz w:val="16"/>
        </w:rPr>
        <w:t xml:space="preserve"> [Aug 2026 client MOM]</w:t>
      </w:r>
    </w:p>
    <w:p>
      <w:r>
        <w:rPr>
          <w:b/>
          <w:i w:val="0"/>
          <w:strike w:val="0"/>
          <w:color w:val="1155CC"/>
        </w:rPr>
        <w:t>[FR-20]</w:t>
      </w:r>
      <w:r>
        <w:rPr>
          <w:b w:val="0"/>
          <w:i w:val="0"/>
          <w:strike w:val="0"/>
        </w:rPr>
        <w:t xml:space="preserve"> Only the CCO can assign a test to a Lead Tester. A Compliance Officer cannot pick up a test and start it without that formal assignment.</w:t>
      </w:r>
    </w:p>
    <w:p>
      <w:r>
        <w:rPr>
          <w:b/>
          <w:i w:val="0"/>
          <w:strike w:val="0"/>
          <w:color w:val="1155CC"/>
        </w:rPr>
        <w:t>[FR-21]</w:t>
      </w:r>
      <w:r>
        <w:rPr>
          <w:b w:val="0"/>
          <w:i w:val="0"/>
          <w:strike w:val="0"/>
        </w:rPr>
        <w:t xml:space="preserve"> Each test has one Lead Tester who is responsible for the formal result. Other team members can contribute evidence to specific steps, but the Lead Tester owns the outcome. Every action is timestamped and linked to the individual who performed it.</w:t>
      </w:r>
    </w:p>
    <w:p>
      <w:r>
        <w:rPr>
          <w:b/>
          <w:i w:val="0"/>
          <w:strike w:val="0"/>
          <w:color w:val="1155CC"/>
        </w:rPr>
        <w:t>[FR-81]</w:t>
      </w:r>
      <w:r>
        <w:rPr>
          <w:b w:val="0"/>
          <w:i w:val="0"/>
          <w:strike w:val="0"/>
        </w:rPr>
        <w:t xml:space="preserve"> </w:t>
      </w:r>
      <w:r>
        <w:rPr>
          <w:b/>
          <w:i/>
          <w:strike w:val="0"/>
          <w:color w:val="7030A0"/>
        </w:rPr>
        <w:t>One lead tester is normally assigned per business unit. Separately from that, the CCO has a holistic oversight view across all testers: who is assigned what, which articles each is working, and how far each has progressed — grouped so that coverage across the pillars of a regulation (for example the DORA pillars) is visible at a glance. This is an oversight view, not a per-tester dashboard: its purpose is to let the CCO see the whole programme in one place.</w:t>
      </w:r>
      <w:r>
        <w:rPr>
          <w:b w:val="0"/>
          <w:i w:val="0"/>
          <w:strike w:val="0"/>
        </w:rPr>
        <w:t xml:space="preserve"> </w:t>
      </w:r>
      <w:r>
        <w:rPr>
          <w:b w:val="0"/>
          <w:i/>
          <w:strike w:val="0"/>
          <w:color w:val="7030A0"/>
          <w:sz w:val="16"/>
        </w:rPr>
        <w:t xml:space="preserve"> [Aug 2026 client MOM]</w:t>
      </w:r>
    </w:p>
    <w:p>
      <w:r>
        <w:rPr>
          <w:b/>
          <w:i w:val="0"/>
          <w:strike w:val="0"/>
          <w:color w:val="1155CC"/>
        </w:rPr>
        <w:t>[FR-82]</w:t>
      </w:r>
      <w:r>
        <w:rPr>
          <w:b w:val="0"/>
          <w:i w:val="0"/>
          <w:strike w:val="0"/>
        </w:rPr>
        <w:t xml:space="preserve"> </w:t>
      </w:r>
      <w:r>
        <w:rPr>
          <w:b/>
          <w:i/>
          <w:strike w:val="0"/>
          <w:color w:val="7030A0"/>
        </w:rPr>
        <w:t>Every test is tagged to a business owner — the person accountable for the area under test, for example the CTO for system-related tests. The business owner is a staff record from Section 10 and may or may not be a platform user. The business owner is who receives the announcement letter and initial request list in Section 7.4, and appears against the test in the final report.</w:t>
      </w:r>
      <w:r>
        <w:rPr>
          <w:b w:val="0"/>
          <w:i w:val="0"/>
          <w:strike w:val="0"/>
        </w:rPr>
        <w:t xml:space="preserve"> </w:t>
      </w:r>
      <w:r>
        <w:rPr>
          <w:b w:val="0"/>
          <w:i/>
          <w:strike w:val="0"/>
          <w:color w:val="7030A0"/>
          <w:sz w:val="16"/>
        </w:rPr>
        <w:t xml:space="preserve"> [Aug 2026 client MOM]</w:t>
      </w:r>
    </w:p>
    <w:p>
      <w:r>
        <w:rPr>
          <w:b/>
          <w:i w:val="0"/>
          <w:strike w:val="0"/>
          <w:color w:val="1155CC"/>
        </w:rPr>
        <w:t>[FR-21b]</w:t>
      </w:r>
      <w:r>
        <w:rPr>
          <w:b w:val="0"/>
          <w:i w:val="0"/>
          <w:strike w:val="0"/>
        </w:rPr>
        <w:t xml:space="preserve"> If a test is marked Not Applicable — meaning the requirement does not apply to the firm for this period — a written reason must be documented before the N/A status can be set. The N/A response is then immutable, timestamped, and permanently retained. It cannot be changed after it is recorded. </w:t>
      </w:r>
      <w:r>
        <w:rPr>
          <w:b/>
          <w:i/>
          <w:strike w:val="0"/>
          <w:color w:val="7030A0"/>
        </w:rPr>
        <w:t>Revised in v5.0: the authority to mark a test Not Applicable sits with the CCO. A Lead Tester may propose N/A; the CCO decides. See FR-94.</w:t>
      </w:r>
      <w:r>
        <w:rPr>
          <w:b w:val="0"/>
          <w:i w:val="0"/>
          <w:strike w:val="0"/>
        </w:rPr>
        <w:t xml:space="preserve"> </w:t>
      </w:r>
      <w:r>
        <w:rPr>
          <w:b w:val="0"/>
          <w:i/>
          <w:strike w:val="0"/>
          <w:color w:val="7030A0"/>
          <w:sz w:val="16"/>
        </w:rPr>
        <w:t xml:space="preserve"> [Aug 2026 client MOM]</w:t>
      </w:r>
    </w:p>
    <w:p>
      <w:r>
        <w:rPr>
          <w:b/>
          <w:i w:val="0"/>
          <w:strike w:val="0"/>
          <w:color w:val="1155CC"/>
        </w:rPr>
        <w:t>[FR-94]</w:t>
      </w:r>
      <w:r>
        <w:rPr>
          <w:b w:val="0"/>
          <w:i w:val="0"/>
          <w:strike w:val="0"/>
        </w:rPr>
        <w:t xml:space="preserve"> </w:t>
      </w:r>
      <w:r>
        <w:rPr>
          <w:b/>
          <w:i/>
          <w:strike w:val="0"/>
          <w:color w:val="7030A0"/>
        </w:rPr>
        <w:t>Marking a test Not Applicable requires (a) the CCO's authority — no other role can set the final N/A status, (b) a mandatory written justification, and (c) automatic inclusion of the item and its justification in an appendix to the final report for the period. N/A is a documented, reviewable decision, not a way to make an obligation disappear quietly.</w:t>
      </w:r>
      <w:r>
        <w:rPr>
          <w:b w:val="0"/>
          <w:i w:val="0"/>
          <w:strike w:val="0"/>
        </w:rPr>
        <w:t xml:space="preserve"> </w:t>
      </w:r>
      <w:r>
        <w:rPr>
          <w:b w:val="0"/>
          <w:i/>
          <w:strike w:val="0"/>
          <w:color w:val="7030A0"/>
          <w:sz w:val="16"/>
        </w:rPr>
        <w:t xml:space="preserve"> [Aug 2026 client MOM]</w:t>
      </w:r>
    </w:p>
    <w:p>
      <w:r>
        <w:rPr>
          <w:b/>
          <w:i w:val="0"/>
          <w:strike w:val="0"/>
          <w:color w:val="1155CC"/>
        </w:rPr>
        <w:t>[FR-105]</w:t>
      </w:r>
      <w:r>
        <w:rPr>
          <w:b w:val="0"/>
          <w:i w:val="0"/>
          <w:strike w:val="0"/>
        </w:rPr>
        <w:t xml:space="preserve"> </w:t>
      </w:r>
      <w:r>
        <w:rPr>
          <w:b/>
          <w:i/>
          <w:strike w:val="0"/>
          <w:color w:val="008080"/>
        </w:rPr>
        <w:t xml:space="preserve">Scope is two-dimensional. In addition to the FR-80 date range, a test can be scoped to a named subset of </w:t>
      </w:r>
      <w:r>
        <w:rPr>
          <w:b/>
          <w:i/>
          <w:strike w:val="0"/>
          <w:color w:val="008080"/>
        </w:rPr>
        <w:t>articles</w:t>
      </w:r>
      <w:r>
        <w:rPr>
          <w:b/>
          <w:i/>
          <w:strike w:val="0"/>
          <w:color w:val="008080"/>
        </w:rPr>
        <w:t xml:space="preserve"> within a regulation. The client's own examples: KYC tested only for accounts opened between January and August (a date range), and a DORA test limited to specified articles rather than the whole regulation (an article subset). Both dimensions are recorded at assignment, are shown to the tester throughout execution, and are stated in the report under FR-100. The stated purpose is to keep the scope of any one test small enough that a firm is not overwhelmed by it.</w:t>
      </w:r>
      <w:r>
        <w:rPr>
          <w:b w:val="0"/>
          <w:i w:val="0"/>
          <w:strike w:val="0"/>
        </w:rPr>
        <w:t xml:space="preserve"> </w:t>
      </w:r>
      <w:r>
        <w:rPr>
          <w:b w:val="0"/>
          <w:i/>
          <w:strike w:val="0"/>
          <w:color w:val="008080"/>
          <w:sz w:val="16"/>
        </w:rPr>
        <w:t xml:space="preserve"> [11 Aug 2026 MOM]</w:t>
      </w:r>
    </w:p>
    <w:p>
      <w:r>
        <w:rPr>
          <w:b/>
          <w:i w:val="0"/>
          <w:strike w:val="0"/>
          <w:color w:val="1155CC"/>
        </w:rPr>
        <w:t>[FR-106]</w:t>
      </w:r>
      <w:r>
        <w:rPr>
          <w:b w:val="0"/>
          <w:i w:val="0"/>
          <w:strike w:val="0"/>
        </w:rPr>
        <w:t xml:space="preserve"> </w:t>
      </w:r>
      <w:r>
        <w:rPr>
          <w:b/>
          <w:i/>
          <w:strike w:val="0"/>
          <w:color w:val="008080"/>
        </w:rPr>
        <w:t>The CCO can fan out a single test across several testers by assigning different articles within its scope to different Compliance Officers. Each tester sees only the articles assigned to them and works those articles to completion; the platform tracks per-article progress and rolls it up to the test. Fan-out is a CCO decision taken at assignment time, its stated purpose is to complete a large review faster, and it does not change who approves the result — the CCO still reviews and approves the test as a whole under step 10 of Section 7.1.</w:t>
      </w:r>
      <w:r>
        <w:rPr>
          <w:b w:val="0"/>
          <w:i w:val="0"/>
          <w:strike w:val="0"/>
        </w:rPr>
        <w:t xml:space="preserve"> </w:t>
      </w:r>
      <w:r>
        <w:rPr>
          <w:b w:val="0"/>
          <w:i/>
          <w:strike w:val="0"/>
          <w:color w:val="008080"/>
          <w:sz w:val="16"/>
        </w:rPr>
        <w:t xml:space="preserve"> [11 Aug 2026 MOM]</w:t>
      </w:r>
    </w:p>
    <w:p>
      <w:r>
        <w:rPr>
          <w:b/>
          <w:i w:val="0"/>
          <w:strike w:val="0"/>
          <w:color w:val="1155CC"/>
        </w:rPr>
        <w:t>[FR-107]</w:t>
      </w:r>
      <w:r>
        <w:rPr>
          <w:b w:val="0"/>
          <w:i w:val="0"/>
          <w:strike w:val="0"/>
        </w:rPr>
        <w:t xml:space="preserve"> </w:t>
      </w:r>
      <w:r>
        <w:rPr>
          <w:b/>
          <w:i/>
          <w:strike w:val="0"/>
          <w:color w:val="008080"/>
        </w:rPr>
        <w:t xml:space="preserve">Marking an item Not Applicable requires a justification </w:t>
      </w:r>
      <w:r>
        <w:rPr>
          <w:b/>
          <w:i/>
          <w:strike w:val="0"/>
          <w:color w:val="008080"/>
        </w:rPr>
        <w:t>file</w:t>
      </w:r>
      <w:r>
        <w:rPr>
          <w:b/>
          <w:i/>
          <w:strike w:val="0"/>
          <w:color w:val="008080"/>
        </w:rPr>
        <w:t>, not only free text. The uploaded file is stored against the N/A decision under the same non-deletable evidence rules as any other upload, and it is the artefact reproduced in the report appendix under FR-99. This tightens FR-94(b): written text alone is no longer sufficient.</w:t>
      </w:r>
      <w:r>
        <w:rPr>
          <w:b w:val="0"/>
          <w:i w:val="0"/>
          <w:strike w:val="0"/>
        </w:rPr>
        <w:t xml:space="preserve"> </w:t>
      </w:r>
      <w:r>
        <w:rPr>
          <w:b w:val="0"/>
          <w:i/>
          <w:strike w:val="0"/>
          <w:color w:val="008080"/>
          <w:sz w:val="16"/>
        </w:rPr>
        <w:t xml:space="preserve"> [11 Aug 2026 MOM]</w:t>
      </w:r>
    </w:p>
    <w:p>
      <w:r>
        <w:rPr>
          <w:b/>
          <w:i w:val="0"/>
          <w:strike w:val="0"/>
          <w:color w:val="1155CC"/>
        </w:rPr>
        <w:t>[FR-129]</w:t>
      </w:r>
      <w:r>
        <w:rPr>
          <w:b w:val="0"/>
          <w:i w:val="0"/>
          <w:strike w:val="0"/>
        </w:rPr>
        <w:t xml:space="preserve"> </w:t>
      </w:r>
      <w:r>
        <w:rPr>
          <w:b/>
          <w:i/>
          <w:strike w:val="0"/>
          <w:color w:val="CC00CC"/>
        </w:rPr>
        <w:t>Every test presents an overview and the request list needed for executing it. The overview states what the test is, its regulation and articles, its scope period, priority, assigned tester(s) and business owner; the request list is the Section 7.4 register of documents and records the test needs, shown as part of the test itself rather than only in the separate request workflow. Both the CCO and the assigned tester see this surface; the business owner sees their slice of it through FR-133.</w:t>
      </w:r>
      <w:r>
        <w:rPr>
          <w:b w:val="0"/>
          <w:i w:val="0"/>
          <w:strike w:val="0"/>
        </w:rPr>
        <w:t xml:space="preserve"> </w:t>
      </w:r>
      <w:r>
        <w:rPr>
          <w:b w:val="0"/>
          <w:i/>
          <w:strike w:val="0"/>
          <w:color w:val="CC00CC"/>
          <w:sz w:val="16"/>
        </w:rPr>
        <w:t xml:space="preserve"> [14 Aug 2026 MOM]</w:t>
      </w:r>
    </w:p>
    <w:p>
      <w:r>
        <w:rPr>
          <w:b/>
          <w:i w:val="0"/>
          <w:strike w:val="0"/>
          <w:color w:val="1155CC"/>
        </w:rPr>
        <w:t>[FR-130]</w:t>
      </w:r>
      <w:r>
        <w:rPr>
          <w:b w:val="0"/>
          <w:i w:val="0"/>
          <w:strike w:val="0"/>
        </w:rPr>
        <w:t xml:space="preserve"> </w:t>
      </w:r>
      <w:r>
        <w:rPr>
          <w:b/>
          <w:i/>
          <w:strike w:val="0"/>
          <w:color w:val="CC00CC"/>
        </w:rPr>
        <w:t xml:space="preserve">Tests marked Not Applicable are shown separately from the active test views — a dedicated N/A register listing, for each item: the test, the written justification and justification file (FR-94, FR-107), </w:t>
      </w:r>
      <w:r>
        <w:rPr>
          <w:b/>
          <w:i/>
          <w:strike w:val="0"/>
          <w:color w:val="CC00CC"/>
        </w:rPr>
        <w:t>who</w:t>
      </w:r>
      <w:r>
        <w:rPr>
          <w:b/>
          <w:i/>
          <w:strike w:val="0"/>
          <w:color w:val="CC00CC"/>
        </w:rPr>
        <w:t xml:space="preserve"> made the decision, and </w:t>
      </w:r>
      <w:r>
        <w:rPr>
          <w:b/>
          <w:i/>
          <w:strike w:val="0"/>
          <w:color w:val="CC00CC"/>
        </w:rPr>
        <w:t>when</w:t>
      </w:r>
      <w:r>
        <w:rPr>
          <w:b/>
          <w:i/>
          <w:strike w:val="0"/>
          <w:color w:val="CC00CC"/>
        </w:rPr>
        <w:t>. The register is the in-platform counterpart of the FR-99 report appendix, so an N/A decision is inspectable at any time, not only at report generation.</w:t>
      </w:r>
      <w:r>
        <w:rPr>
          <w:b w:val="0"/>
          <w:i w:val="0"/>
          <w:strike w:val="0"/>
        </w:rPr>
        <w:t xml:space="preserve"> </w:t>
      </w:r>
      <w:r>
        <w:rPr>
          <w:b w:val="0"/>
          <w:i/>
          <w:strike w:val="0"/>
          <w:color w:val="CC00CC"/>
          <w:sz w:val="16"/>
        </w:rPr>
        <w:t xml:space="preserve"> [14 Aug 2026 MOM]</w:t>
      </w:r>
    </w:p>
    <w:p>
      <w:r>
        <w:rPr>
          <w:b/>
          <w:i w:val="0"/>
          <w:strike w:val="0"/>
          <w:color w:val="1155CC"/>
        </w:rPr>
        <w:t>[FR-21c]</w:t>
      </w:r>
      <w:r>
        <w:rPr>
          <w:b w:val="0"/>
          <w:i w:val="0"/>
          <w:strike w:val="0"/>
        </w:rPr>
        <w:t xml:space="preserve"> If the sample selection needs to be changed after it has been documented and locked at the start of a test, the change requires approval from one other senior team member and a written reason. The original selection is immutably retained in the audit log alongside the change.</w:t>
      </w:r>
    </w:p>
    <w:tbl>
      <w:tblPr>
        <w:tblStyle w:val="TableGrid"/>
        <w:tblW w:type="auto" w:w="0"/>
        <w:tblLook w:firstColumn="1" w:firstRow="1" w:lastColumn="0" w:lastRow="0" w:noHBand="0" w:noVBand="1" w:val="04A0"/>
      </w:tblPr>
      <w:tblGrid>
        <w:gridCol w:w="8640"/>
      </w:tblGrid>
      <w:tr>
        <w:tc>
          <w:tcPr>
            <w:tcW w:type="dxa" w:w="8640"/>
            <w:shd w:val="clear" w:fill="E2EFDA"/>
          </w:tcPr>
          <w:p>
            <w:r>
              <w:rPr>
                <w:b/>
                <w:i w:val="0"/>
                <w:strike w:val="0"/>
              </w:rPr>
              <w:t>CONFIRMED</w:t>
            </w:r>
            <w:r>
              <w:rPr>
                <w:b w:val="0"/>
                <w:i w:val="0"/>
                <w:strike w:val="0"/>
              </w:rPr>
              <w:t xml:space="preserve"> </w:t>
            </w:r>
            <w:r>
              <w:rPr>
                <w:b w:val="0"/>
                <w:i/>
                <w:strike w:val="0"/>
              </w:rPr>
              <w:t>(green — agreed decision, August 2026)</w:t>
            </w:r>
          </w:p>
          <w:p>
            <w:r>
              <w:rPr>
                <w:b/>
                <w:i w:val="0"/>
                <w:strike w:val="0"/>
              </w:rPr>
              <w:t>✅ What we have agreed</w:t>
            </w:r>
          </w:p>
          <w:p>
            <w:pPr>
              <w:pStyle w:val="ListBullet"/>
            </w:pPr>
            <w:r>
              <w:rPr>
                <w:b/>
                <w:i/>
                <w:strike w:val="0"/>
                <w:color w:val="7030A0"/>
              </w:rPr>
              <w:t>Auto-scheduling every test as a separate calendar entry is dropped. Pending work sits in a pool.</w:t>
            </w:r>
            <w:r>
              <w:rPr>
                <w:b w:val="0"/>
                <w:i w:val="0"/>
                <w:strike w:val="0"/>
              </w:rPr>
              <w:t xml:space="preserve"> </w:t>
            </w:r>
            <w:r>
              <w:rPr>
                <w:b w:val="0"/>
                <w:i/>
                <w:strike w:val="0"/>
                <w:color w:val="7030A0"/>
                <w:sz w:val="16"/>
              </w:rPr>
              <w:t xml:space="preserve"> [Aug 2026 client MOM]</w:t>
            </w:r>
          </w:p>
          <w:p>
            <w:pPr>
              <w:pStyle w:val="ListBullet"/>
            </w:pPr>
            <w:r>
              <w:rPr>
                <w:b/>
                <w:i/>
                <w:strike w:val="0"/>
                <w:color w:val="7030A0"/>
              </w:rPr>
              <w:t>The CCO selects items from the pool at article / requirement level and assigns them to a tester manually.</w:t>
            </w:r>
            <w:r>
              <w:rPr>
                <w:b w:val="0"/>
                <w:i w:val="0"/>
                <w:strike w:val="0"/>
              </w:rPr>
              <w:t xml:space="preserve"> </w:t>
            </w:r>
            <w:r>
              <w:rPr>
                <w:b w:val="0"/>
                <w:i/>
                <w:strike w:val="0"/>
                <w:color w:val="7030A0"/>
                <w:sz w:val="16"/>
              </w:rPr>
              <w:t xml:space="preserve"> [Aug 2026 client MOM]</w:t>
            </w:r>
          </w:p>
          <w:p>
            <w:pPr>
              <w:pStyle w:val="ListBullet"/>
            </w:pPr>
            <w:r>
              <w:rPr>
                <w:b/>
                <w:i/>
                <w:strike w:val="0"/>
                <w:color w:val="7030A0"/>
              </w:rPr>
              <w:t>Every test carries a mandatory scope period.</w:t>
            </w:r>
            <w:r>
              <w:rPr>
                <w:b w:val="0"/>
                <w:i w:val="0"/>
                <w:strike w:val="0"/>
              </w:rPr>
              <w:t xml:space="preserve"> </w:t>
            </w:r>
            <w:r>
              <w:rPr>
                <w:b w:val="0"/>
                <w:i/>
                <w:strike w:val="0"/>
                <w:color w:val="7030A0"/>
                <w:sz w:val="16"/>
              </w:rPr>
              <w:t xml:space="preserve"> [Aug 2026 client MOM]</w:t>
            </w:r>
          </w:p>
          <w:p>
            <w:pPr>
              <w:pStyle w:val="ListBullet"/>
            </w:pPr>
            <w:r>
              <w:rPr>
                <w:b/>
                <w:i/>
                <w:strike w:val="0"/>
                <w:color w:val="7030A0"/>
              </w:rPr>
              <w:t>The CCO gets a holistic cross-tester, cross-pillar progress view.</w:t>
            </w:r>
            <w:r>
              <w:rPr>
                <w:b w:val="0"/>
                <w:i w:val="0"/>
                <w:strike w:val="0"/>
              </w:rPr>
              <w:t xml:space="preserve"> </w:t>
            </w:r>
            <w:r>
              <w:rPr>
                <w:b w:val="0"/>
                <w:i/>
                <w:strike w:val="0"/>
                <w:color w:val="7030A0"/>
                <w:sz w:val="16"/>
              </w:rPr>
              <w:t xml:space="preserve"> [Aug 2026 client MOM]</w:t>
            </w:r>
          </w:p>
          <w:p>
            <w:pPr>
              <w:pStyle w:val="ListBullet"/>
            </w:pPr>
            <w:r>
              <w:rPr>
                <w:b/>
                <w:i/>
                <w:strike w:val="0"/>
                <w:color w:val="7030A0"/>
              </w:rPr>
              <w:t>Tests are tagged to a business owner for accountability.</w:t>
            </w:r>
            <w:r>
              <w:rPr>
                <w:b w:val="0"/>
                <w:i w:val="0"/>
                <w:strike w:val="0"/>
              </w:rPr>
              <w:t xml:space="preserve"> </w:t>
            </w:r>
            <w:r>
              <w:rPr>
                <w:b w:val="0"/>
                <w:i/>
                <w:strike w:val="0"/>
                <w:color w:val="7030A0"/>
                <w:sz w:val="16"/>
              </w:rPr>
              <w:t xml:space="preserve"> [Aug 2026 client MOM]</w:t>
            </w:r>
          </w:p>
          <w:p>
            <w:pPr>
              <w:pStyle w:val="ListBullet"/>
            </w:pPr>
            <w:r>
              <w:rPr>
                <w:b/>
                <w:i/>
                <w:strike w:val="0"/>
                <w:color w:val="7030A0"/>
              </w:rPr>
              <w:t>Not Applicable is a CCO decision, justified in writing, and surfaced in a report appendix.</w:t>
            </w:r>
            <w:r>
              <w:rPr>
                <w:b w:val="0"/>
                <w:i w:val="0"/>
                <w:strike w:val="0"/>
              </w:rPr>
              <w:t xml:space="preserve"> </w:t>
            </w:r>
            <w:r>
              <w:rPr>
                <w:b w:val="0"/>
                <w:i/>
                <w:strike w:val="0"/>
                <w:color w:val="7030A0"/>
                <w:sz w:val="16"/>
              </w:rPr>
              <w:t xml:space="preserve"> [Aug 2026 client MOM]</w:t>
            </w:r>
          </w:p>
        </w:tc>
      </w:tr>
    </w:tbl>
    <w:tbl>
      <w:tblPr>
        <w:tblStyle w:val="TableGrid"/>
        <w:tblW w:type="auto" w:w="0"/>
        <w:tblLook w:firstColumn="1" w:firstRow="1" w:lastColumn="0" w:lastRow="0" w:noHBand="0" w:noVBand="1" w:val="04A0"/>
      </w:tblPr>
      <w:tblGrid>
        <w:gridCol w:w="8640"/>
      </w:tblGrid>
      <w:tr>
        <w:tc>
          <w:tcPr>
            <w:tcW w:type="dxa" w:w="8640"/>
            <w:shd w:val="clear" w:fill="E2EFDA"/>
          </w:tcPr>
          <w:p>
            <w:r>
              <w:rPr>
                <w:b/>
                <w:i w:val="0"/>
                <w:strike w:val="0"/>
              </w:rPr>
              <w:t>CONFIRMED</w:t>
            </w:r>
            <w:r>
              <w:rPr>
                <w:b w:val="0"/>
                <w:i w:val="0"/>
                <w:strike w:val="0"/>
              </w:rPr>
              <w:t xml:space="preserve"> </w:t>
            </w:r>
            <w:r>
              <w:rPr>
                <w:b w:val="0"/>
                <w:i/>
                <w:strike w:val="0"/>
              </w:rPr>
              <w:t>(green — agreed 11 Aug 2026)</w:t>
            </w:r>
          </w:p>
          <w:p>
            <w:r>
              <w:rPr>
                <w:b/>
                <w:i w:val="0"/>
                <w:strike w:val="0"/>
              </w:rPr>
              <w:t>✅ What we have agreed</w:t>
            </w:r>
          </w:p>
          <w:p>
            <w:pPr>
              <w:pStyle w:val="ListBullet"/>
            </w:pPr>
            <w:r>
              <w:rPr>
                <w:b/>
                <w:i/>
                <w:strike w:val="0"/>
                <w:color w:val="008080"/>
              </w:rPr>
              <w:t>Scoping exists to stop firms being overwhelmed. Tests are deliberately scoped down by date range and by article — the client's examples were KYC for accounts opened January to August, and specified articles within DORA rather than the whole regulation.</w:t>
            </w:r>
            <w:r>
              <w:rPr>
                <w:b w:val="0"/>
                <w:i w:val="0"/>
                <w:strike w:val="0"/>
              </w:rPr>
              <w:t xml:space="preserve"> </w:t>
            </w:r>
            <w:r>
              <w:rPr>
                <w:b w:val="0"/>
                <w:i/>
                <w:strike w:val="0"/>
                <w:color w:val="008080"/>
                <w:sz w:val="16"/>
              </w:rPr>
              <w:t xml:space="preserve"> [11 Aug 2026 MOM]</w:t>
            </w:r>
          </w:p>
          <w:p>
            <w:pPr>
              <w:pStyle w:val="ListBullet"/>
            </w:pPr>
            <w:r>
              <w:rPr>
                <w:b/>
                <w:i/>
                <w:strike w:val="0"/>
                <w:color w:val="008080"/>
              </w:rPr>
              <w:t>The CCO can split a complex test across multiple testers by article, so the review completes faster.</w:t>
            </w:r>
            <w:r>
              <w:rPr>
                <w:b w:val="0"/>
                <w:i w:val="0"/>
                <w:strike w:val="0"/>
              </w:rPr>
              <w:t xml:space="preserve"> </w:t>
            </w:r>
            <w:r>
              <w:rPr>
                <w:b w:val="0"/>
                <w:i/>
                <w:strike w:val="0"/>
                <w:color w:val="008080"/>
                <w:sz w:val="16"/>
              </w:rPr>
              <w:t xml:space="preserve"> [11 Aug 2026 MOM]</w:t>
            </w:r>
          </w:p>
          <w:p>
            <w:pPr>
              <w:pStyle w:val="ListBullet"/>
            </w:pPr>
            <w:r>
              <w:rPr>
                <w:b/>
                <w:i/>
                <w:strike w:val="0"/>
                <w:color w:val="008080"/>
              </w:rPr>
              <w:t>A tester may mark items Not Applicable, but the decision needs a justification file and lands in the report appendix. Confirms FR-94 and tightens it — the justification is a document, not a text box.</w:t>
            </w:r>
            <w:r>
              <w:rPr>
                <w:b w:val="0"/>
                <w:i w:val="0"/>
                <w:strike w:val="0"/>
              </w:rPr>
              <w:t xml:space="preserve"> </w:t>
            </w:r>
            <w:r>
              <w:rPr>
                <w:b w:val="0"/>
                <w:i/>
                <w:strike w:val="0"/>
                <w:color w:val="008080"/>
                <w:sz w:val="16"/>
              </w:rPr>
              <w:t xml:space="preserve"> [11 Aug 2026 MOM]</w:t>
            </w:r>
          </w:p>
          <w:p>
            <w:pPr>
              <w:pStyle w:val="ListBullet"/>
            </w:pPr>
            <w:r>
              <w:rPr>
                <w:b/>
                <w:i/>
                <w:strike w:val="0"/>
                <w:color w:val="008080"/>
              </w:rPr>
              <w:t>Tests are tagged to specific business units — the client's example was the CTO owning system-related tests rather than everything defaulting to the CEO — so the right person is accountable for producing evidence. Confirms FR-82 unchanged.</w:t>
            </w:r>
            <w:r>
              <w:rPr>
                <w:b w:val="0"/>
                <w:i w:val="0"/>
                <w:strike w:val="0"/>
              </w:rPr>
              <w:t xml:space="preserve"> </w:t>
            </w:r>
            <w:r>
              <w:rPr>
                <w:b w:val="0"/>
                <w:i/>
                <w:strike w:val="0"/>
                <w:color w:val="008080"/>
                <w:sz w:val="16"/>
              </w:rPr>
              <w:t xml:space="preserve"> [11 Aug 2026 MOM]</w:t>
            </w:r>
          </w:p>
        </w:tc>
      </w:tr>
    </w:tbl>
    <w:tbl>
      <w:tblPr>
        <w:tblStyle w:val="TableGrid"/>
        <w:tblW w:type="auto" w:w="0"/>
        <w:tblLook w:firstColumn="1" w:firstRow="1" w:lastColumn="0" w:lastRow="0" w:noHBand="0" w:noVBand="1" w:val="04A0"/>
      </w:tblPr>
      <w:tblGrid>
        <w:gridCol w:w="8640"/>
      </w:tblGrid>
      <w:tr>
        <w:tc>
          <w:tcPr>
            <w:tcW w:type="dxa" w:w="8640"/>
            <w:shd w:val="clear" w:fill="FFF2CC"/>
          </w:tcPr>
          <w:p>
            <w:r>
              <w:rPr>
                <w:b/>
                <w:i w:val="0"/>
                <w:strike w:val="0"/>
              </w:rPr>
              <w:t>OPEN QUESTION</w:t>
            </w:r>
            <w:r>
              <w:rPr>
                <w:b w:val="0"/>
                <w:i w:val="0"/>
                <w:strike w:val="0"/>
              </w:rPr>
              <w:t xml:space="preserve"> </w:t>
            </w:r>
            <w:r>
              <w:rPr>
                <w:b w:val="0"/>
                <w:i/>
                <w:strike w:val="0"/>
              </w:rPr>
              <w:t>(amber — new in v6.0)</w:t>
            </w:r>
          </w:p>
          <w:p>
            <w:r>
              <w:rPr>
                <w:b/>
                <w:i w:val="0"/>
                <w:strike w:val="0"/>
              </w:rPr>
              <w:t>💬 Questions still to confirm</w:t>
            </w:r>
          </w:p>
          <w:p>
            <w:pPr>
              <w:pStyle w:val="ListBullet"/>
            </w:pPr>
            <w:r>
              <w:rPr>
                <w:b/>
                <w:i/>
                <w:strike w:val="0"/>
                <w:color w:val="008080"/>
              </w:rPr>
              <w:t>Fan-out and result ownership (TS-05): FR-21 says each test has one Lead Tester who owns the formal result. FR-106 splits a test across several. Who records the overall Pass / Fail / Observation when four testers each worked three articles — a nominated lead among them, the CCO, or one result per article that rolls up? This needs answering before the testing data model is built. Tracked as GAP-15 in Section 16.</w:t>
            </w:r>
            <w:r>
              <w:rPr>
                <w:b w:val="0"/>
                <w:i w:val="0"/>
                <w:strike w:val="0"/>
              </w:rPr>
              <w:t xml:space="preserve"> </w:t>
            </w:r>
            <w:r>
              <w:rPr>
                <w:b w:val="0"/>
                <w:i/>
                <w:strike w:val="0"/>
                <w:color w:val="008080"/>
                <w:sz w:val="16"/>
              </w:rPr>
              <w:t xml:space="preserve"> [11 Aug 2026 MOM]</w:t>
            </w:r>
          </w:p>
          <w:p>
            <w:pPr>
              <w:pStyle w:val="ListBullet"/>
            </w:pPr>
            <w:r>
              <w:rPr>
                <w:b/>
                <w:i/>
                <w:strike w:val="0"/>
                <w:color w:val="008080"/>
              </w:rPr>
              <w:t>Fan-out and findings (TS-06): if two testers on the same test each raise a finding on adjacent articles, are they two findings or one? FR-39 allows many findings per test, so two is the default reading, but repeat-finding detection (FR-46) and the risk-rating calculation both count findings per test and would be affected.</w:t>
            </w:r>
            <w:r>
              <w:rPr>
                <w:b w:val="0"/>
                <w:i w:val="0"/>
                <w:strike w:val="0"/>
              </w:rPr>
              <w:t xml:space="preserve"> </w:t>
            </w:r>
            <w:r>
              <w:rPr>
                <w:b w:val="0"/>
                <w:i/>
                <w:strike w:val="0"/>
                <w:color w:val="008080"/>
                <w:sz w:val="16"/>
              </w:rPr>
              <w:t xml:space="preserve"> [11 Aug 2026 MOM]</w:t>
            </w:r>
          </w:p>
          <w:p>
            <w:pPr>
              <w:pStyle w:val="ListBullet"/>
            </w:pPr>
            <w:r>
              <w:rPr>
                <w:b/>
                <w:i/>
                <w:strike w:val="0"/>
                <w:color w:val="008080"/>
              </w:rPr>
              <w:t>Article catalogue (TS-07): article-level scoping and fan-out both assume the platform holds regulations broken down to article level as selectable objects. SA-12 renders fetched content to article and paragraph, so the structure exists — confirm that every Requirement ID is mapped to its constituent articles, since without that mapping neither FR-105 nor FR-106 can be built.</w:t>
            </w:r>
            <w:r>
              <w:rPr>
                <w:b w:val="0"/>
                <w:i w:val="0"/>
                <w:strike w:val="0"/>
              </w:rPr>
              <w:t xml:space="preserve"> </w:t>
            </w:r>
            <w:r>
              <w:rPr>
                <w:b w:val="0"/>
                <w:i/>
                <w:strike w:val="0"/>
                <w:color w:val="008080"/>
                <w:sz w:val="16"/>
              </w:rPr>
              <w:t xml:space="preserve"> [11 Aug 2026 MOM]</w:t>
            </w:r>
          </w:p>
        </w:tc>
      </w:tr>
    </w:tbl>
    <w:tbl>
      <w:tblPr>
        <w:tblStyle w:val="TableGrid"/>
        <w:tblW w:type="auto" w:w="0"/>
        <w:tblLook w:firstColumn="1" w:firstRow="1" w:lastColumn="0" w:lastRow="0" w:noHBand="0" w:noVBand="1" w:val="04A0"/>
      </w:tblPr>
      <w:tblGrid>
        <w:gridCol w:w="8640"/>
      </w:tblGrid>
      <w:tr>
        <w:tc>
          <w:tcPr>
            <w:tcW w:type="dxa" w:w="8640"/>
            <w:shd w:val="clear" w:fill="FFF2CC"/>
          </w:tcPr>
          <w:p>
            <w:r>
              <w:rPr>
                <w:b/>
                <w:i w:val="0"/>
                <w:strike w:val="0"/>
              </w:rPr>
              <w:t>OPEN QUESTION</w:t>
            </w:r>
            <w:r>
              <w:rPr>
                <w:b w:val="0"/>
                <w:i w:val="0"/>
                <w:strike w:val="0"/>
              </w:rPr>
              <w:t xml:space="preserve"> </w:t>
            </w:r>
            <w:r>
              <w:rPr>
                <w:b w:val="0"/>
                <w:i/>
                <w:strike w:val="0"/>
              </w:rPr>
              <w:t>(amber — new in v5.0)</w:t>
            </w:r>
          </w:p>
          <w:p>
            <w:r>
              <w:rPr>
                <w:b/>
                <w:i w:val="0"/>
                <w:strike w:val="0"/>
              </w:rPr>
              <w:t>💬 Questions still to confirm</w:t>
            </w:r>
          </w:p>
          <w:p>
            <w:pPr>
              <w:pStyle w:val="ListBullet"/>
            </w:pPr>
            <w:r>
              <w:rPr>
                <w:b/>
                <w:i/>
                <w:strike w:val="0"/>
                <w:color w:val="7030A0"/>
              </w:rPr>
              <w:t>Pool ageing (TS-01): an item sits in the pool with a period it is owed for. If the CCO never assigns it and the period ends, what happens — does it stay in the pool flagged overdue, roll into the next period, or generate a missed-obligation record? The Section 12 "required test not scheduled" alert fires, but the item's own end state is undefined. This is the pool-model version of GAP-01 and needs answering with it.</w:t>
            </w:r>
            <w:r>
              <w:rPr>
                <w:b w:val="0"/>
                <w:i w:val="0"/>
                <w:strike w:val="0"/>
              </w:rPr>
              <w:t xml:space="preserve"> </w:t>
            </w:r>
            <w:r>
              <w:rPr>
                <w:b w:val="0"/>
                <w:i/>
                <w:strike w:val="0"/>
                <w:color w:val="7030A0"/>
                <w:sz w:val="16"/>
              </w:rPr>
              <w:t xml:space="preserve"> [Aug 2026 client MOM]</w:t>
            </w:r>
          </w:p>
          <w:p>
            <w:pPr>
              <w:pStyle w:val="ListBullet"/>
            </w:pPr>
            <w:r>
              <w:rPr>
                <w:b/>
                <w:i/>
                <w:strike w:val="0"/>
                <w:color w:val="7030A0"/>
              </w:rPr>
              <w:t>Scope period defaults (TS-02): does the platform propose a scope period from the test's frequency (e.g. the last full quarter) that the CCO can accept or edit, or does the CCO type both dates every time? A proposal saves a lot of clicks at the cost of a wrong default being accepted without thought.</w:t>
            </w:r>
            <w:r>
              <w:rPr>
                <w:b w:val="0"/>
                <w:i w:val="0"/>
                <w:strike w:val="0"/>
              </w:rPr>
              <w:t xml:space="preserve"> </w:t>
            </w:r>
            <w:r>
              <w:rPr>
                <w:b w:val="0"/>
                <w:i/>
                <w:strike w:val="0"/>
                <w:color w:val="7030A0"/>
                <w:sz w:val="16"/>
              </w:rPr>
              <w:t xml:space="preserve"> [Aug 2026 client MOM]</w:t>
            </w:r>
          </w:p>
          <w:p>
            <w:pPr>
              <w:pStyle w:val="ListBullet"/>
            </w:pPr>
            <w:r>
              <w:rPr>
                <w:b/>
                <w:i/>
                <w:strike w:val="0"/>
                <w:color w:val="7030A0"/>
              </w:rPr>
              <w:t>Scope period vs. evidence dates (TS-03): if a tester uploads evidence dated outside the scope period, does the platform warn, block, or simply record it? FR-80 says it is recorded as out of scope — confirm that is enough.</w:t>
            </w:r>
            <w:r>
              <w:rPr>
                <w:b w:val="0"/>
                <w:i w:val="0"/>
                <w:strike w:val="0"/>
              </w:rPr>
              <w:t xml:space="preserve"> </w:t>
            </w:r>
            <w:r>
              <w:rPr>
                <w:b w:val="0"/>
                <w:i/>
                <w:strike w:val="0"/>
                <w:color w:val="7030A0"/>
                <w:sz w:val="16"/>
              </w:rPr>
              <w:t xml:space="preserve"> [Aug 2026 client MOM]</w:t>
            </w:r>
          </w:p>
          <w:p>
            <w:pPr>
              <w:pStyle w:val="ListBullet"/>
            </w:pPr>
            <w:r>
              <w:rPr>
                <w:b/>
                <w:i/>
                <w:strike w:val="0"/>
                <w:color w:val="CC00CC"/>
              </w:rPr>
              <w:t>Business owner authority (TS-04) — RESOLVED 14 Aug 2026: the business owner reaches a dashboard from the announcement letter link and sees the test together with every request item on their side (FR-133). Visibility is test-plus-own-request-list; the GAP-05 rule still governs anything beyond that, and how the business owner authenticates remains EV-03.</w:t>
            </w:r>
            <w:r>
              <w:rPr>
                <w:b w:val="0"/>
                <w:i w:val="0"/>
                <w:strike w:val="0"/>
              </w:rPr>
              <w:t xml:space="preserve"> </w:t>
            </w:r>
            <w:r>
              <w:rPr>
                <w:b w:val="0"/>
                <w:i/>
                <w:strike w:val="0"/>
                <w:color w:val="CC00CC"/>
                <w:sz w:val="16"/>
              </w:rPr>
              <w:t xml:space="preserve"> [14 Aug 2026 MOM]</w:t>
            </w:r>
          </w:p>
        </w:tc>
      </w:tr>
    </w:tbl>
    <w:p>
      <w:pPr>
        <w:pStyle w:val="Heading2"/>
      </w:pPr>
      <w:r>
        <w:t>7.3 Evidence</w:t>
      </w:r>
    </w:p>
    <w:p>
      <w:r>
        <w:rPr>
          <w:b/>
          <w:i w:val="0"/>
          <w:strike w:val="0"/>
          <w:color w:val="1155CC"/>
        </w:rPr>
        <w:t>[FR-24]</w:t>
      </w:r>
      <w:r>
        <w:rPr>
          <w:b w:val="0"/>
          <w:i w:val="0"/>
          <w:strike w:val="0"/>
        </w:rPr>
        <w:t xml:space="preserve"> The platform accepts the following evidence file types: PDF, Word documents (.docx), Excel spreadsheets (.xlsx), images (PNG, JPG), audio recordings (MP3, WAV), video recordings (MP4, MOV, AVI), screen recordings, ZIP archives, and CSV data exports. The maximum file size is set by the development team in the platform configuration and can be adjusted without a code change.</w:t>
      </w:r>
    </w:p>
    <w:p>
      <w:r>
        <w:rPr>
          <w:b/>
          <w:i w:val="0"/>
          <w:strike w:val="0"/>
          <w:color w:val="1155CC"/>
        </w:rPr>
        <w:t>[FR-25]</w:t>
      </w:r>
      <w:r>
        <w:rPr>
          <w:b w:val="0"/>
          <w:i w:val="0"/>
          <w:strike w:val="0"/>
        </w:rPr>
        <w:t xml:space="preserve"> Before a test begins, the platform generates a structured document checklist — a list of everything the Lead Tester will need to collect during the test. This checklist can be exported as a PDF and shared with the IT team, Finance team, or Legal team so they can gather the required documents in advance. </w:t>
      </w:r>
      <w:r>
        <w:rPr>
          <w:b/>
          <w:i/>
          <w:strike w:val="0"/>
          <w:color w:val="7030A0"/>
        </w:rPr>
        <w:t>v5.0: this checklist is now the source of the initial request list in Section 7.4. Whether the exportable PDF form survives alongside the tracked request register is an open design question — see GAP-12.</w:t>
      </w:r>
      <w:r>
        <w:rPr>
          <w:b w:val="0"/>
          <w:i w:val="0"/>
          <w:strike w:val="0"/>
        </w:rPr>
        <w:t xml:space="preserve"> </w:t>
      </w:r>
      <w:r>
        <w:rPr>
          <w:b w:val="0"/>
          <w:i/>
          <w:strike w:val="0"/>
          <w:color w:val="7030A0"/>
          <w:sz w:val="16"/>
        </w:rPr>
        <w:t xml:space="preserve"> [Aug 2026 client MOM]</w:t>
      </w:r>
    </w:p>
    <w:p>
      <w:r>
        <w:rPr>
          <w:b/>
          <w:i w:val="0"/>
          <w:strike w:val="0"/>
          <w:color w:val="1155CC"/>
        </w:rPr>
        <w:t>[FR-27]</w:t>
      </w:r>
      <w:r>
        <w:rPr>
          <w:b w:val="0"/>
          <w:i w:val="0"/>
          <w:strike w:val="0"/>
        </w:rPr>
        <w:t xml:space="preserve"> Once a test has been signed off by the CCO, the result is final. If a mistake was made or new information comes to light, the CCO is the only person who can add an amendment. The amendment must include a written explanation of why the result is being changed. The original result is never deleted — it stays in the audit log alongside the amendment.</w:t>
      </w:r>
    </w:p>
    <w:p>
      <w:r>
        <w:rPr>
          <w:b/>
          <w:i w:val="0"/>
          <w:strike w:val="0"/>
          <w:color w:val="1155CC"/>
        </w:rPr>
        <w:t>[FR-28]</w:t>
      </w:r>
      <w:r>
        <w:rPr>
          <w:b w:val="0"/>
          <w:i w:val="0"/>
          <w:strike w:val="0"/>
        </w:rPr>
        <w:t xml:space="preserve"> Evidence files have a shelf life. For example, a Business Continuity Plan test report is only valid evidence if it is less than 12 months old. The platform tracks the age of evidence files linked to each test and proactively alerts the CCO and Lead Tester before the next test is due if any evidence is approaching its validity limit.</w:t>
      </w:r>
    </w:p>
    <w:p>
      <w:pPr>
        <w:pStyle w:val="Heading2"/>
      </w:pPr>
      <w:r>
        <w:t>7.4 Records Requests and Evidence Collection</w:t>
      </w:r>
    </w:p>
    <w:p>
      <w:r>
        <w:rPr>
          <w:b/>
          <w:i/>
          <w:strike w:val="0"/>
          <w:color w:val="7030A0"/>
        </w:rPr>
        <w:t>NEW in v5.0 — a substantial part of the August 2026 meeting was spent on this workflow.</w:t>
      </w:r>
      <w:r>
        <w:rPr>
          <w:b w:val="0"/>
          <w:i w:val="0"/>
          <w:strike w:val="0"/>
        </w:rPr>
        <w:t xml:space="preserve"> </w:t>
      </w:r>
      <w:r>
        <w:rPr>
          <w:b w:val="0"/>
          <w:i/>
          <w:strike w:val="0"/>
          <w:color w:val="7030A0"/>
          <w:sz w:val="16"/>
        </w:rPr>
        <w:t xml:space="preserve"> [Aug 2026 client MOM]</w:t>
      </w:r>
    </w:p>
    <w:p>
      <w:r>
        <w:rPr>
          <w:b w:val="0"/>
          <w:i w:val="0"/>
          <w:strike w:val="0"/>
        </w:rPr>
        <w:t xml:space="preserve">Before a tester can test anything, somebody on the business side has to hand over records. In v4.0 this was a single line — FR-25's exportable document checklist. The meeting established that this is a workflow in its own right, and that </w:t>
      </w:r>
      <w:r>
        <w:rPr>
          <w:b/>
          <w:i w:val="0"/>
          <w:strike w:val="0"/>
        </w:rPr>
        <w:t>how long the business side takes to respond is itself compliance information</w:t>
      </w:r>
      <w:r>
        <w:rPr>
          <w:b w:val="0"/>
          <w:i w:val="0"/>
          <w:strike w:val="0"/>
        </w:rPr>
        <w:t>. In the client's words, delays are a "clear indicator" of internal control problems, and the CCO needs to be able to see them.</w:t>
      </w:r>
    </w:p>
    <w:p>
      <w:pPr>
        <w:pStyle w:val="Heading3"/>
      </w:pPr>
      <w:r>
        <w:t>Announcing the test and issuing the request list</w:t>
      </w:r>
    </w:p>
    <w:p>
      <w:r>
        <w:rPr>
          <w:b/>
          <w:i w:val="0"/>
          <w:strike w:val="0"/>
          <w:color w:val="1155CC"/>
        </w:rPr>
        <w:t>[FR-83]</w:t>
      </w:r>
      <w:r>
        <w:rPr>
          <w:b w:val="0"/>
          <w:i w:val="0"/>
          <w:strike w:val="0"/>
        </w:rPr>
        <w:t xml:space="preserve"> </w:t>
      </w:r>
      <w:r>
        <w:rPr>
          <w:b/>
          <w:i/>
          <w:strike w:val="0"/>
          <w:color w:val="7030A0"/>
        </w:rPr>
        <w:t>Before a test begins, the business unit owner (the FR-82 business owner for that test) receives two things: an announcement letter stating that the test is starting, its scope period, and who is running it; and an initial request list — the specific documents and records required. Both are generated by the platform from the test procedure's evidence checklist, and both are sent through the platform, not by side-channel email, so that the issue date is recorded.</w:t>
      </w:r>
      <w:r>
        <w:rPr>
          <w:b w:val="0"/>
          <w:i w:val="0"/>
          <w:strike w:val="0"/>
        </w:rPr>
        <w:t xml:space="preserve"> </w:t>
      </w:r>
      <w:r>
        <w:rPr>
          <w:b w:val="0"/>
          <w:i/>
          <w:strike w:val="0"/>
          <w:color w:val="7030A0"/>
          <w:sz w:val="16"/>
        </w:rPr>
        <w:t xml:space="preserve"> [Aug 2026 client MOM]</w:t>
      </w:r>
      <w:r>
        <w:rPr>
          <w:b w:val="0"/>
          <w:i w:val="0"/>
          <w:strike w:val="0"/>
        </w:rPr>
        <w:t xml:space="preserve"> </w:t>
      </w:r>
      <w:r>
        <w:rPr>
          <w:b/>
          <w:i/>
          <w:strike w:val="0"/>
          <w:color w:val="CC00CC"/>
        </w:rPr>
        <w:t xml:space="preserve">REVISED in v8.0: the announcement letter is sent to a </w:t>
      </w:r>
      <w:r>
        <w:rPr>
          <w:b/>
          <w:i/>
          <w:strike w:val="0"/>
          <w:color w:val="CC00CC"/>
        </w:rPr>
        <w:t>distribution list of all relevant business units</w:t>
      </w:r>
      <w:r>
        <w:rPr>
          <w:b/>
          <w:i/>
          <w:strike w:val="0"/>
          <w:color w:val="CC00CC"/>
        </w:rPr>
        <w:t xml:space="preserve"> for the test, not to a single addressee. The list is auto-populated by the platform — see FR-132. The letter carries the FR-133 link.</w:t>
      </w:r>
      <w:r>
        <w:rPr>
          <w:b w:val="0"/>
          <w:i w:val="0"/>
          <w:strike w:val="0"/>
        </w:rPr>
        <w:t xml:space="preserve"> </w:t>
      </w:r>
      <w:r>
        <w:rPr>
          <w:b w:val="0"/>
          <w:i/>
          <w:strike w:val="0"/>
          <w:color w:val="CC00CC"/>
          <w:sz w:val="16"/>
        </w:rPr>
        <w:t xml:space="preserve"> [14 Aug 2026 MOM]</w:t>
      </w:r>
    </w:p>
    <w:p>
      <w:r>
        <w:rPr>
          <w:b/>
          <w:i w:val="0"/>
          <w:strike w:val="0"/>
          <w:color w:val="1155CC"/>
        </w:rPr>
        <w:t>[FR-84]</w:t>
      </w:r>
      <w:r>
        <w:rPr>
          <w:b w:val="0"/>
          <w:i w:val="0"/>
          <w:strike w:val="0"/>
        </w:rPr>
        <w:t xml:space="preserve"> </w:t>
      </w:r>
      <w:r>
        <w:rPr>
          <w:b/>
          <w:i/>
          <w:strike w:val="0"/>
          <w:color w:val="7030A0"/>
        </w:rPr>
        <w:t>The initial request list is not final. The Lead Tester can issue supplementary requests during the test as the work uncovers a need for more records. Every request — initial or supplementary — is a tracked item in its own right.</w:t>
      </w:r>
      <w:r>
        <w:rPr>
          <w:b w:val="0"/>
          <w:i w:val="0"/>
          <w:strike w:val="0"/>
        </w:rPr>
        <w:t xml:space="preserve"> </w:t>
      </w:r>
      <w:r>
        <w:rPr>
          <w:b w:val="0"/>
          <w:i/>
          <w:strike w:val="0"/>
          <w:color w:val="7030A0"/>
          <w:sz w:val="16"/>
        </w:rPr>
        <w:t xml:space="preserve"> [Aug 2026 client MOM]</w:t>
      </w:r>
    </w:p>
    <w:p>
      <w:r>
        <w:rPr>
          <w:b/>
          <w:i w:val="0"/>
          <w:strike w:val="0"/>
          <w:color w:val="1155CC"/>
        </w:rPr>
        <w:t>[FR-131]</w:t>
      </w:r>
      <w:r>
        <w:rPr>
          <w:b w:val="0"/>
          <w:i w:val="0"/>
          <w:strike w:val="0"/>
        </w:rPr>
        <w:t xml:space="preserve"> </w:t>
      </w:r>
      <w:r>
        <w:rPr>
          <w:b/>
          <w:i/>
          <w:strike w:val="0"/>
          <w:color w:val="CC00CC"/>
        </w:rPr>
        <w:t xml:space="preserve">Each request list item is mapped to a </w:t>
      </w:r>
      <w:r>
        <w:rPr>
          <w:b/>
          <w:i/>
          <w:strike w:val="0"/>
          <w:color w:val="CC00CC"/>
        </w:rPr>
        <w:t>business unit</w:t>
      </w:r>
      <w:r>
        <w:rPr>
          <w:b/>
          <w:i/>
          <w:strike w:val="0"/>
          <w:color w:val="CC00CC"/>
        </w:rPr>
        <w:t>. One test's request list can span several units — the KYC records to one unit, the system logs to another — and each item is answered by, and its turnaround measured against, the unit it is mapped to. This refines FR-82: the test still has one accountable business owner, but responsibility for producing each individual record sits with the unit the item names. The FR-86 delay analytics report at this per-unit granularity.</w:t>
      </w:r>
      <w:r>
        <w:rPr>
          <w:b w:val="0"/>
          <w:i w:val="0"/>
          <w:strike w:val="0"/>
        </w:rPr>
        <w:t xml:space="preserve"> </w:t>
      </w:r>
      <w:r>
        <w:rPr>
          <w:b w:val="0"/>
          <w:i/>
          <w:strike w:val="0"/>
          <w:color w:val="CC00CC"/>
          <w:sz w:val="16"/>
        </w:rPr>
        <w:t xml:space="preserve"> [14 Aug 2026 MOM]</w:t>
      </w:r>
    </w:p>
    <w:p>
      <w:r>
        <w:rPr>
          <w:b/>
          <w:i w:val="0"/>
          <w:strike w:val="0"/>
          <w:color w:val="1155CC"/>
        </w:rPr>
        <w:t>[FR-132]</w:t>
      </w:r>
      <w:r>
        <w:rPr>
          <w:b w:val="0"/>
          <w:i w:val="0"/>
          <w:strike w:val="0"/>
        </w:rPr>
        <w:t xml:space="preserve"> </w:t>
      </w:r>
      <w:r>
        <w:rPr>
          <w:b/>
          <w:i/>
          <w:strike w:val="0"/>
          <w:color w:val="CC00CC"/>
        </w:rPr>
        <w:t xml:space="preserve">The announcement letter's distribution list is </w:t>
      </w:r>
      <w:r>
        <w:rPr>
          <w:b/>
          <w:i/>
          <w:strike w:val="0"/>
          <w:color w:val="CC00CC"/>
        </w:rPr>
        <w:t>auto-populated</w:t>
      </w:r>
      <w:r>
        <w:rPr>
          <w:b/>
          <w:i/>
          <w:strike w:val="0"/>
          <w:color w:val="CC00CC"/>
        </w:rPr>
        <w:t xml:space="preserve"> by the platform from the business units mapped to the test's request items (FR-131) and the FR-82 business owner. The CCO can add or edit recipients before issue, but any addition or edit requires a recorded </w:t>
      </w:r>
      <w:r>
        <w:rPr>
          <w:b/>
          <w:i/>
          <w:strike w:val="0"/>
          <w:color w:val="CC00CC"/>
        </w:rPr>
        <w:t>justification</w:t>
      </w:r>
      <w:r>
        <w:rPr>
          <w:b/>
          <w:i/>
          <w:strike w:val="0"/>
          <w:color w:val="CC00CC"/>
        </w:rPr>
        <w:t xml:space="preserve"> — the auto-populated list is the default, and departing from it is an audited decision, in the same spirit as the FR-109 deviation rule.</w:t>
      </w:r>
      <w:r>
        <w:rPr>
          <w:b w:val="0"/>
          <w:i w:val="0"/>
          <w:strike w:val="0"/>
        </w:rPr>
        <w:t xml:space="preserve"> </w:t>
      </w:r>
      <w:r>
        <w:rPr>
          <w:b w:val="0"/>
          <w:i/>
          <w:strike w:val="0"/>
          <w:color w:val="CC00CC"/>
          <w:sz w:val="16"/>
        </w:rPr>
        <w:t xml:space="preserve"> [14 Aug 2026 MOM]</w:t>
      </w:r>
    </w:p>
    <w:p>
      <w:r>
        <w:rPr>
          <w:b/>
          <w:i w:val="0"/>
          <w:strike w:val="0"/>
          <w:color w:val="1155CC"/>
        </w:rPr>
        <w:t>[FR-133]</w:t>
      </w:r>
      <w:r>
        <w:rPr>
          <w:b w:val="0"/>
          <w:i w:val="0"/>
          <w:strike w:val="0"/>
        </w:rPr>
        <w:t xml:space="preserve"> </w:t>
      </w:r>
      <w:r>
        <w:rPr>
          <w:b/>
          <w:i/>
          <w:strike w:val="0"/>
          <w:color w:val="CC00CC"/>
        </w:rPr>
        <w:t xml:space="preserve">When a business owner receives the announcement letter, they click the link in it and are directed to a dashboard showing the test and </w:t>
      </w:r>
      <w:r>
        <w:rPr>
          <w:b/>
          <w:i/>
          <w:strike w:val="0"/>
          <w:color w:val="CC00CC"/>
        </w:rPr>
        <w:t>all request list items on their side</w:t>
      </w:r>
      <w:r>
        <w:rPr>
          <w:b/>
          <w:i/>
          <w:strike w:val="0"/>
          <w:color w:val="CC00CC"/>
        </w:rPr>
        <w:t xml:space="preserve"> — each with what was asked, when, its due date and current status. This is the business owner's working surface for the test: they see their slice of the FR-129 view, not the tester's execution record. Resolves TS-04. How the business owner authenticates to reach this dashboard — a login-bearing role or a scoped expiring link — is still the EV-03 decision.</w:t>
      </w:r>
      <w:r>
        <w:rPr>
          <w:b w:val="0"/>
          <w:i w:val="0"/>
          <w:strike w:val="0"/>
        </w:rPr>
        <w:t xml:space="preserve"> </w:t>
      </w:r>
      <w:r>
        <w:rPr>
          <w:b w:val="0"/>
          <w:i/>
          <w:strike w:val="0"/>
          <w:color w:val="CC00CC"/>
          <w:sz w:val="16"/>
        </w:rPr>
        <w:t xml:space="preserve"> [14 Aug 2026 MOM]</w:t>
      </w:r>
    </w:p>
    <w:p>
      <w:r>
        <w:rPr>
          <w:b/>
          <w:i w:val="0"/>
          <w:strike w:val="0"/>
          <w:color w:val="1155CC"/>
        </w:rPr>
        <w:t>[FR-134]</w:t>
      </w:r>
      <w:r>
        <w:rPr>
          <w:b w:val="0"/>
          <w:i w:val="0"/>
          <w:strike w:val="0"/>
        </w:rPr>
        <w:t xml:space="preserve"> </w:t>
      </w:r>
      <w:r>
        <w:rPr>
          <w:b/>
          <w:i/>
          <w:strike w:val="0"/>
          <w:color w:val="CC00CC"/>
        </w:rPr>
        <w:t xml:space="preserve">Against each request item on that dashboard, the business owner uploads the document. Where they cannot produce a document, the platform records the </w:t>
      </w:r>
      <w:r>
        <w:rPr>
          <w:b/>
          <w:i/>
          <w:strike w:val="0"/>
          <w:color w:val="CC00CC"/>
        </w:rPr>
        <w:t>reason</w:t>
      </w:r>
      <w:r>
        <w:rPr>
          <w:b/>
          <w:i/>
          <w:strike w:val="0"/>
          <w:color w:val="CC00CC"/>
        </w:rPr>
        <w:t xml:space="preserve"> instead: the item is marked as having no document available, with a mandatory written reason, timestamped and attributed. A no-document declaration is a tracked outcome of the request item — it is visible to the Lead Tester and the CCO, is carried in the request register alongside received items, and does not silently satisfy the evidence checklist.</w:t>
      </w:r>
      <w:r>
        <w:rPr>
          <w:b w:val="0"/>
          <w:i w:val="0"/>
          <w:strike w:val="0"/>
        </w:rPr>
        <w:t xml:space="preserve"> </w:t>
      </w:r>
      <w:r>
        <w:rPr>
          <w:b w:val="0"/>
          <w:i/>
          <w:strike w:val="0"/>
          <w:color w:val="CC00CC"/>
          <w:sz w:val="16"/>
        </w:rPr>
        <w:t xml:space="preserve"> [14 Aug 2026 MOM]</w:t>
      </w:r>
    </w:p>
    <w:p>
      <w:pPr>
        <w:pStyle w:val="Heading3"/>
      </w:pPr>
      <w:r>
        <w:t>Tracking the delay</w:t>
      </w:r>
    </w:p>
    <w:p>
      <w:r>
        <w:rPr>
          <w:b/>
          <w:i w:val="0"/>
          <w:strike w:val="0"/>
          <w:color w:val="1155CC"/>
        </w:rPr>
        <w:t>[FR-85]</w:t>
      </w:r>
      <w:r>
        <w:rPr>
          <w:b w:val="0"/>
          <w:i w:val="0"/>
          <w:strike w:val="0"/>
        </w:rPr>
        <w:t xml:space="preserve"> </w:t>
      </w:r>
      <w:r>
        <w:rPr>
          <w:b/>
          <w:i/>
          <w:strike w:val="0"/>
          <w:color w:val="7030A0"/>
        </w:rPr>
        <w:t xml:space="preserve">Every request item records, at minimum: what was requested, who it was requested from, the </w:t>
      </w:r>
      <w:r>
        <w:rPr>
          <w:b/>
          <w:i/>
          <w:strike w:val="0"/>
          <w:color w:val="7030A0"/>
        </w:rPr>
        <w:t>date requested</w:t>
      </w:r>
      <w:r>
        <w:rPr>
          <w:b/>
          <w:i/>
          <w:strike w:val="0"/>
          <w:color w:val="7030A0"/>
        </w:rPr>
        <w:t xml:space="preserve">, the </w:t>
      </w:r>
      <w:r>
        <w:rPr>
          <w:b/>
          <w:i/>
          <w:strike w:val="0"/>
          <w:color w:val="7030A0"/>
        </w:rPr>
        <w:t>date evidence was received</w:t>
      </w:r>
      <w:r>
        <w:rPr>
          <w:b/>
          <w:i/>
          <w:strike w:val="0"/>
          <w:color w:val="7030A0"/>
        </w:rPr>
        <w:t>, and the elapsed time between the two. These dates are set by the platform, not typed in by a user.</w:t>
      </w:r>
      <w:r>
        <w:rPr>
          <w:b w:val="0"/>
          <w:i w:val="0"/>
          <w:strike w:val="0"/>
        </w:rPr>
        <w:t xml:space="preserve"> </w:t>
      </w:r>
      <w:r>
        <w:rPr>
          <w:b w:val="0"/>
          <w:i/>
          <w:strike w:val="0"/>
          <w:color w:val="7030A0"/>
          <w:sz w:val="16"/>
        </w:rPr>
        <w:t xml:space="preserve"> [Aug 2026 client MOM]</w:t>
      </w:r>
      <w:r>
        <w:rPr>
          <w:b w:val="0"/>
          <w:i w:val="0"/>
          <w:strike w:val="0"/>
        </w:rPr>
        <w:t xml:space="preserve"> </w:t>
      </w:r>
      <w:r>
        <w:rPr>
          <w:b/>
          <w:i/>
          <w:strike w:val="0"/>
          <w:color w:val="CC00CC"/>
        </w:rPr>
        <w:t xml:space="preserve">REVISED in v8.0: the record also captures </w:t>
      </w:r>
      <w:r>
        <w:rPr>
          <w:b/>
          <w:i/>
          <w:strike w:val="0"/>
          <w:color w:val="CC00CC"/>
        </w:rPr>
        <w:t>who uploaded</w:t>
      </w:r>
      <w:r>
        <w:rPr>
          <w:b/>
          <w:i/>
          <w:strike w:val="0"/>
          <w:color w:val="CC00CC"/>
        </w:rPr>
        <w:t xml:space="preserve"> the evidence — the identity of the person who satisfied the item, alongside the two dates. Confirmed 14 Aug with the dates restated: each request list item records when asked, when received, and who uploaded it.</w:t>
      </w:r>
      <w:r>
        <w:rPr>
          <w:b w:val="0"/>
          <w:i w:val="0"/>
          <w:strike w:val="0"/>
        </w:rPr>
        <w:t xml:space="preserve"> </w:t>
      </w:r>
      <w:r>
        <w:rPr>
          <w:b w:val="0"/>
          <w:i/>
          <w:strike w:val="0"/>
          <w:color w:val="CC00CC"/>
          <w:sz w:val="16"/>
        </w:rPr>
        <w:t xml:space="preserve"> [14 Aug 2026 MOM]</w:t>
      </w:r>
    </w:p>
    <w:p>
      <w:r>
        <w:rPr>
          <w:b/>
          <w:i w:val="0"/>
          <w:strike w:val="0"/>
          <w:color w:val="1155CC"/>
        </w:rPr>
        <w:t>[FR-109]</w:t>
      </w:r>
      <w:r>
        <w:rPr>
          <w:b w:val="0"/>
          <w:i w:val="0"/>
          <w:strike w:val="0"/>
        </w:rPr>
        <w:t xml:space="preserve"> </w:t>
      </w:r>
      <w:r>
        <w:rPr>
          <w:b/>
          <w:i/>
          <w:strike w:val="0"/>
          <w:color w:val="008080"/>
        </w:rPr>
        <w:t xml:space="preserve">The default response window on a request item is </w:t>
      </w:r>
      <w:r>
        <w:rPr>
          <w:b/>
          <w:i/>
          <w:strike w:val="0"/>
          <w:color w:val="008080"/>
        </w:rPr>
        <w:t>two weeks</w:t>
      </w:r>
      <w:r>
        <w:rPr>
          <w:b/>
          <w:i/>
          <w:strike w:val="0"/>
          <w:color w:val="008080"/>
        </w:rPr>
        <w:t xml:space="preserve"> from the date requested. This is the turnaround business units are normally given, and it is the baseline the FR-86 delay analytics measure against. The window is a platform default that the CCO can shorten or extend per request at issue time; any deviation from the default is recorded with the item so the analytics can distinguish a genuinely slow response from a deliberately short deadline. This resolves EV-04.</w:t>
      </w:r>
      <w:r>
        <w:rPr>
          <w:b w:val="0"/>
          <w:i w:val="0"/>
          <w:strike w:val="0"/>
        </w:rPr>
        <w:t xml:space="preserve"> </w:t>
      </w:r>
      <w:r>
        <w:rPr>
          <w:b w:val="0"/>
          <w:i/>
          <w:strike w:val="0"/>
          <w:color w:val="008080"/>
          <w:sz w:val="16"/>
        </w:rPr>
        <w:t xml:space="preserve"> [11 Aug 2026 MOM]</w:t>
      </w:r>
    </w:p>
    <w:p>
      <w:r>
        <w:rPr>
          <w:b/>
          <w:i w:val="0"/>
          <w:strike w:val="0"/>
          <w:color w:val="1155CC"/>
        </w:rPr>
        <w:t>[FR-86]</w:t>
      </w:r>
      <w:r>
        <w:rPr>
          <w:b w:val="0"/>
          <w:i w:val="0"/>
          <w:strike w:val="0"/>
        </w:rPr>
        <w:t xml:space="preserve"> </w:t>
      </w:r>
      <w:r>
        <w:rPr>
          <w:b/>
          <w:i/>
          <w:strike w:val="0"/>
          <w:color w:val="7030A0"/>
        </w:rPr>
        <w:t>Turnaround time is reportable, not just visible on a single record. The CCO can see, across a testing period: which requests are still outstanding and how long they have been open, average turnaround by business unit and by business owner, and which items were chased. This is the evidence base for the client's point that collection delays indicate weak internal control.</w:t>
      </w:r>
      <w:r>
        <w:rPr>
          <w:b w:val="0"/>
          <w:i w:val="0"/>
          <w:strike w:val="0"/>
        </w:rPr>
        <w:t xml:space="preserve"> </w:t>
      </w:r>
      <w:r>
        <w:rPr>
          <w:b w:val="0"/>
          <w:i/>
          <w:strike w:val="0"/>
          <w:color w:val="7030A0"/>
          <w:sz w:val="16"/>
        </w:rPr>
        <w:t xml:space="preserve"> [Aug 2026 client MOM]</w:t>
      </w:r>
    </w:p>
    <w:p>
      <w:r>
        <w:rPr>
          <w:b/>
          <w:i w:val="0"/>
          <w:strike w:val="0"/>
          <w:color w:val="1155CC"/>
        </w:rPr>
        <w:t>[FR-87]</w:t>
      </w:r>
      <w:r>
        <w:rPr>
          <w:b w:val="0"/>
          <w:i w:val="0"/>
          <w:strike w:val="0"/>
        </w:rPr>
        <w:t xml:space="preserve"> </w:t>
      </w:r>
      <w:r>
        <w:rPr>
          <w:b/>
          <w:i/>
          <w:strike w:val="0"/>
          <w:color w:val="7030A0"/>
        </w:rPr>
        <w:t>Outstanding request items surface on the CCO dashboard and drive the weekly outstanding-items digest already agreed in Section 12. A request that passes its due date escalates to the business owner and the CCO.</w:t>
      </w:r>
      <w:r>
        <w:rPr>
          <w:b w:val="0"/>
          <w:i w:val="0"/>
          <w:strike w:val="0"/>
        </w:rPr>
        <w:t xml:space="preserve"> </w:t>
      </w:r>
      <w:r>
        <w:rPr>
          <w:b w:val="0"/>
          <w:i/>
          <w:strike w:val="0"/>
          <w:color w:val="7030A0"/>
          <w:sz w:val="16"/>
        </w:rPr>
        <w:t xml:space="preserve"> [Aug 2026 client MOM]</w:t>
      </w:r>
    </w:p>
    <w:p>
      <w:pPr>
        <w:pStyle w:val="Heading3"/>
      </w:pPr>
      <w:r>
        <w:t>The platform is the only evidence channel</w:t>
      </w:r>
    </w:p>
    <w:p>
      <w:r>
        <w:rPr>
          <w:b/>
          <w:i w:val="0"/>
          <w:strike w:val="0"/>
          <w:color w:val="1155CC"/>
        </w:rPr>
        <w:t>[FR-108]</w:t>
      </w:r>
      <w:r>
        <w:rPr>
          <w:b w:val="0"/>
          <w:i w:val="0"/>
          <w:strike w:val="0"/>
        </w:rPr>
        <w:t xml:space="preserve"> </w:t>
      </w:r>
      <w:r>
        <w:rPr>
          <w:b/>
          <w:i/>
          <w:strike w:val="0"/>
          <w:color w:val="008080"/>
        </w:rPr>
        <w:t>All requested files are uploaded directly to the platform. Email attachments and messaging apps — WhatsApp was named explicitly — are not acceptable channels for evidence, because a file that arrives that way has no recorded request date, no recorded receipt date, no verification status and no place in the audit trail. The platform is the evidence repository of record: an item is only satisfied when the file exists against the request item inside ControlIQ. Where a business unit sends something by email anyway, the recipient uploads it to the request item, and the upload date — not the email date — is the recorded date received.</w:t>
      </w:r>
      <w:r>
        <w:rPr>
          <w:b w:val="0"/>
          <w:i w:val="0"/>
          <w:strike w:val="0"/>
        </w:rPr>
        <w:t xml:space="preserve"> </w:t>
      </w:r>
      <w:r>
        <w:rPr>
          <w:b w:val="0"/>
          <w:i/>
          <w:strike w:val="0"/>
          <w:color w:val="008080"/>
          <w:sz w:val="16"/>
        </w:rPr>
        <w:t xml:space="preserve"> [11 Aug 2026 MOM]</w:t>
      </w:r>
    </w:p>
    <w:tbl>
      <w:tblPr>
        <w:tblStyle w:val="TableGrid"/>
        <w:tblW w:type="auto" w:w="0"/>
        <w:tblLook w:firstColumn="1" w:firstRow="1" w:lastColumn="0" w:lastRow="0" w:noHBand="0" w:noVBand="1" w:val="04A0"/>
      </w:tblPr>
      <w:tblGrid>
        <w:gridCol w:w="8640"/>
      </w:tblGrid>
      <w:tr>
        <w:tc>
          <w:tcPr>
            <w:tcW w:type="dxa" w:w="8640"/>
            <w:shd w:val="clear" w:fill="EDEDED"/>
          </w:tcPr>
          <w:p>
            <w:r>
              <w:rPr>
                <w:b/>
                <w:i w:val="0"/>
                <w:strike w:val="0"/>
              </w:rPr>
              <w:t>DEVELOPER NOTE</w:t>
            </w:r>
            <w:r>
              <w:rPr>
                <w:b w:val="0"/>
                <w:i w:val="0"/>
                <w:strike w:val="0"/>
              </w:rPr>
              <w:t xml:space="preserve"> </w:t>
            </w:r>
            <w:r>
              <w:rPr>
                <w:b w:val="0"/>
                <w:i/>
                <w:strike w:val="0"/>
              </w:rPr>
              <w:t>(grey — new in v6.0)</w:t>
            </w:r>
          </w:p>
          <w:p>
            <w:r>
              <w:rPr>
                <w:b/>
                <w:i w:val="0"/>
                <w:strike w:val="0"/>
              </w:rPr>
              <w:t>📌 Note</w:t>
            </w:r>
          </w:p>
          <w:p>
            <w:pPr>
              <w:pStyle w:val="ListBullet"/>
            </w:pPr>
            <w:r>
              <w:rPr>
                <w:b/>
                <w:i/>
                <w:strike w:val="0"/>
                <w:color w:val="008080"/>
              </w:rPr>
              <w:t>FR-108 is an audit-trail requirement, not a preference, and it is the reason the EV-03 upload-surface question is on the critical path: telling business units "do not email it" only works if there is a route into the platform for someone who has no login. A rule with no usable alternative route will be ignored, and the evidence will go back to email.</w:t>
            </w:r>
            <w:r>
              <w:rPr>
                <w:b w:val="0"/>
                <w:i w:val="0"/>
                <w:strike w:val="0"/>
              </w:rPr>
              <w:t xml:space="preserve"> </w:t>
            </w:r>
            <w:r>
              <w:rPr>
                <w:b w:val="0"/>
                <w:i/>
                <w:strike w:val="0"/>
                <w:color w:val="008080"/>
                <w:sz w:val="16"/>
              </w:rPr>
              <w:t xml:space="preserve"> [11 Aug 2026 MOM]</w:t>
            </w:r>
          </w:p>
          <w:p>
            <w:pPr>
              <w:pStyle w:val="ListBullet"/>
            </w:pPr>
            <w:r>
              <w:rPr>
                <w:b/>
                <w:i/>
                <w:strike w:val="0"/>
                <w:color w:val="008080"/>
              </w:rPr>
              <w:t>No email-ingestion mailbox is in scope for MVP. If one is ever added it must create a request-item upload with the same date, status and verification handling as a direct upload — not a parallel evidence store.</w:t>
            </w:r>
            <w:r>
              <w:rPr>
                <w:b w:val="0"/>
                <w:i w:val="0"/>
                <w:strike w:val="0"/>
              </w:rPr>
              <w:t xml:space="preserve"> </w:t>
            </w:r>
            <w:r>
              <w:rPr>
                <w:b w:val="0"/>
                <w:i/>
                <w:strike w:val="0"/>
                <w:color w:val="008080"/>
                <w:sz w:val="16"/>
              </w:rPr>
              <w:t xml:space="preserve"> [11 Aug 2026 MOM]</w:t>
            </w:r>
          </w:p>
        </w:tc>
      </w:tr>
    </w:tbl>
    <w:p>
      <w:pPr>
        <w:pStyle w:val="Heading3"/>
      </w:pPr>
      <w:r>
        <w:t>Checking that the right document arrived</w:t>
      </w:r>
    </w:p>
    <w:p>
      <w:r>
        <w:rPr>
          <w:b/>
          <w:i w:val="0"/>
          <w:strike w:val="0"/>
          <w:color w:val="1155CC"/>
        </w:rPr>
        <w:t>[FR-88]</w:t>
      </w:r>
      <w:r>
        <w:rPr>
          <w:b w:val="0"/>
          <w:i w:val="0"/>
          <w:strike w:val="0"/>
        </w:rPr>
        <w:t xml:space="preserve"> </w:t>
      </w:r>
      <w:r>
        <w:rPr>
          <w:b/>
          <w:i/>
          <w:strike w:val="0"/>
          <w:color w:val="7030A0"/>
        </w:rPr>
        <w:t>Documents uploaded by the business side undergo an initial verification check to confirm the upload actually matches the item that was requested. This check may be performed by AI. The failure mode the client named directly is a user uploading a lunch receipt in place of a call tree — the check exists to catch obvious mismatches at the point of upload, before a tester's time is spent on it.</w:t>
      </w:r>
      <w:r>
        <w:rPr>
          <w:b w:val="0"/>
          <w:i w:val="0"/>
          <w:strike w:val="0"/>
        </w:rPr>
        <w:t xml:space="preserve"> </w:t>
      </w:r>
      <w:r>
        <w:rPr>
          <w:b w:val="0"/>
          <w:i/>
          <w:strike w:val="0"/>
          <w:color w:val="7030A0"/>
          <w:sz w:val="16"/>
        </w:rPr>
        <w:t xml:space="preserve"> [Aug 2026 client MOM]</w:t>
      </w:r>
    </w:p>
    <w:p>
      <w:r>
        <w:rPr>
          <w:b/>
          <w:i w:val="0"/>
          <w:strike w:val="0"/>
          <w:color w:val="1155CC"/>
        </w:rPr>
        <w:t>[FR-89]</w:t>
      </w:r>
      <w:r>
        <w:rPr>
          <w:b w:val="0"/>
          <w:i w:val="0"/>
          <w:strike w:val="0"/>
        </w:rPr>
        <w:t xml:space="preserve"> </w:t>
      </w:r>
      <w:r>
        <w:rPr>
          <w:b/>
          <w:i/>
          <w:strike w:val="0"/>
          <w:color w:val="7030A0"/>
        </w:rPr>
        <w:t>A failed match is a flag, not a rejection. The upload is retained, the request item is marked "possible mismatch", and both the uploader and the Lead Tester are notified so it can be corrected or confirmed. The platform does not delete or refuse a submitted document on the strength of an automated check.</w:t>
      </w:r>
      <w:r>
        <w:rPr>
          <w:b w:val="0"/>
          <w:i w:val="0"/>
          <w:strike w:val="0"/>
        </w:rPr>
        <w:t xml:space="preserve"> </w:t>
      </w:r>
      <w:r>
        <w:rPr>
          <w:b w:val="0"/>
          <w:i/>
          <w:strike w:val="0"/>
          <w:color w:val="7030A0"/>
          <w:sz w:val="16"/>
        </w:rPr>
        <w:t xml:space="preserve"> [Aug 2026 client MOM]</w:t>
      </w:r>
    </w:p>
    <w:p>
      <w:r>
        <w:rPr>
          <w:b/>
          <w:i w:val="0"/>
          <w:strike w:val="0"/>
          <w:color w:val="1155CC"/>
        </w:rPr>
        <w:t>[FR-90]</w:t>
      </w:r>
      <w:r>
        <w:rPr>
          <w:b w:val="0"/>
          <w:i w:val="0"/>
          <w:strike w:val="0"/>
        </w:rPr>
        <w:t xml:space="preserve"> </w:t>
      </w:r>
      <w:r>
        <w:rPr>
          <w:b/>
          <w:i/>
          <w:strike w:val="0"/>
          <w:color w:val="7030A0"/>
        </w:rPr>
        <w:t>Human verification remains mandatory. AI screening does not replace a person: for evidence relating to financial systems and critical controls, a named human must verify the document before it counts as accepted evidence. The client was explicit that this holds until a high level of comfort with the automated check has been reached — so the requirement is written as a configurable control, with mandatory human verification switched on for financial systems and critical controls at launch and the scope adjustable later without a code change.</w:t>
      </w:r>
      <w:r>
        <w:rPr>
          <w:b w:val="0"/>
          <w:i w:val="0"/>
          <w:strike w:val="0"/>
        </w:rPr>
        <w:t xml:space="preserve"> </w:t>
      </w:r>
      <w:r>
        <w:rPr>
          <w:b w:val="0"/>
          <w:i/>
          <w:strike w:val="0"/>
          <w:color w:val="7030A0"/>
          <w:sz w:val="16"/>
        </w:rPr>
        <w:t xml:space="preserve"> [Aug 2026 client MOM]</w:t>
      </w:r>
    </w:p>
    <w:p>
      <w:r>
        <w:rPr>
          <w:b/>
          <w:i w:val="0"/>
          <w:strike w:val="0"/>
          <w:color w:val="1155CC"/>
        </w:rPr>
        <w:t>[FR-91]</w:t>
      </w:r>
      <w:r>
        <w:rPr>
          <w:b w:val="0"/>
          <w:i w:val="0"/>
          <w:strike w:val="0"/>
        </w:rPr>
        <w:t xml:space="preserve"> </w:t>
      </w:r>
      <w:r>
        <w:rPr>
          <w:b/>
          <w:i/>
          <w:strike w:val="0"/>
          <w:color w:val="7030A0"/>
        </w:rPr>
        <w:t>Each request item carries a status: Requested → Received → Verified (or Mismatch Flagged / Rejected with reason). Only Verified items satisfy the evidence checklist for the test. Every transition is timestamped and attributed, and the whole request register is retained for the same minimum six years as the test it belongs to.</w:t>
      </w:r>
      <w:r>
        <w:rPr>
          <w:b w:val="0"/>
          <w:i w:val="0"/>
          <w:strike w:val="0"/>
        </w:rPr>
        <w:t xml:space="preserve"> </w:t>
      </w:r>
      <w:r>
        <w:rPr>
          <w:b w:val="0"/>
          <w:i/>
          <w:strike w:val="0"/>
          <w:color w:val="7030A0"/>
          <w:sz w:val="16"/>
        </w:rPr>
        <w:t xml:space="preserve"> [Aug 2026 client MOM]</w:t>
      </w:r>
    </w:p>
    <w:p>
      <w:r>
        <w:rPr>
          <w:b/>
          <w:i w:val="0"/>
          <w:strike w:val="0"/>
          <w:color w:val="1155CC"/>
        </w:rPr>
        <w:t>[FR-110]</w:t>
      </w:r>
      <w:r>
        <w:rPr>
          <w:b w:val="0"/>
          <w:i w:val="0"/>
          <w:strike w:val="0"/>
        </w:rPr>
        <w:t xml:space="preserve"> </w:t>
      </w:r>
      <w:r>
        <w:rPr>
          <w:b/>
          <w:i/>
          <w:strike w:val="0"/>
          <w:color w:val="008080"/>
        </w:rPr>
        <w:t xml:space="preserve">The FR-88 match check runs </w:t>
      </w:r>
      <w:r>
        <w:rPr>
          <w:b/>
          <w:i/>
          <w:strike w:val="0"/>
          <w:color w:val="008080"/>
        </w:rPr>
        <w:t>as files are uploaded</w:t>
      </w:r>
      <w:r>
        <w:rPr>
          <w:b/>
          <w:i/>
          <w:strike w:val="0"/>
          <w:color w:val="008080"/>
        </w:rPr>
        <w:t xml:space="preserve"> and gates the expensive downstream processing. The client's stated rationale on 11 Aug was cost as much as quality: running a full AI test over a document that turns out to be the wrong document burns AI tokens for nothing. So the cheap classification check runs first, at the point of upload, and only an item that passes it — or that a human confirms after a mismatch flag under FR-89 — is submitted for full AI-assisted analysis. The platform records, per request item, whether full processing was run, so the token cost of a test is attributable.</w:t>
      </w:r>
      <w:r>
        <w:rPr>
          <w:b w:val="0"/>
          <w:i w:val="0"/>
          <w:strike w:val="0"/>
        </w:rPr>
        <w:t xml:space="preserve"> </w:t>
      </w:r>
      <w:r>
        <w:rPr>
          <w:b w:val="0"/>
          <w:i/>
          <w:strike w:val="0"/>
          <w:color w:val="008080"/>
          <w:sz w:val="16"/>
        </w:rPr>
        <w:t xml:space="preserve"> [11 Aug 2026 MOM]</w:t>
      </w:r>
    </w:p>
    <w:p>
      <w:pPr>
        <w:pStyle w:val="Heading3"/>
      </w:pPr>
      <w:r>
        <w:t>Following up on missing or incorrect documents</w:t>
      </w:r>
    </w:p>
    <w:p>
      <w:r>
        <w:rPr>
          <w:b/>
          <w:i w:val="0"/>
          <w:strike w:val="0"/>
          <w:color w:val="1155CC"/>
        </w:rPr>
        <w:t>[FR-111]</w:t>
      </w:r>
      <w:r>
        <w:rPr>
          <w:b w:val="0"/>
          <w:i w:val="0"/>
          <w:strike w:val="0"/>
        </w:rPr>
        <w:t xml:space="preserve"> </w:t>
      </w:r>
      <w:r>
        <w:rPr>
          <w:b/>
          <w:i/>
          <w:strike w:val="0"/>
          <w:color w:val="008080"/>
        </w:rPr>
        <w:t>PROPOSED — NOT YET APPROVED FOR SCOPE. The meeting proposed a "request portal": a surface for structured back-and-forth between the tester and the business unit about a document that is missing, incomplete or incorrect — a thread against the request item where the tester states what is wrong, the business side responds or re-uploads, and the exchange is retained with the item. It would replace the email round-trip that FR-108 otherwise pushes people back into. The client asked for a development-effort assessment before committing to it, so it is recorded here as a candidate, not as agreed scope. It must not be estimated as a confirmed line item until that assessment is returned and a decision is taken — see EV-07.</w:t>
      </w:r>
      <w:r>
        <w:rPr>
          <w:b w:val="0"/>
          <w:i w:val="0"/>
          <w:strike w:val="0"/>
        </w:rPr>
        <w:t xml:space="preserve"> </w:t>
      </w:r>
      <w:r>
        <w:rPr>
          <w:b w:val="0"/>
          <w:i/>
          <w:strike w:val="0"/>
          <w:color w:val="008080"/>
          <w:sz w:val="16"/>
        </w:rPr>
        <w:t xml:space="preserve"> [11 Aug 2026 MOM]</w:t>
      </w:r>
    </w:p>
    <w:tbl>
      <w:tblPr>
        <w:tblStyle w:val="TableGrid"/>
        <w:tblW w:type="auto" w:w="0"/>
        <w:tblLook w:firstColumn="1" w:firstRow="1" w:lastColumn="0" w:lastRow="0" w:noHBand="0" w:noVBand="1" w:val="04A0"/>
      </w:tblPr>
      <w:tblGrid>
        <w:gridCol w:w="8640"/>
      </w:tblGrid>
      <w:tr>
        <w:tc>
          <w:tcPr>
            <w:tcW w:type="dxa" w:w="8640"/>
            <w:shd w:val="clear" w:fill="EDEDED"/>
          </w:tcPr>
          <w:p>
            <w:r>
              <w:rPr>
                <w:b/>
                <w:i w:val="0"/>
                <w:strike w:val="0"/>
              </w:rPr>
              <w:t>DEVELOPER NOTE</w:t>
            </w:r>
            <w:r>
              <w:rPr>
                <w:b w:val="0"/>
                <w:i w:val="0"/>
                <w:strike w:val="0"/>
              </w:rPr>
              <w:t xml:space="preserve"> </w:t>
            </w:r>
            <w:r>
              <w:rPr>
                <w:b w:val="0"/>
                <w:i/>
                <w:strike w:val="0"/>
              </w:rPr>
              <w:t>(grey — new in v6.0)</w:t>
            </w:r>
          </w:p>
          <w:p>
            <w:r>
              <w:rPr>
                <w:b/>
                <w:i w:val="0"/>
                <w:strike w:val="0"/>
              </w:rPr>
              <w:t>📌 Note</w:t>
            </w:r>
          </w:p>
          <w:p>
            <w:pPr>
              <w:pStyle w:val="ListBullet"/>
            </w:pPr>
            <w:r>
              <w:rPr>
                <w:b/>
                <w:i/>
                <w:strike w:val="0"/>
                <w:color w:val="008080"/>
              </w:rPr>
              <w:t>FR-111 overlaps three things that already exist: the FR-89 mismatch notification, the FR-84 supplementary request, and the EV-03 upload surface. A cheap version is a comment thread on the request item reusing whatever access route EV-03 settles on; an expensive version is a separate portal with its own identity, inbox and notification model. The effort assessment the client asked for should price both, because the answer to EV-03 largely determines which one is even possible. Tracked as GAP-16.</w:t>
            </w:r>
            <w:r>
              <w:rPr>
                <w:b w:val="0"/>
                <w:i w:val="0"/>
                <w:strike w:val="0"/>
              </w:rPr>
              <w:t xml:space="preserve"> </w:t>
            </w:r>
            <w:r>
              <w:rPr>
                <w:b w:val="0"/>
                <w:i/>
                <w:strike w:val="0"/>
                <w:color w:val="008080"/>
                <w:sz w:val="16"/>
              </w:rPr>
              <w:t xml:space="preserve"> [11 Aug 2026 MOM]</w:t>
            </w:r>
          </w:p>
          <w:p>
            <w:pPr>
              <w:pStyle w:val="ListBullet"/>
            </w:pPr>
            <w:r>
              <w:rPr>
                <w:b/>
                <w:i/>
                <w:strike w:val="0"/>
                <w:color w:val="008080"/>
              </w:rPr>
              <w:t>If FR-111 is declined, FR-84 and FR-89 remain the mechanism for chasing a bad document, and the exchange happens as a new request item rather than a conversation. That is a workable fallback and should be stated as such in the decision.</w:t>
            </w:r>
            <w:r>
              <w:rPr>
                <w:b w:val="0"/>
                <w:i w:val="0"/>
                <w:strike w:val="0"/>
              </w:rPr>
              <w:t xml:space="preserve"> </w:t>
            </w:r>
            <w:r>
              <w:rPr>
                <w:b w:val="0"/>
                <w:i/>
                <w:strike w:val="0"/>
                <w:color w:val="008080"/>
                <w:sz w:val="16"/>
              </w:rPr>
              <w:t xml:space="preserve"> [11 Aug 2026 MOM]</w:t>
            </w:r>
          </w:p>
        </w:tc>
      </w:tr>
    </w:tbl>
    <w:tbl>
      <w:tblPr>
        <w:tblStyle w:val="TableGrid"/>
        <w:tblW w:type="auto" w:w="0"/>
        <w:tblLook w:firstColumn="1" w:firstRow="1" w:lastColumn="0" w:lastRow="0" w:noHBand="0" w:noVBand="1" w:val="04A0"/>
      </w:tblPr>
      <w:tblGrid>
        <w:gridCol w:w="8640"/>
      </w:tblGrid>
      <w:tr>
        <w:tc>
          <w:tcPr>
            <w:tcW w:type="dxa" w:w="8640"/>
            <w:shd w:val="clear" w:fill="EDEDED"/>
          </w:tcPr>
          <w:p>
            <w:r>
              <w:rPr>
                <w:b/>
                <w:i w:val="0"/>
                <w:strike w:val="0"/>
              </w:rPr>
              <w:t>DEVELOPER NOTE</w:t>
            </w:r>
            <w:r>
              <w:rPr>
                <w:b w:val="0"/>
                <w:i w:val="0"/>
                <w:strike w:val="0"/>
              </w:rPr>
              <w:t xml:space="preserve"> </w:t>
            </w:r>
            <w:r>
              <w:rPr>
                <w:b w:val="0"/>
                <w:i/>
                <w:strike w:val="0"/>
              </w:rPr>
              <w:t>(grey — new in v5.0)</w:t>
            </w:r>
          </w:p>
          <w:p>
            <w:r>
              <w:rPr>
                <w:b/>
                <w:i w:val="0"/>
                <w:strike w:val="0"/>
              </w:rPr>
              <w:t>📌 Note</w:t>
            </w:r>
          </w:p>
          <w:p>
            <w:pPr>
              <w:pStyle w:val="ListBullet"/>
            </w:pPr>
            <w:r>
              <w:rPr>
                <w:b/>
                <w:i/>
                <w:strike w:val="0"/>
                <w:color w:val="7030A0"/>
              </w:rPr>
              <w:t>FR-88's check is a document-classification problem, not a content-audit problem: does this file plausibly appear to be the type of artefact requested? It should not be scoped as "does this document prove compliance" — that is the tester's job and is not being automated.</w:t>
            </w:r>
            <w:r>
              <w:rPr>
                <w:b w:val="0"/>
                <w:i w:val="0"/>
                <w:strike w:val="0"/>
              </w:rPr>
              <w:t xml:space="preserve"> </w:t>
            </w:r>
            <w:r>
              <w:rPr>
                <w:b w:val="0"/>
                <w:i/>
                <w:strike w:val="0"/>
                <w:color w:val="7030A0"/>
                <w:sz w:val="16"/>
              </w:rPr>
              <w:t xml:space="preserve"> [Aug 2026 client MOM]</w:t>
            </w:r>
          </w:p>
          <w:p>
            <w:pPr>
              <w:pStyle w:val="ListBullet"/>
            </w:pPr>
            <w:r>
              <w:rPr>
                <w:b/>
                <w:i/>
                <w:strike w:val="0"/>
                <w:color w:val="7030A0"/>
              </w:rPr>
              <w:t>FR-88 needs its own accuracy definition and UAT threshold in the same way the WSP mapping in Section 6.2 has the 85% commitment. That threshold has not been agreed for this feature — logged as EV-01 in Section 15. Do not assume the 85% figure carries across; it was agreed for a different feature against different verification vectors.</w:t>
            </w:r>
            <w:r>
              <w:rPr>
                <w:b w:val="0"/>
                <w:i w:val="0"/>
                <w:strike w:val="0"/>
              </w:rPr>
              <w:t xml:space="preserve"> </w:t>
            </w:r>
            <w:r>
              <w:rPr>
                <w:b w:val="0"/>
                <w:i/>
                <w:strike w:val="0"/>
                <w:color w:val="7030A0"/>
                <w:sz w:val="16"/>
              </w:rPr>
              <w:t xml:space="preserve"> [Aug 2026 client MOM]</w:t>
            </w:r>
          </w:p>
          <w:p>
            <w:pPr>
              <w:pStyle w:val="ListBullet"/>
            </w:pPr>
            <w:r>
              <w:rPr>
                <w:b/>
                <w:i/>
                <w:strike w:val="0"/>
                <w:color w:val="7030A0"/>
              </w:rPr>
              <w:t>"Critical controls" needs a definition the platform can evaluate. The nearest existing mechanism is the Critical / Important / Other classification DORA already forces in FR-72, plus the SA-10 priority. Confirm which one drives FR-90 — logged as EV-02.</w:t>
            </w:r>
            <w:r>
              <w:rPr>
                <w:b w:val="0"/>
                <w:i w:val="0"/>
                <w:strike w:val="0"/>
              </w:rPr>
              <w:t xml:space="preserve"> </w:t>
            </w:r>
            <w:r>
              <w:rPr>
                <w:b w:val="0"/>
                <w:i/>
                <w:strike w:val="0"/>
                <w:color w:val="7030A0"/>
                <w:sz w:val="16"/>
              </w:rPr>
              <w:t xml:space="preserve"> [Aug 2026 client MOM]</w:t>
            </w:r>
          </w:p>
          <w:p>
            <w:pPr>
              <w:pStyle w:val="ListBullet"/>
            </w:pPr>
            <w:r>
              <w:rPr>
                <w:b/>
                <w:i/>
                <w:strike w:val="0"/>
                <w:color w:val="7030A0"/>
              </w:rPr>
              <w:t>Business unit owners may not be platform users. FR-83 and FR-88 imply an upload surface for people outside the eight system roles. Either the business owner becomes a login-bearing role, or the platform issues a scoped, expiring upload link tied to the specific request. This is an authentication and security decision, not a UX one — logged as EV-03.</w:t>
            </w:r>
            <w:r>
              <w:rPr>
                <w:b w:val="0"/>
                <w:i w:val="0"/>
                <w:strike w:val="0"/>
              </w:rPr>
              <w:t xml:space="preserve"> </w:t>
            </w:r>
            <w:r>
              <w:rPr>
                <w:b w:val="0"/>
                <w:i/>
                <w:strike w:val="0"/>
                <w:color w:val="7030A0"/>
                <w:sz w:val="16"/>
              </w:rPr>
              <w:t xml:space="preserve"> [Aug 2026 client MOM]</w:t>
            </w:r>
          </w:p>
        </w:tc>
      </w:tr>
    </w:tbl>
    <w:tbl>
      <w:tblPr>
        <w:tblStyle w:val="TableGrid"/>
        <w:tblW w:type="auto" w:w="0"/>
        <w:tblLook w:firstColumn="1" w:firstRow="1" w:lastColumn="0" w:lastRow="0" w:noHBand="0" w:noVBand="1" w:val="04A0"/>
      </w:tblPr>
      <w:tblGrid>
        <w:gridCol w:w="8640"/>
      </w:tblGrid>
      <w:tr>
        <w:tc>
          <w:tcPr>
            <w:tcW w:type="dxa" w:w="8640"/>
            <w:shd w:val="clear" w:fill="FFF2CC"/>
          </w:tcPr>
          <w:p>
            <w:r>
              <w:rPr>
                <w:b/>
                <w:i w:val="0"/>
                <w:strike w:val="0"/>
              </w:rPr>
              <w:t>OPEN QUESTION</w:t>
            </w:r>
            <w:r>
              <w:rPr>
                <w:b w:val="0"/>
                <w:i w:val="0"/>
                <w:strike w:val="0"/>
              </w:rPr>
              <w:t xml:space="preserve"> </w:t>
            </w:r>
            <w:r>
              <w:rPr>
                <w:b w:val="0"/>
                <w:i/>
                <w:strike w:val="0"/>
              </w:rPr>
              <w:t>(amber — new in v5.0)</w:t>
            </w:r>
          </w:p>
          <w:p>
            <w:r>
              <w:rPr>
                <w:b/>
                <w:i w:val="0"/>
                <w:strike w:val="0"/>
              </w:rPr>
              <w:t>💬 Questions still to confirm</w:t>
            </w:r>
          </w:p>
          <w:p>
            <w:pPr>
              <w:pStyle w:val="ListBullet"/>
            </w:pPr>
            <w:r>
              <w:rPr>
                <w:b/>
                <w:i/>
                <w:strike w:val="0"/>
                <w:color w:val="008080"/>
              </w:rPr>
              <w:t>Request due dates (EV-04) — RESOLVED 11 Aug 2026: a two-week platform default, adjustable by the CCO per request, with any deviation recorded. See FR-109.</w:t>
            </w:r>
            <w:r>
              <w:rPr>
                <w:b w:val="0"/>
                <w:i w:val="0"/>
                <w:strike w:val="0"/>
              </w:rPr>
              <w:t xml:space="preserve"> </w:t>
            </w:r>
            <w:r>
              <w:rPr>
                <w:b w:val="0"/>
                <w:i/>
                <w:strike w:val="0"/>
                <w:color w:val="008080"/>
                <w:sz w:val="16"/>
              </w:rPr>
              <w:t xml:space="preserve"> [11 Aug 2026 MOM]</w:t>
            </w:r>
          </w:p>
          <w:p>
            <w:pPr>
              <w:pStyle w:val="ListBullet"/>
            </w:pPr>
            <w:r>
              <w:rPr>
                <w:b/>
                <w:i/>
                <w:strike w:val="0"/>
                <w:color w:val="7030A0"/>
              </w:rPr>
              <w:t>Announcement letter content (EV-05): is the letter a fixed platform template, a per-firm configurable template, or free text the CCO writes each time? A template is assumed above.</w:t>
            </w:r>
            <w:r>
              <w:rPr>
                <w:b w:val="0"/>
                <w:i w:val="0"/>
                <w:strike w:val="0"/>
              </w:rPr>
              <w:t xml:space="preserve"> </w:t>
            </w:r>
            <w:r>
              <w:rPr>
                <w:b w:val="0"/>
                <w:i/>
                <w:strike w:val="0"/>
                <w:color w:val="7030A0"/>
                <w:sz w:val="16"/>
              </w:rPr>
              <w:t xml:space="preserve"> [Aug 2026 client MOM]</w:t>
            </w:r>
          </w:p>
          <w:p>
            <w:pPr>
              <w:pStyle w:val="ListBullet"/>
            </w:pPr>
            <w:r>
              <w:rPr>
                <w:b/>
                <w:i/>
                <w:strike w:val="0"/>
                <w:color w:val="7030A0"/>
              </w:rPr>
              <w:t>Delay as a finding (EV-06): if a business unit is persistently late, does that automatically become a Finding under Section 8, or does it stay a management-information metric the CCO acts on by judgement? The client called delays an indicator of control failure, which points at the former, but it was not decided.</w:t>
            </w:r>
            <w:r>
              <w:rPr>
                <w:b w:val="0"/>
                <w:i w:val="0"/>
                <w:strike w:val="0"/>
              </w:rPr>
              <w:t xml:space="preserve"> </w:t>
            </w:r>
            <w:r>
              <w:rPr>
                <w:b w:val="0"/>
                <w:i/>
                <w:strike w:val="0"/>
                <w:color w:val="7030A0"/>
                <w:sz w:val="16"/>
              </w:rPr>
              <w:t xml:space="preserve"> [Aug 2026 client MOM]</w:t>
            </w:r>
          </w:p>
          <w:p>
            <w:pPr>
              <w:pStyle w:val="ListBullet"/>
            </w:pPr>
            <w:r>
              <w:rPr>
                <w:b/>
                <w:i/>
                <w:strike w:val="0"/>
                <w:color w:val="008080"/>
              </w:rPr>
              <w:t>Request portal (EV-07 — new in v6.0): is the FR-111 follow-up portal in scope? The client asked for a development-effort assessment first. This is a scope decision, not a design question, and it needs an answer before the Section 7.4 estimate is final.</w:t>
            </w:r>
            <w:r>
              <w:rPr>
                <w:b w:val="0"/>
                <w:i w:val="0"/>
                <w:strike w:val="0"/>
              </w:rPr>
              <w:t xml:space="preserve"> </w:t>
            </w:r>
            <w:r>
              <w:rPr>
                <w:b w:val="0"/>
                <w:i/>
                <w:strike w:val="0"/>
                <w:color w:val="008080"/>
                <w:sz w:val="16"/>
              </w:rPr>
              <w:t xml:space="preserve"> [11 Aug 2026 MOM]</w:t>
            </w:r>
          </w:p>
        </w:tc>
      </w:tr>
    </w:tbl>
    <w:tbl>
      <w:tblPr>
        <w:tblStyle w:val="TableGrid"/>
        <w:tblW w:type="auto" w:w="0"/>
        <w:tblLook w:firstColumn="1" w:firstRow="1" w:lastColumn="0" w:lastRow="0" w:noHBand="0" w:noVBand="1" w:val="04A0"/>
      </w:tblPr>
      <w:tblGrid>
        <w:gridCol w:w="8640"/>
      </w:tblGrid>
      <w:tr>
        <w:tc>
          <w:tcPr>
            <w:tcW w:type="dxa" w:w="8640"/>
            <w:shd w:val="clear" w:fill="E2EFDA"/>
          </w:tcPr>
          <w:p>
            <w:r>
              <w:rPr>
                <w:b/>
                <w:i w:val="0"/>
                <w:strike w:val="0"/>
              </w:rPr>
              <w:t>CONFIRMED</w:t>
            </w:r>
            <w:r>
              <w:rPr>
                <w:b w:val="0"/>
                <w:i w:val="0"/>
                <w:strike w:val="0"/>
              </w:rPr>
              <w:t xml:space="preserve"> </w:t>
            </w:r>
            <w:r>
              <w:rPr>
                <w:b w:val="0"/>
                <w:i/>
                <w:strike w:val="0"/>
              </w:rPr>
              <w:t>(green — agreed 11 Aug 2026)</w:t>
            </w:r>
          </w:p>
          <w:p>
            <w:r>
              <w:rPr>
                <w:b/>
                <w:i w:val="0"/>
                <w:strike w:val="0"/>
              </w:rPr>
              <w:t>✅ What we have agreed</w:t>
            </w:r>
          </w:p>
          <w:p>
            <w:pPr>
              <w:pStyle w:val="ListBullet"/>
            </w:pPr>
            <w:r>
              <w:rPr>
                <w:b/>
                <w:i/>
                <w:strike w:val="0"/>
                <w:color w:val="008080"/>
              </w:rPr>
              <w:t>Testing opens with an announcement letter and an initial request list to the relevant business unit. Confirms FR-83 unchanged.</w:t>
            </w:r>
            <w:r>
              <w:rPr>
                <w:b w:val="0"/>
                <w:i w:val="0"/>
                <w:strike w:val="0"/>
              </w:rPr>
              <w:t xml:space="preserve"> </w:t>
            </w:r>
            <w:r>
              <w:rPr>
                <w:b w:val="0"/>
                <w:i/>
                <w:strike w:val="0"/>
                <w:color w:val="008080"/>
                <w:sz w:val="16"/>
              </w:rPr>
              <w:t xml:space="preserve"> [11 Aug 2026 MOM]</w:t>
            </w:r>
          </w:p>
          <w:p>
            <w:pPr>
              <w:pStyle w:val="ListBullet"/>
            </w:pPr>
            <w:r>
              <w:rPr>
                <w:b/>
                <w:i/>
                <w:strike w:val="0"/>
                <w:color w:val="008080"/>
              </w:rPr>
              <w:t>Business units are normally given a two-week window to upload the requested files (FR-109).</w:t>
            </w:r>
            <w:r>
              <w:rPr>
                <w:b w:val="0"/>
                <w:i w:val="0"/>
                <w:strike w:val="0"/>
              </w:rPr>
              <w:t xml:space="preserve"> </w:t>
            </w:r>
            <w:r>
              <w:rPr>
                <w:b w:val="0"/>
                <w:i/>
                <w:strike w:val="0"/>
                <w:color w:val="008080"/>
                <w:sz w:val="16"/>
              </w:rPr>
              <w:t xml:space="preserve"> [11 Aug 2026 MOM]</w:t>
            </w:r>
          </w:p>
          <w:p>
            <w:pPr>
              <w:pStyle w:val="ListBullet"/>
            </w:pPr>
            <w:r>
              <w:rPr>
                <w:b/>
                <w:i/>
                <w:strike w:val="0"/>
                <w:color w:val="008080"/>
              </w:rPr>
              <w:t>The platform tags both the date requested and the date received, and that pairing exists to give the CCO an accountability layer. Confirms FR-85 to FR-87 — the client independently restated the accountability purpose, which is the reason the delay analytics are in scope at all.</w:t>
            </w:r>
            <w:r>
              <w:rPr>
                <w:b w:val="0"/>
                <w:i w:val="0"/>
                <w:strike w:val="0"/>
              </w:rPr>
              <w:t xml:space="preserve"> </w:t>
            </w:r>
            <w:r>
              <w:rPr>
                <w:b w:val="0"/>
                <w:i/>
                <w:strike w:val="0"/>
                <w:color w:val="008080"/>
                <w:sz w:val="16"/>
              </w:rPr>
              <w:t xml:space="preserve"> [11 Aug 2026 MOM]</w:t>
            </w:r>
          </w:p>
          <w:p>
            <w:pPr>
              <w:pStyle w:val="ListBullet"/>
            </w:pPr>
            <w:r>
              <w:rPr>
                <w:b/>
                <w:i/>
                <w:strike w:val="0"/>
                <w:color w:val="008080"/>
              </w:rPr>
              <w:t>All files are uploaded to the platform, not sent by email or WhatsApp, to keep a secure audit trail (FR-108).</w:t>
            </w:r>
            <w:r>
              <w:rPr>
                <w:b w:val="0"/>
                <w:i w:val="0"/>
                <w:strike w:val="0"/>
              </w:rPr>
              <w:t xml:space="preserve"> </w:t>
            </w:r>
            <w:r>
              <w:rPr>
                <w:b w:val="0"/>
                <w:i/>
                <w:strike w:val="0"/>
                <w:color w:val="008080"/>
                <w:sz w:val="16"/>
              </w:rPr>
              <w:t xml:space="preserve"> [11 Aug 2026 MOM]</w:t>
            </w:r>
          </w:p>
          <w:p>
            <w:pPr>
              <w:pStyle w:val="ListBullet"/>
            </w:pPr>
            <w:r>
              <w:rPr>
                <w:b/>
                <w:i/>
                <w:strike w:val="0"/>
                <w:color w:val="008080"/>
              </w:rPr>
              <w:t>AI checks each upload against what was requested as files arrive — the lunch-receipt-instead-of-call-tree case — which also avoids spending AI tokens on a full test of the wrong document (FR-88, FR-110).</w:t>
            </w:r>
            <w:r>
              <w:rPr>
                <w:b w:val="0"/>
                <w:i w:val="0"/>
                <w:strike w:val="0"/>
              </w:rPr>
              <w:t xml:space="preserve"> </w:t>
            </w:r>
            <w:r>
              <w:rPr>
                <w:b w:val="0"/>
                <w:i/>
                <w:strike w:val="0"/>
                <w:color w:val="008080"/>
                <w:sz w:val="16"/>
              </w:rPr>
              <w:t xml:space="preserve"> [11 Aug 2026 MOM]</w:t>
            </w:r>
          </w:p>
        </w:tc>
      </w:tr>
    </w:tbl>
    <w:tbl>
      <w:tblPr>
        <w:tblStyle w:val="TableGrid"/>
        <w:tblW w:type="auto" w:w="0"/>
        <w:tblLook w:firstColumn="1" w:firstRow="1" w:lastColumn="0" w:lastRow="0" w:noHBand="0" w:noVBand="1" w:val="04A0"/>
      </w:tblPr>
      <w:tblGrid>
        <w:gridCol w:w="8640"/>
      </w:tblGrid>
      <w:tr>
        <w:tc>
          <w:tcPr>
            <w:tcW w:type="dxa" w:w="8640"/>
            <w:shd w:val="clear" w:fill="E2EFDA"/>
          </w:tcPr>
          <w:p>
            <w:r>
              <w:rPr>
                <w:b/>
                <w:i w:val="0"/>
                <w:strike w:val="0"/>
              </w:rPr>
              <w:t>CONFIRMED</w:t>
            </w:r>
            <w:r>
              <w:rPr>
                <w:b w:val="0"/>
                <w:i w:val="0"/>
                <w:strike w:val="0"/>
              </w:rPr>
              <w:t xml:space="preserve"> </w:t>
            </w:r>
            <w:r>
              <w:rPr>
                <w:b w:val="0"/>
                <w:i/>
                <w:strike w:val="0"/>
              </w:rPr>
              <w:t>(green — agreed 14 Aug 2026)</w:t>
            </w:r>
          </w:p>
          <w:p>
            <w:r>
              <w:rPr>
                <w:b/>
                <w:i w:val="0"/>
                <w:strike w:val="0"/>
              </w:rPr>
              <w:t>✅ What we have agreed</w:t>
            </w:r>
          </w:p>
          <w:p>
            <w:pPr>
              <w:pStyle w:val="ListBullet"/>
            </w:pPr>
            <w:r>
              <w:rPr>
                <w:b/>
                <w:i/>
                <w:strike w:val="0"/>
                <w:color w:val="CC00CC"/>
              </w:rPr>
              <w:t>The announcement letter goes out to all relevant business units via a distribution list when the CCO creates the test and sets its start and end dates (FR-83, FR-132).</w:t>
            </w:r>
            <w:r>
              <w:rPr>
                <w:b w:val="0"/>
                <w:i w:val="0"/>
                <w:strike w:val="0"/>
              </w:rPr>
              <w:t xml:space="preserve"> </w:t>
            </w:r>
            <w:r>
              <w:rPr>
                <w:b w:val="0"/>
                <w:i/>
                <w:strike w:val="0"/>
                <w:color w:val="CC00CC"/>
                <w:sz w:val="16"/>
              </w:rPr>
              <w:t xml:space="preserve"> [14 Aug 2026 MOM]</w:t>
            </w:r>
          </w:p>
          <w:p>
            <w:pPr>
              <w:pStyle w:val="ListBullet"/>
            </w:pPr>
            <w:r>
              <w:rPr>
                <w:b/>
                <w:i/>
                <w:strike w:val="0"/>
                <w:color w:val="CC00CC"/>
              </w:rPr>
              <w:t>Each request list item is mapped to a business unit (FR-131).</w:t>
            </w:r>
            <w:r>
              <w:rPr>
                <w:b w:val="0"/>
                <w:i w:val="0"/>
                <w:strike w:val="0"/>
              </w:rPr>
              <w:t xml:space="preserve"> </w:t>
            </w:r>
            <w:r>
              <w:rPr>
                <w:b w:val="0"/>
                <w:i/>
                <w:strike w:val="0"/>
                <w:color w:val="CC00CC"/>
                <w:sz w:val="16"/>
              </w:rPr>
              <w:t xml:space="preserve"> [14 Aug 2026 MOM]</w:t>
            </w:r>
          </w:p>
          <w:p>
            <w:pPr>
              <w:pStyle w:val="ListBullet"/>
            </w:pPr>
            <w:r>
              <w:rPr>
                <w:b/>
                <w:i/>
                <w:strike w:val="0"/>
                <w:color w:val="CC00CC"/>
              </w:rPr>
              <w:t>The business owner clicks the link in the letter and lands on a dashboard showing the test and all request items on their side (FR-133). Resolves TS-04.</w:t>
            </w:r>
            <w:r>
              <w:rPr>
                <w:b w:val="0"/>
                <w:i w:val="0"/>
                <w:strike w:val="0"/>
              </w:rPr>
              <w:t xml:space="preserve"> </w:t>
            </w:r>
            <w:r>
              <w:rPr>
                <w:b w:val="0"/>
                <w:i/>
                <w:strike w:val="0"/>
                <w:color w:val="CC00CC"/>
                <w:sz w:val="16"/>
              </w:rPr>
              <w:t xml:space="preserve"> [14 Aug 2026 MOM]</w:t>
            </w:r>
          </w:p>
          <w:p>
            <w:pPr>
              <w:pStyle w:val="ListBullet"/>
            </w:pPr>
            <w:r>
              <w:rPr>
                <w:b/>
                <w:i/>
                <w:strike w:val="0"/>
                <w:color w:val="CC00CC"/>
              </w:rPr>
              <w:t>Against each request item the business owner uploads the document, or the reason is recorded where no document exists (FR-134).</w:t>
            </w:r>
            <w:r>
              <w:rPr>
                <w:b w:val="0"/>
                <w:i w:val="0"/>
                <w:strike w:val="0"/>
              </w:rPr>
              <w:t xml:space="preserve"> </w:t>
            </w:r>
            <w:r>
              <w:rPr>
                <w:b w:val="0"/>
                <w:i/>
                <w:strike w:val="0"/>
                <w:color w:val="CC00CC"/>
                <w:sz w:val="16"/>
              </w:rPr>
              <w:t xml:space="preserve"> [14 Aug 2026 MOM]</w:t>
            </w:r>
          </w:p>
          <w:p>
            <w:pPr>
              <w:pStyle w:val="ListBullet"/>
            </w:pPr>
            <w:r>
              <w:rPr>
                <w:b/>
                <w:i/>
                <w:strike w:val="0"/>
                <w:color w:val="CC00CC"/>
              </w:rPr>
              <w:t>Business units upload the required evidence files, which are validated and verified by the AI engine to identify the gaps. Confirms the FR-88 / FR-110 / FR-112 chain unchanged.</w:t>
            </w:r>
            <w:r>
              <w:rPr>
                <w:b w:val="0"/>
                <w:i w:val="0"/>
                <w:strike w:val="0"/>
              </w:rPr>
              <w:t xml:space="preserve"> </w:t>
            </w:r>
            <w:r>
              <w:rPr>
                <w:b w:val="0"/>
                <w:i/>
                <w:strike w:val="0"/>
                <w:color w:val="CC00CC"/>
                <w:sz w:val="16"/>
              </w:rPr>
              <w:t xml:space="preserve"> [14 Aug 2026 MOM]</w:t>
            </w:r>
          </w:p>
          <w:p>
            <w:pPr>
              <w:pStyle w:val="ListBullet"/>
            </w:pPr>
            <w:r>
              <w:rPr>
                <w:b/>
                <w:i/>
                <w:strike w:val="0"/>
                <w:color w:val="CC00CC"/>
              </w:rPr>
              <w:t>Each request item records when it was asked, when it was received, and who uploaded it (FR-85 revised).</w:t>
            </w:r>
            <w:r>
              <w:rPr>
                <w:b w:val="0"/>
                <w:i w:val="0"/>
                <w:strike w:val="0"/>
              </w:rPr>
              <w:t xml:space="preserve"> </w:t>
            </w:r>
            <w:r>
              <w:rPr>
                <w:b w:val="0"/>
                <w:i/>
                <w:strike w:val="0"/>
                <w:color w:val="CC00CC"/>
                <w:sz w:val="16"/>
              </w:rPr>
              <w:t xml:space="preserve"> [14 Aug 2026 MOM]</w:t>
            </w:r>
          </w:p>
        </w:tc>
      </w:tr>
    </w:tbl>
    <w:p>
      <w:pPr>
        <w:pStyle w:val="Heading2"/>
      </w:pPr>
      <w:r>
        <w:t>7.5 Identifying Gaps Between Firm Policy and Regulation</w:t>
      </w:r>
    </w:p>
    <w:p>
      <w:r>
        <w:rPr>
          <w:b/>
          <w:i/>
          <w:strike w:val="0"/>
          <w:color w:val="008080"/>
        </w:rPr>
        <w:t>NEW in v6.0 — from the 11 August 2026 meeting.</w:t>
      </w:r>
      <w:r>
        <w:rPr>
          <w:b w:val="0"/>
          <w:i w:val="0"/>
          <w:strike w:val="0"/>
        </w:rPr>
        <w:t xml:space="preserve"> </w:t>
      </w:r>
      <w:r>
        <w:rPr>
          <w:b w:val="0"/>
          <w:i/>
          <w:strike w:val="0"/>
          <w:color w:val="008080"/>
          <w:sz w:val="16"/>
        </w:rPr>
        <w:t xml:space="preserve"> [11 Aug 2026 MOM]</w:t>
      </w:r>
    </w:p>
    <w:p>
      <w:r>
        <w:rPr>
          <w:b w:val="0"/>
          <w:i w:val="0"/>
          <w:strike w:val="0"/>
        </w:rPr>
        <w:t>Once the evidence for a test has been collected and reviewed, the platform does not simply wait for the tester to write down a conclusion. It compares what the firm's own policies and evidence actually show against what the regulation requires for the articles in scope, and surfaces the places where the two do not meet.</w:t>
      </w:r>
    </w:p>
    <w:p>
      <w:r>
        <w:rPr>
          <w:b/>
          <w:i w:val="0"/>
          <w:strike w:val="0"/>
          <w:color w:val="1155CC"/>
        </w:rPr>
        <w:t>[FR-112]</w:t>
      </w:r>
      <w:r>
        <w:rPr>
          <w:b w:val="0"/>
          <w:i w:val="0"/>
          <w:strike w:val="0"/>
        </w:rPr>
        <w:t xml:space="preserve"> </w:t>
      </w:r>
      <w:r>
        <w:rPr>
          <w:b/>
          <w:i/>
          <w:strike w:val="0"/>
          <w:color w:val="008080"/>
        </w:rPr>
        <w:t>After the evidence for a test has been reviewed, the platform identifies gaps: points where the firm's policies, procedures or produced evidence do not map to a requirement of the regulation articles in the test's scope. Each gap names the article it fails against, what was expected, and what was found or missing. Gaps are presented to the Lead Tester as candidates — the tester confirms, dismisses with a reason, or edits each one. A confirmed gap is what becomes a Finding under Section 8, carrying its article reference into FR-40. Dismissals are retained with their reason.</w:t>
      </w:r>
      <w:r>
        <w:rPr>
          <w:b w:val="0"/>
          <w:i w:val="0"/>
          <w:strike w:val="0"/>
        </w:rPr>
        <w:t xml:space="preserve"> </w:t>
      </w:r>
      <w:r>
        <w:rPr>
          <w:b w:val="0"/>
          <w:i/>
          <w:strike w:val="0"/>
          <w:color w:val="008080"/>
          <w:sz w:val="16"/>
        </w:rPr>
        <w:t xml:space="preserve"> [11 Aug 2026 MOM]</w:t>
      </w:r>
    </w:p>
    <w:p>
      <w:r>
        <w:rPr>
          <w:b/>
          <w:i w:val="0"/>
          <w:strike w:val="0"/>
          <w:color w:val="1155CC"/>
        </w:rPr>
        <w:t>[FR-135]</w:t>
      </w:r>
      <w:r>
        <w:rPr>
          <w:b w:val="0"/>
          <w:i w:val="0"/>
          <w:strike w:val="0"/>
        </w:rPr>
        <w:t xml:space="preserve"> </w:t>
      </w:r>
      <w:r>
        <w:rPr>
          <w:b/>
          <w:i/>
          <w:strike w:val="0"/>
          <w:color w:val="CC00CC"/>
        </w:rPr>
        <w:t xml:space="preserve">Gap review happens inside test execution, step by step: as the Lead Tester works through each step of the test (Section 7.1, step 3), the AI-identified gaps relevant to that step are shown against it, and the tester records the </w:t>
      </w:r>
      <w:r>
        <w:rPr>
          <w:b/>
          <w:i/>
          <w:strike w:val="0"/>
          <w:color w:val="CC00CC"/>
        </w:rPr>
        <w:t>status of each step</w:t>
      </w:r>
      <w:r>
        <w:rPr>
          <w:b/>
          <w:i/>
          <w:strike w:val="0"/>
          <w:color w:val="CC00CC"/>
        </w:rPr>
        <w:t xml:space="preserve"> accordingly. The per-step status is the tester's working verdict on that step in light of the gaps shown; the overall Pass / Fail / Observation result (step 7) and the FR-112 confirm/dismiss decisions still apply on top. Per-step statuses are timestamped, attributed and retained, so the execution record shows not only what was concluded but the state of each step along the way.</w:t>
      </w:r>
      <w:r>
        <w:rPr>
          <w:b w:val="0"/>
          <w:i w:val="0"/>
          <w:strike w:val="0"/>
        </w:rPr>
        <w:t xml:space="preserve"> </w:t>
      </w:r>
      <w:r>
        <w:rPr>
          <w:b w:val="0"/>
          <w:i/>
          <w:strike w:val="0"/>
          <w:color w:val="CC00CC"/>
          <w:sz w:val="16"/>
        </w:rPr>
        <w:t xml:space="preserve"> [14 Aug 2026 MOM]</w:t>
      </w:r>
    </w:p>
    <w:tbl>
      <w:tblPr>
        <w:tblStyle w:val="TableGrid"/>
        <w:tblW w:type="auto" w:w="0"/>
        <w:tblLook w:firstColumn="1" w:firstRow="1" w:lastColumn="0" w:lastRow="0" w:noHBand="0" w:noVBand="1" w:val="04A0"/>
      </w:tblPr>
      <w:tblGrid>
        <w:gridCol w:w="8640"/>
      </w:tblGrid>
      <w:tr>
        <w:tc>
          <w:tcPr>
            <w:tcW w:type="dxa" w:w="8640"/>
            <w:shd w:val="clear" w:fill="EDEDED"/>
          </w:tcPr>
          <w:p>
            <w:r>
              <w:rPr>
                <w:b/>
                <w:i w:val="0"/>
                <w:strike w:val="0"/>
              </w:rPr>
              <w:t>DEVELOPER NOTE</w:t>
            </w:r>
            <w:r>
              <w:rPr>
                <w:b w:val="0"/>
                <w:i w:val="0"/>
                <w:strike w:val="0"/>
              </w:rPr>
              <w:t xml:space="preserve"> </w:t>
            </w:r>
            <w:r>
              <w:rPr>
                <w:b w:val="0"/>
                <w:i/>
                <w:strike w:val="0"/>
              </w:rPr>
              <w:t>(grey — new in v6.0)</w:t>
            </w:r>
          </w:p>
          <w:p>
            <w:r>
              <w:rPr>
                <w:b/>
                <w:i w:val="0"/>
                <w:strike w:val="0"/>
              </w:rPr>
              <w:t>📌 Note</w:t>
            </w:r>
          </w:p>
          <w:p>
            <w:pPr>
              <w:pStyle w:val="ListBullet"/>
            </w:pPr>
            <w:r>
              <w:rPr>
                <w:b/>
                <w:i/>
                <w:strike w:val="0"/>
                <w:color w:val="008080"/>
              </w:rPr>
              <w:t>FR-112 is closely related to the WSP gap analysis in FR-34 but is not the same feature and must not be silently merged with it. FR-34 asks a static question at the document level — does the firm's manual have a section mapped to every Requirement ID it needs. FR-112 asks a per-test question against the evidence actually produced for a specific scope period. The same underlying article-to-policy mapping serves both, which is where the reuse is; the trigger, the inputs and the output are different. Tracked as GAP-17.</w:t>
            </w:r>
            <w:r>
              <w:rPr>
                <w:b w:val="0"/>
                <w:i w:val="0"/>
                <w:strike w:val="0"/>
              </w:rPr>
              <w:t xml:space="preserve"> </w:t>
            </w:r>
            <w:r>
              <w:rPr>
                <w:b w:val="0"/>
                <w:i/>
                <w:strike w:val="0"/>
                <w:color w:val="008080"/>
                <w:sz w:val="16"/>
              </w:rPr>
              <w:t xml:space="preserve"> [11 Aug 2026 MOM]</w:t>
            </w:r>
          </w:p>
          <w:p>
            <w:pPr>
              <w:pStyle w:val="ListBullet"/>
            </w:pPr>
            <w:r>
              <w:rPr>
                <w:b/>
                <w:i/>
                <w:strike w:val="0"/>
                <w:color w:val="008080"/>
              </w:rPr>
              <w:t>This is AI-assisted analysis over evidence and policy text, and it inherits the FR-31 pattern without exception: suggestions to a human, never an automatic determination. The tester's confirmation is what creates the Finding. It also inherits FR-110's ordering — it runs on verified evidence, after the cheap match check has passed.</w:t>
            </w:r>
            <w:r>
              <w:rPr>
                <w:b w:val="0"/>
                <w:i w:val="0"/>
                <w:strike w:val="0"/>
              </w:rPr>
              <w:t xml:space="preserve"> </w:t>
            </w:r>
            <w:r>
              <w:rPr>
                <w:b w:val="0"/>
                <w:i/>
                <w:strike w:val="0"/>
                <w:color w:val="008080"/>
                <w:sz w:val="16"/>
              </w:rPr>
              <w:t xml:space="preserve"> [11 Aug 2026 MOM]</w:t>
            </w:r>
          </w:p>
          <w:p>
            <w:pPr>
              <w:pStyle w:val="ListBullet"/>
            </w:pPr>
            <w:r>
              <w:rPr>
                <w:b/>
                <w:i/>
                <w:strike w:val="0"/>
                <w:color w:val="008080"/>
              </w:rPr>
              <w:t>No accuracy threshold has been agreed for this feature. As with EV-01, do not assume the Section 6.2 85% WSP-mapping figure carries across — different inputs, different verification vectors. Logged as EV-08.</w:t>
            </w:r>
            <w:r>
              <w:rPr>
                <w:b w:val="0"/>
                <w:i w:val="0"/>
                <w:strike w:val="0"/>
              </w:rPr>
              <w:t xml:space="preserve"> </w:t>
            </w:r>
            <w:r>
              <w:rPr>
                <w:b w:val="0"/>
                <w:i/>
                <w:strike w:val="0"/>
                <w:color w:val="008080"/>
                <w:sz w:val="16"/>
              </w:rPr>
              <w:t xml:space="preserve"> [11 Aug 2026 MOM]</w:t>
            </w:r>
          </w:p>
        </w:tc>
      </w:tr>
    </w:tbl>
    <w:p>
      <w:pPr>
        <w:pStyle w:val="Heading1"/>
      </w:pPr>
      <w:r>
        <w:t>8. Findings and Fixing Problems</w:t>
      </w:r>
    </w:p>
    <w:p>
      <w:r>
        <w:rPr>
          <w:b w:val="0"/>
          <w:i w:val="0"/>
          <w:strike w:val="0"/>
        </w:rPr>
        <w:t>When a test uncovers a compliance problem — whether it is a clear breach, a gap in procedures, or something that just needs watching — it becomes a Finding. Every Finding needs to be tracked from discovery through to resolution. This section describes how that tracking works.</w:t>
      </w:r>
    </w:p>
    <w:p>
      <w:pPr>
        <w:pStyle w:val="Heading2"/>
      </w:pPr>
      <w:r>
        <w:t>8.1 How Serious Is It?</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4E79"/>
          </w:tcPr>
          <w:p>
            <w:r>
              <w:rPr>
                <w:b/>
                <w:color w:val="FFFFFF"/>
              </w:rPr>
            </w:r>
            <w:r>
              <w:rPr>
                <w:b/>
                <w:i w:val="0"/>
                <w:strike w:val="0"/>
                <w:color w:val="FFFFFF"/>
              </w:rPr>
              <w:t>Rating</w:t>
            </w:r>
          </w:p>
        </w:tc>
        <w:tc>
          <w:tcPr>
            <w:tcW w:type="dxa" w:w="2880"/>
            <w:shd w:val="clear" w:fill="1F4E79"/>
          </w:tcPr>
          <w:p>
            <w:r>
              <w:rPr>
                <w:b/>
                <w:color w:val="FFFFFF"/>
              </w:rPr>
            </w:r>
            <w:r>
              <w:rPr>
                <w:b/>
                <w:i w:val="0"/>
                <w:strike w:val="0"/>
                <w:color w:val="FFFFFF"/>
              </w:rPr>
              <w:t>What it means</w:t>
            </w:r>
          </w:p>
        </w:tc>
        <w:tc>
          <w:tcPr>
            <w:tcW w:type="dxa" w:w="2880"/>
            <w:shd w:val="clear" w:fill="1F4E79"/>
          </w:tcPr>
          <w:p>
            <w:r>
              <w:rPr>
                <w:b/>
                <w:color w:val="FFFFFF"/>
              </w:rPr>
            </w:r>
            <w:r>
              <w:rPr>
                <w:b/>
                <w:i w:val="0"/>
                <w:strike w:val="0"/>
                <w:color w:val="FFFFFF"/>
              </w:rPr>
              <w:t>What happens next</w:t>
            </w:r>
          </w:p>
        </w:tc>
      </w:tr>
      <w:tr>
        <w:tc>
          <w:tcPr>
            <w:tcW w:type="dxa" w:w="2880"/>
          </w:tcPr>
          <w:p>
            <w:r/>
            <w:r>
              <w:rPr>
                <w:b w:val="0"/>
                <w:i w:val="0"/>
                <w:strike w:val="0"/>
              </w:rPr>
              <w:t>High</w:t>
            </w:r>
          </w:p>
        </w:tc>
        <w:tc>
          <w:tcPr>
            <w:tcW w:type="dxa" w:w="2880"/>
          </w:tcPr>
          <w:p>
            <w:r/>
            <w:r>
              <w:rPr>
                <w:b w:val="0"/>
                <w:i w:val="0"/>
                <w:strike w:val="0"/>
              </w:rPr>
              <w:t>Three or more findings in a test, OR any single finding that represents a direct breach of a regulation or the complete absence of a required control</w:t>
            </w:r>
          </w:p>
        </w:tc>
        <w:tc>
          <w:tcPr>
            <w:tcW w:type="dxa" w:w="2880"/>
          </w:tcPr>
          <w:p>
            <w:r/>
            <w:r>
              <w:rPr>
                <w:b w:val="0"/>
                <w:i w:val="0"/>
                <w:strike w:val="0"/>
              </w:rPr>
              <w:t>The CCO and all Senior Management users are immediately alerted. Under DORA, this may also trigger a formal notification to the national regulator within four hours. The firm has five business days to formally acknowledge the escalation.</w:t>
            </w:r>
          </w:p>
        </w:tc>
      </w:tr>
      <w:tr>
        <w:tc>
          <w:tcPr>
            <w:tcW w:type="dxa" w:w="2880"/>
          </w:tcPr>
          <w:p>
            <w:r/>
            <w:r>
              <w:rPr>
                <w:b w:val="0"/>
                <w:i w:val="0"/>
                <w:strike w:val="0"/>
              </w:rPr>
              <w:t>Moderate</w:t>
            </w:r>
          </w:p>
        </w:tc>
        <w:tc>
          <w:tcPr>
            <w:tcW w:type="dxa" w:w="2880"/>
          </w:tcPr>
          <w:p>
            <w:r/>
            <w:r>
              <w:rPr>
                <w:b w:val="0"/>
                <w:i w:val="0"/>
                <w:strike w:val="0"/>
              </w:rPr>
              <w:t>One or two findings where some compensating measures are already in place</w:t>
            </w:r>
          </w:p>
        </w:tc>
        <w:tc>
          <w:tcPr>
            <w:tcW w:type="dxa" w:w="2880"/>
          </w:tcPr>
          <w:p>
            <w:r/>
            <w:r>
              <w:rPr>
                <w:b w:val="0"/>
                <w:i w:val="0"/>
                <w:strike w:val="0"/>
              </w:rPr>
              <w:t>The CCO is notified. The issue is tracked to resolution. No immediate escalation to Senior Management.</w:t>
            </w:r>
          </w:p>
        </w:tc>
      </w:tr>
      <w:tr>
        <w:tc>
          <w:tcPr>
            <w:tcW w:type="dxa" w:w="2880"/>
          </w:tcPr>
          <w:p>
            <w:r/>
            <w:r>
              <w:rPr>
                <w:b w:val="0"/>
                <w:i w:val="0"/>
                <w:strike w:val="0"/>
              </w:rPr>
              <w:t>Low</w:t>
            </w:r>
          </w:p>
        </w:tc>
        <w:tc>
          <w:tcPr>
            <w:tcW w:type="dxa" w:w="2880"/>
          </w:tcPr>
          <w:p>
            <w:r/>
            <w:r>
              <w:rPr>
                <w:b w:val="0"/>
                <w:i w:val="0"/>
                <w:strike w:val="0"/>
              </w:rPr>
              <w:t>A minor observation — something to improve but not an immediate compliance risk</w:t>
            </w:r>
          </w:p>
        </w:tc>
        <w:tc>
          <w:tcPr>
            <w:tcW w:type="dxa" w:w="2880"/>
          </w:tcPr>
          <w:p>
            <w:r/>
            <w:r>
              <w:rPr>
                <w:b w:val="0"/>
                <w:i w:val="0"/>
                <w:strike w:val="0"/>
              </w:rPr>
              <w:t>Recorded in the findings register. Tracked to closure. No escalation.</w:t>
            </w:r>
          </w:p>
        </w:tc>
      </w:tr>
    </w:tbl>
    <w:p>
      <w:pPr>
        <w:pStyle w:val="Heading2"/>
      </w:pPr>
      <w:r>
        <w:t>8.2 Recording Findings</w:t>
      </w:r>
    </w:p>
    <w:p>
      <w:r>
        <w:rPr>
          <w:b/>
          <w:i w:val="0"/>
          <w:strike w:val="0"/>
          <w:color w:val="1155CC"/>
        </w:rPr>
        <w:t>[FR-38]</w:t>
      </w:r>
      <w:r>
        <w:rPr>
          <w:b w:val="0"/>
          <w:i w:val="0"/>
          <w:strike w:val="0"/>
        </w:rPr>
        <w:t xml:space="preserve"> All Findings from all tests are collected in a central register. From this register, the CCO can see every open compliance issue across all tests — filtered by seriousness, status, who owns the fix, and which testing period it came from. </w:t>
      </w:r>
      <w:r>
        <w:rPr>
          <w:b/>
          <w:i w:val="0"/>
          <w:strike w:val="0"/>
        </w:rPr>
        <w:t>💬 Sosinna's comment:</w:t>
      </w:r>
      <w:r>
        <w:rPr>
          <w:b w:val="0"/>
          <w:i w:val="0"/>
          <w:strike w:val="0"/>
        </w:rPr>
        <w:t xml:space="preserve"> </w:t>
      </w:r>
      <w:r>
        <w:rPr>
          <w:b w:val="0"/>
          <w:i/>
          <w:strike w:val="0"/>
          <w:color w:val="C55A11"/>
        </w:rPr>
        <w:t>The overall sequence: all findings are communicated to control owners and management first. Once a consensus is reached on how to proceed, the remediation plan is documented and memorialised in the system with a timeline. See GAP-06 below for the full sequence.</w:t>
      </w:r>
      <w:r>
        <w:rPr>
          <w:b w:val="0"/>
          <w:i w:val="0"/>
          <w:strike w:val="0"/>
        </w:rPr>
        <w:t xml:space="preserve"> </w:t>
      </w:r>
      <w:r>
        <w:rPr>
          <w:b w:val="0"/>
          <w:i/>
          <w:strike w:val="0"/>
          <w:color w:val="C55A11"/>
          <w:sz w:val="16"/>
        </w:rPr>
        <w:t xml:space="preserve"> [Sosinna's Drive comment]</w:t>
      </w:r>
    </w:p>
    <w:p>
      <w:r>
        <w:rPr>
          <w:b/>
          <w:i w:val="0"/>
          <w:strike w:val="0"/>
          <w:color w:val="1155CC"/>
        </w:rPr>
        <w:t>[FR-39]</w:t>
      </w:r>
      <w:r>
        <w:rPr>
          <w:b w:val="0"/>
          <w:i w:val="0"/>
          <w:strike w:val="0"/>
        </w:rPr>
        <w:t xml:space="preserve"> One test can produce multiple independent Findings. There is no limit. Each Finding has its own life — its own seriousness rating, its own remediation plan, its own owner, its own closure.</w:t>
      </w:r>
    </w:p>
    <w:p>
      <w:r>
        <w:rPr>
          <w:b/>
          <w:i w:val="0"/>
          <w:strike w:val="0"/>
          <w:color w:val="1155CC"/>
        </w:rPr>
        <w:t>[FR-40]</w:t>
      </w:r>
      <w:r>
        <w:rPr>
          <w:b w:val="0"/>
          <w:i w:val="0"/>
          <w:strike w:val="0"/>
        </w:rPr>
        <w:t xml:space="preserve"> Each Finding is linked to both the Requirement ID (the test it came from) and the specific regulation article it relates to — for example, MiCA Art. 92. This is important for producing regulator-ready reports that map every problem directly back to the legal obligation it relates to.</w:t>
      </w:r>
    </w:p>
    <w:p>
      <w:pPr>
        <w:pStyle w:val="Heading2"/>
      </w:pPr>
      <w:r>
        <w:t>8.3 Fixing Problems — Remediation</w:t>
      </w:r>
    </w:p>
    <w:p>
      <w:r>
        <w:rPr>
          <w:b w:val="0"/>
          <w:i w:val="0"/>
          <w:strike w:val="0"/>
        </w:rPr>
        <w:t>For every Finding, the platform creates a remediation plan: a structured set of tasks that will resolve the issue. Each task is assigned to a Remediation Owner — a registered platform user who is responsible for carrying out the fix.</w:t>
      </w:r>
    </w:p>
    <w:p>
      <w:r>
        <w:rPr>
          <w:b/>
          <w:i w:val="0"/>
          <w:strike w:val="0"/>
          <w:color w:val="1155CC"/>
        </w:rPr>
        <w:t>[FR-136]</w:t>
      </w:r>
      <w:r>
        <w:rPr>
          <w:b w:val="0"/>
          <w:i w:val="0"/>
          <w:strike w:val="0"/>
        </w:rPr>
        <w:t xml:space="preserve"> </w:t>
      </w:r>
      <w:r>
        <w:rPr>
          <w:b/>
          <w:i/>
          <w:strike w:val="0"/>
          <w:color w:val="CC00CC"/>
        </w:rPr>
        <w:t xml:space="preserve">When the Lead Tester submits a test for review, the CCO has exactly three outcomes: (a) </w:t>
      </w:r>
      <w:r>
        <w:rPr>
          <w:b/>
          <w:i/>
          <w:strike w:val="0"/>
          <w:color w:val="CC00CC"/>
        </w:rPr>
        <w:t>mark the test as completed</w:t>
      </w:r>
      <w:r>
        <w:rPr>
          <w:b/>
          <w:i/>
          <w:strike w:val="0"/>
          <w:color w:val="CC00CC"/>
        </w:rPr>
        <w:t xml:space="preserve">, (b) </w:t>
      </w:r>
      <w:r>
        <w:rPr>
          <w:b/>
          <w:i/>
          <w:strike w:val="0"/>
          <w:color w:val="CC00CC"/>
        </w:rPr>
        <w:t>assign a remediation owner</w:t>
      </w:r>
      <w:r>
        <w:rPr>
          <w:b/>
          <w:i/>
          <w:strike w:val="0"/>
          <w:color w:val="CC00CC"/>
        </w:rPr>
        <w:t xml:space="preserve">, or (c) </w:t>
      </w:r>
      <w:r>
        <w:rPr>
          <w:b/>
          <w:i/>
          <w:strike w:val="0"/>
          <w:color w:val="CC00CC"/>
        </w:rPr>
        <w:t>return the test to the Lead Tester</w:t>
      </w:r>
      <w:r>
        <w:rPr>
          <w:b/>
          <w:i/>
          <w:strike w:val="0"/>
          <w:color w:val="CC00CC"/>
        </w:rPr>
        <w:t xml:space="preserve"> for further work. </w:t>
      </w:r>
      <w:r>
        <w:rPr>
          <w:b/>
          <w:i/>
          <w:strike w:val="0"/>
          <w:color w:val="CC00CC"/>
        </w:rPr>
        <w:t>Only the CCO can assign a remediation owner to a test</w:t>
      </w:r>
      <w:r>
        <w:rPr>
          <w:b/>
          <w:i/>
          <w:strike w:val="0"/>
          <w:color w:val="CC00CC"/>
        </w:rPr>
        <w:t xml:space="preserve"> — no other role, including the Lead Tester, can make that assignment. Each outcome is timestamped, attributed and recorded in the audit log.</w:t>
      </w:r>
      <w:r>
        <w:rPr>
          <w:b w:val="0"/>
          <w:i w:val="0"/>
          <w:strike w:val="0"/>
        </w:rPr>
        <w:t xml:space="preserve"> </w:t>
      </w:r>
      <w:r>
        <w:rPr>
          <w:b w:val="0"/>
          <w:i/>
          <w:strike w:val="0"/>
          <w:color w:val="CC00CC"/>
          <w:sz w:val="16"/>
        </w:rPr>
        <w:t xml:space="preserve"> [14 Aug 2026 MOM]</w:t>
      </w:r>
    </w:p>
    <w:tbl>
      <w:tblPr>
        <w:tblStyle w:val="TableGrid"/>
        <w:tblW w:type="auto" w:w="0"/>
        <w:tblLook w:firstColumn="1" w:firstRow="1" w:lastColumn="0" w:lastRow="0" w:noHBand="0" w:noVBand="1" w:val="04A0"/>
      </w:tblPr>
      <w:tblGrid>
        <w:gridCol w:w="8640"/>
      </w:tblGrid>
      <w:tr>
        <w:tc>
          <w:tcPr>
            <w:tcW w:type="dxa" w:w="8640"/>
            <w:shd w:val="clear" w:fill="EDEDED"/>
          </w:tcPr>
          <w:p>
            <w:r>
              <w:rPr>
                <w:b/>
                <w:i w:val="0"/>
                <w:strike w:val="0"/>
              </w:rPr>
              <w:t>DEVELOPER NOTE</w:t>
            </w:r>
            <w:r>
              <w:rPr>
                <w:b w:val="0"/>
                <w:i w:val="0"/>
                <w:strike w:val="0"/>
              </w:rPr>
              <w:t xml:space="preserve"> </w:t>
            </w:r>
            <w:r>
              <w:rPr>
                <w:b w:val="0"/>
                <w:i/>
                <w:strike w:val="0"/>
              </w:rPr>
              <w:t>(grey — new in v8.0)</w:t>
            </w:r>
          </w:p>
          <w:p>
            <w:r>
              <w:rPr>
                <w:b/>
                <w:i w:val="0"/>
                <w:strike w:val="0"/>
              </w:rPr>
              <w:t>📌 Note</w:t>
            </w:r>
          </w:p>
          <w:p>
            <w:pPr>
              <w:pStyle w:val="ListBullet"/>
            </w:pPr>
            <w:r>
              <w:rPr>
                <w:b/>
                <w:i/>
                <w:strike w:val="0"/>
                <w:color w:val="CC00CC"/>
              </w:rPr>
              <w:t xml:space="preserve">FR-136 assigns a remediation owner </w:t>
            </w:r>
            <w:r>
              <w:rPr>
                <w:b/>
                <w:i/>
                <w:strike w:val="0"/>
                <w:color w:val="CC00CC"/>
              </w:rPr>
              <w:t>to a test</w:t>
            </w:r>
            <w:r>
              <w:rPr>
                <w:b/>
                <w:i/>
                <w:strike w:val="0"/>
                <w:color w:val="CC00CC"/>
              </w:rPr>
              <w:t>; FR-41 assigns owners per remediation milestone, per Finding, and step 9 of Section 7.1 lets the Lead Tester or CCO create the plan. These models have to be reconciled: is the test-level owner the single accountable owner under whom milestone owners work, or does FR-136 replace per-milestone ownership? And FR-136(c) partially answers GAP-06 — only the CCO assigns — but leaves the rest of GAP-06 (who drafts the plan, pre-approval assignment) open. Logged as GAP-21; resolve with GAP-06.</w:t>
            </w:r>
            <w:r>
              <w:rPr>
                <w:b w:val="0"/>
                <w:i w:val="0"/>
                <w:strike w:val="0"/>
              </w:rPr>
              <w:t xml:space="preserve"> </w:t>
            </w:r>
            <w:r>
              <w:rPr>
                <w:b w:val="0"/>
                <w:i/>
                <w:strike w:val="0"/>
                <w:color w:val="CC00CC"/>
                <w:sz w:val="16"/>
              </w:rPr>
              <w:t xml:space="preserve"> [14 Aug 2026 MOM]</w:t>
            </w:r>
          </w:p>
        </w:tc>
      </w:tr>
    </w:tbl>
    <w:p>
      <w:r>
        <w:rPr>
          <w:b/>
          <w:i w:val="0"/>
          <w:strike w:val="0"/>
          <w:color w:val="1155CC"/>
        </w:rPr>
        <w:t>[FR-41]</w:t>
      </w:r>
      <w:r>
        <w:rPr>
          <w:b w:val="0"/>
          <w:i w:val="0"/>
          <w:strike w:val="0"/>
        </w:rPr>
        <w:t xml:space="preserve"> A Finding can have multiple remediation milestones if the fix involves several steps. For example, fixing a broken transaction monitoring process might involve: (1) a temporary manual review procedure by end of month, (2) a system configuration change by the following month, and (3) a full re-test by the end of the quarter. Each milestone has its own due date and its own owner.</w:t>
      </w:r>
    </w:p>
    <w:p>
      <w:r>
        <w:rPr>
          <w:b/>
          <w:i w:val="0"/>
          <w:strike w:val="0"/>
          <w:color w:val="1155CC"/>
        </w:rPr>
        <w:t>[FR-42]</w:t>
      </w:r>
      <w:r>
        <w:rPr>
          <w:b w:val="0"/>
          <w:i w:val="0"/>
          <w:strike w:val="0"/>
        </w:rPr>
        <w:t xml:space="preserve"> When a Remediation Owner completes a milestone, they upload evidence to prove it — a screenshot, a policy update, a system report. This evidence is permanently stored against the milestone record.</w:t>
      </w:r>
    </w:p>
    <w:p>
      <w:r>
        <w:rPr>
          <w:b/>
          <w:i w:val="0"/>
          <w:strike w:val="0"/>
        </w:rPr>
        <w:t>💬 Sosinna's comment (Remediation Owner visibility — GAP-07 answer, note this widens FR-52's dashboard scope in Section 9):</w:t>
      </w:r>
      <w:r>
        <w:rPr>
          <w:b w:val="0"/>
          <w:i w:val="0"/>
          <w:strike w:val="0"/>
        </w:rPr>
        <w:t xml:space="preserve"> </w:t>
      </w:r>
      <w:r>
        <w:rPr>
          <w:b w:val="0"/>
          <w:i/>
          <w:strike w:val="0"/>
          <w:color w:val="C55A11"/>
        </w:rPr>
        <w:t>the Remediation Owner should have view access to everything, not just their own assigned item. An audit trail must be maintained in case records are deleted. Evidence of completion, or any other remediation record, must be provided back to testers for validation — closing the loop between the Remediation Owner and the Lead Tester.</w:t>
      </w:r>
      <w:r>
        <w:rPr>
          <w:b w:val="0"/>
          <w:i w:val="0"/>
          <w:strike w:val="0"/>
        </w:rPr>
        <w:t xml:space="preserve"> </w:t>
      </w:r>
      <w:r>
        <w:rPr>
          <w:b w:val="0"/>
          <w:i/>
          <w:strike w:val="0"/>
          <w:color w:val="C55A11"/>
          <w:sz w:val="16"/>
        </w:rPr>
        <w:t xml:space="preserve"> [Sosinna's Drive comment]</w:t>
      </w:r>
    </w:p>
    <w:p>
      <w:r>
        <w:rPr>
          <w:b/>
          <w:i w:val="0"/>
          <w:strike w:val="0"/>
          <w:color w:val="1155CC"/>
        </w:rPr>
        <w:t>[FR-43]</w:t>
      </w:r>
      <w:r>
        <w:rPr>
          <w:b w:val="0"/>
          <w:i w:val="0"/>
          <w:strike w:val="0"/>
        </w:rPr>
        <w:t xml:space="preserve"> If a High-rated Finding is recorded, the platform immediately notifies the CCO and all Senior Management users. If the escalation is not formally acknowledged within five business days, it escalates further and appears as a Level 2 Alert on the CCO's dashboard.</w:t>
      </w:r>
    </w:p>
    <w:p>
      <w:r>
        <w:rPr>
          <w:b/>
          <w:i w:val="0"/>
          <w:strike w:val="0"/>
          <w:color w:val="1155CC"/>
        </w:rPr>
        <w:t>[FR-44]</w:t>
      </w:r>
      <w:r>
        <w:rPr>
          <w:b w:val="0"/>
          <w:i w:val="0"/>
          <w:strike w:val="0"/>
        </w:rPr>
        <w:t xml:space="preserve"> Each Finding moves through a defined set of statuses: Open → In Remediation → Under Review → Closed. Formally closing a Finding requires two things: the CCO reviews and approves the Remediation Owner's uploaded evidence, and one relevant Senior Management user provides a second sign-off. Both approvals are recorded in the audit log.</w:t>
      </w:r>
    </w:p>
    <w:p>
      <w:r>
        <w:rPr>
          <w:b/>
          <w:i w:val="0"/>
          <w:strike w:val="0"/>
          <w:color w:val="1155CC"/>
        </w:rPr>
        <w:t>[FR-45]</w:t>
      </w:r>
      <w:r>
        <w:rPr>
          <w:b w:val="0"/>
          <w:i w:val="0"/>
          <w:strike w:val="0"/>
        </w:rPr>
        <w:t xml:space="preserve"> The person who originally recorded the Finding cannot be one of the two closing approvers.</w:t>
      </w:r>
    </w:p>
    <w:p>
      <w:r>
        <w:rPr>
          <w:b/>
          <w:i w:val="0"/>
          <w:strike w:val="0"/>
          <w:color w:val="1155CC"/>
        </w:rPr>
        <w:t>[FR-46]</w:t>
      </w:r>
      <w:r>
        <w:rPr>
          <w:b w:val="0"/>
          <w:i w:val="0"/>
          <w:strike w:val="0"/>
        </w:rPr>
        <w:t xml:space="preserve"> The platform checks whether a similar Finding was recorded in the previous testing period for the same Requirement ID. If so, it flags it as a Repeat Finding — a pattern that regulators treat as a significant concern because it suggests the underlying problem has not been properly addressed.</w:t>
      </w:r>
    </w:p>
    <w:p>
      <w:r>
        <w:rPr>
          <w:b/>
          <w:i w:val="0"/>
          <w:strike w:val="0"/>
          <w:color w:val="1155CC"/>
        </w:rPr>
        <w:t>[FR-47]</w:t>
      </w:r>
      <w:r>
        <w:rPr>
          <w:b w:val="0"/>
          <w:i w:val="0"/>
          <w:strike w:val="0"/>
        </w:rPr>
        <w:t xml:space="preserve"> The remediation plan is agreed and confirmed before the report is generated — not after. The moment the CCO generates the report, every remediation milestone clock starts ticking. This is a deliberate design choice: the report is the formal record that the plan has been agreed, not a wish list created after the fact.</w:t>
      </w:r>
    </w:p>
    <w:p>
      <w:r>
        <w:rPr>
          <w:b/>
          <w:i w:val="0"/>
          <w:strike w:val="0"/>
        </w:rPr>
        <w:t>💬 Sosinna's comment (deadline extensions — GAP-08 answer):</w:t>
      </w:r>
      <w:r>
        <w:rPr>
          <w:b w:val="0"/>
          <w:i w:val="0"/>
          <w:strike w:val="0"/>
        </w:rPr>
        <w:t xml:space="preserve"> </w:t>
      </w:r>
      <w:r>
        <w:rPr>
          <w:b w:val="0"/>
          <w:i/>
          <w:strike w:val="0"/>
          <w:color w:val="C55A11"/>
        </w:rPr>
        <w:t>if a remediation deadline passes, the reason must be documented and the deadline can be extended manually — by the CCO or one other Senior role, with a forced field requiring them to justify the extension. Since the testing schedule is methodical, if a deadline is missed the Remediation Owner and tasks should be reassigned rather than left open indefinitely.</w:t>
      </w:r>
      <w:r>
        <w:rPr>
          <w:b w:val="0"/>
          <w:i w:val="0"/>
          <w:strike w:val="0"/>
        </w:rPr>
        <w:t xml:space="preserve"> </w:t>
      </w:r>
      <w:r>
        <w:rPr>
          <w:b w:val="0"/>
          <w:i/>
          <w:strike w:val="0"/>
          <w:color w:val="C55A11"/>
          <w:sz w:val="16"/>
        </w:rPr>
        <w:t xml:space="preserve"> [Sosinna's Drive comment]</w:t>
      </w:r>
    </w:p>
    <w:tbl>
      <w:tblPr>
        <w:tblStyle w:val="TableGrid"/>
        <w:tblW w:type="auto" w:w="0"/>
        <w:tblLook w:firstColumn="1" w:firstRow="1" w:lastColumn="0" w:lastRow="0" w:noHBand="0" w:noVBand="1" w:val="04A0"/>
      </w:tblPr>
      <w:tblGrid>
        <w:gridCol w:w="8640"/>
      </w:tblGrid>
      <w:tr>
        <w:tc>
          <w:tcPr>
            <w:tcW w:type="dxa" w:w="8640"/>
            <w:shd w:val="clear" w:fill="E2EFDA"/>
          </w:tcPr>
          <w:p>
            <w:r>
              <w:rPr>
                <w:b/>
                <w:i w:val="0"/>
                <w:strike w:val="0"/>
              </w:rPr>
              <w:t>CONFIRMED</w:t>
            </w:r>
            <w:r>
              <w:rPr>
                <w:b w:val="0"/>
                <w:i w:val="0"/>
                <w:strike w:val="0"/>
              </w:rPr>
              <w:t xml:space="preserve"> </w:t>
            </w:r>
            <w:r>
              <w:rPr>
                <w:b w:val="0"/>
                <w:i/>
                <w:strike w:val="0"/>
              </w:rPr>
              <w:t>(green — agreed decision)</w:t>
            </w:r>
          </w:p>
          <w:p>
            <w:r>
              <w:rPr>
                <w:b/>
                <w:i w:val="0"/>
                <w:strike w:val="0"/>
              </w:rPr>
              <w:t>✅ What we have agreed</w:t>
            </w:r>
          </w:p>
          <w:p>
            <w:pPr>
              <w:pStyle w:val="ListBullet"/>
            </w:pPr>
            <w:r>
              <w:rPr>
                <w:b w:val="0"/>
                <w:i w:val="0"/>
                <w:strike w:val="0"/>
              </w:rPr>
              <w:t>Multiple independent Findings per test, each with their own remediation plan — confirmed.</w:t>
            </w:r>
          </w:p>
          <w:p>
            <w:pPr>
              <w:pStyle w:val="ListBullet"/>
            </w:pPr>
            <w:r>
              <w:rPr>
                <w:b w:val="0"/>
                <w:i w:val="0"/>
                <w:strike w:val="0"/>
              </w:rPr>
              <w:t>Each Finding is linked to both the Requirement ID and the specific regulation article.</w:t>
            </w:r>
          </w:p>
          <w:p>
            <w:pPr>
              <w:pStyle w:val="ListBullet"/>
            </w:pPr>
            <w:r>
              <w:rPr>
                <w:b w:val="0"/>
                <w:i w:val="0"/>
                <w:strike w:val="0"/>
              </w:rPr>
              <w:t>Root cause category is required on every Finding (Process Gap / Control Failure / Documentation Missing / System Issue / Training Gap).</w:t>
            </w:r>
          </w:p>
          <w:p>
            <w:pPr>
              <w:pStyle w:val="ListBullet"/>
            </w:pPr>
            <w:r>
              <w:rPr>
                <w:b w:val="0"/>
                <w:i w:val="0"/>
                <w:strike w:val="0"/>
              </w:rPr>
              <w:t>Closing a Finding requires sign-off from both the CCO and one relevant Senior Management user. The original recorder cannot be one of the two approvers.</w:t>
            </w:r>
          </w:p>
          <w:p>
            <w:pPr>
              <w:pStyle w:val="ListBullet"/>
            </w:pPr>
            <w:r>
              <w:rPr>
                <w:b w:val="0"/>
                <w:i w:val="0"/>
                <w:strike w:val="0"/>
              </w:rPr>
              <w:t>Remediation plan is agreed and locked in before the report is issued — not after.</w:t>
            </w:r>
          </w:p>
          <w:p>
            <w:pPr>
              <w:pStyle w:val="ListBullet"/>
            </w:pPr>
            <w:r>
              <w:rPr>
                <w:b w:val="0"/>
                <w:i w:val="0"/>
                <w:strike w:val="0"/>
              </w:rPr>
              <w:t>Issuing the report starts the milestone clocks.</w:t>
            </w:r>
          </w:p>
          <w:p>
            <w:pPr>
              <w:pStyle w:val="ListBullet"/>
            </w:pPr>
            <w:r>
              <w:rPr>
                <w:b w:val="0"/>
                <w:i w:val="0"/>
                <w:strike w:val="0"/>
              </w:rPr>
              <w:t>Remediation Owners must be registered platform users to attach evidence of completion.</w:t>
            </w:r>
          </w:p>
          <w:p>
            <w:pPr>
              <w:pStyle w:val="ListBullet"/>
            </w:pPr>
            <w:r>
              <w:rPr>
                <w:b w:val="0"/>
                <w:i w:val="0"/>
                <w:strike w:val="0"/>
              </w:rPr>
              <w:t>Risk rating is calculated automatically by the platform based on finding count and severity — the compliance officer confirms the rating, they do not manually enter it.</w:t>
            </w:r>
          </w:p>
          <w:p>
            <w:pPr>
              <w:pStyle w:val="ListBullet"/>
            </w:pPr>
            <w:r>
              <w:rPr>
                <w:b/>
                <w:i/>
                <w:strike w:val="0"/>
                <w:color w:val="C55A11"/>
              </w:rPr>
              <w:t>Deadline extensions: manual, by CCO or one other Senior role, with a mandatory written justification. Missed deadlines trigger reassignment.</w:t>
            </w:r>
            <w:r>
              <w:rPr>
                <w:b w:val="0"/>
                <w:i w:val="0"/>
                <w:strike w:val="0"/>
              </w:rPr>
              <w:t xml:space="preserve"> </w:t>
            </w:r>
            <w:r>
              <w:rPr>
                <w:b w:val="0"/>
                <w:i/>
                <w:strike w:val="0"/>
                <w:color w:val="C55A11"/>
                <w:sz w:val="16"/>
              </w:rPr>
              <w:t xml:space="preserve"> [Sosinna's Drive comment]</w:t>
            </w:r>
          </w:p>
          <w:p>
            <w:pPr>
              <w:pStyle w:val="ListBullet"/>
            </w:pPr>
            <w:r>
              <w:rPr>
                <w:b/>
                <w:i/>
                <w:strike w:val="0"/>
                <w:color w:val="C55A11"/>
              </w:rPr>
              <w:t>Remediation Owner sees more than just their own task — full view access, with an audit trail on any deletions.</w:t>
            </w:r>
            <w:r>
              <w:rPr>
                <w:b w:val="0"/>
                <w:i w:val="0"/>
                <w:strike w:val="0"/>
              </w:rPr>
              <w:t xml:space="preserve"> </w:t>
            </w:r>
            <w:r>
              <w:rPr>
                <w:b w:val="0"/>
                <w:i/>
                <w:strike w:val="0"/>
                <w:color w:val="C55A11"/>
                <w:sz w:val="16"/>
              </w:rPr>
              <w:t xml:space="preserve"> [Sosinna's Drive comment]</w:t>
            </w:r>
          </w:p>
        </w:tc>
      </w:tr>
    </w:tbl>
    <w:p>
      <w:pPr>
        <w:pStyle w:val="Heading1"/>
      </w:pPr>
      <w:r>
        <w:t>9. Reports and the Dashboard</w:t>
      </w:r>
    </w:p>
    <w:p>
      <w:pPr>
        <w:pStyle w:val="Heading2"/>
      </w:pPr>
      <w:r>
        <w:t>9.1 The Dashboard — What the CCO Sees Every Day</w:t>
      </w:r>
    </w:p>
    <w:p>
      <w:r>
        <w:rPr>
          <w:b w:val="0"/>
          <w:i w:val="0"/>
          <w:strike w:val="0"/>
        </w:rPr>
        <w:t>The dashboard is the first thing a user sees when they log in. It is designed to answer the question: 'How is our compliance programme right now?' — without needing to open any individual test or report.</w:t>
      </w:r>
    </w:p>
    <w:p>
      <w:r>
        <w:rPr>
          <w:b/>
          <w:i w:val="0"/>
          <w:strike w:val="0"/>
          <w:color w:val="1155CC"/>
        </w:rPr>
        <w:t>[FR-48]</w:t>
      </w:r>
      <w:r>
        <w:rPr>
          <w:b w:val="0"/>
          <w:i w:val="0"/>
          <w:strike w:val="0"/>
        </w:rPr>
        <w:t xml:space="preserve"> The home screen shows a set of at-a-glance metric cards. These include, at minimum: how many tests are due this quarter, how many High-rated Findings are still open, how many remediation deadlines have been missed, and how many compliance manual gaps have been detected. More metrics can be added based on the CCO's preferences.</w:t>
      </w:r>
    </w:p>
    <w:p>
      <w:r>
        <w:rPr>
          <w:b/>
          <w:i w:val="0"/>
          <w:strike w:val="0"/>
          <w:color w:val="1155CC"/>
        </w:rPr>
        <w:t>[FR-49]</w:t>
      </w:r>
      <w:r>
        <w:rPr>
          <w:b w:val="0"/>
          <w:i w:val="0"/>
          <w:strike w:val="0"/>
        </w:rPr>
        <w:t xml:space="preserve"> The compliance testing section shows all tests in three columns: Planned (not started), Ongoing (in progress), and Completed. Each test card shows the test name, the assigned Lead Tester, the due date, and a progress indicator. The CCO can filter by risk level, regulatory body, or test type. </w:t>
      </w:r>
      <w:r>
        <w:rPr>
          <w:b/>
          <w:i w:val="0"/>
          <w:strike w:val="0"/>
        </w:rPr>
        <w:t>📞 From the 25 Jun FRD Review call:</w:t>
      </w:r>
      <w:r>
        <w:rPr>
          <w:b w:val="0"/>
          <w:i w:val="0"/>
          <w:strike w:val="0"/>
        </w:rPr>
        <w:t xml:space="preserve"> </w:t>
      </w:r>
      <w:r>
        <w:rPr>
          <w:b w:val="0"/>
          <w:i/>
          <w:strike w:val="0"/>
          <w:color w:val="1155CC"/>
        </w:rPr>
        <w:t>Sosinna specifically wants a visual (pie chart or bar graph) showing counts of tests planned vs. ongoing vs. completed, so the admin can see review status at a glance without opening the calendar.</w:t>
      </w:r>
      <w:r>
        <w:rPr>
          <w:b w:val="0"/>
          <w:i w:val="0"/>
          <w:strike w:val="0"/>
        </w:rPr>
        <w:t xml:space="preserve"> </w:t>
      </w:r>
      <w:r>
        <w:rPr>
          <w:b w:val="0"/>
          <w:i/>
          <w:strike w:val="0"/>
          <w:color w:val="1155CC"/>
          <w:sz w:val="16"/>
        </w:rPr>
        <w:t xml:space="preserve"> [25 Jun FRD call]</w:t>
      </w:r>
      <w:r>
        <w:rPr>
          <w:b w:val="0"/>
          <w:i w:val="0"/>
          <w:strike w:val="0"/>
        </w:rPr>
        <w:t xml:space="preserve"> </w:t>
      </w:r>
      <w:r>
        <w:rPr>
          <w:b/>
          <w:i/>
          <w:strike w:val="0"/>
          <w:color w:val="008080"/>
        </w:rPr>
        <w:t>v6.0: the wireframe reviewed on 11 Aug renders this as a Kanban board. Everything in this requirement stands — see FR-113 for the presentation.</w:t>
      </w:r>
      <w:r>
        <w:rPr>
          <w:b w:val="0"/>
          <w:i w:val="0"/>
          <w:strike w:val="0"/>
        </w:rPr>
        <w:t xml:space="preserve"> </w:t>
      </w:r>
      <w:r>
        <w:rPr>
          <w:b w:val="0"/>
          <w:i/>
          <w:strike w:val="0"/>
          <w:color w:val="008080"/>
          <w:sz w:val="16"/>
        </w:rPr>
        <w:t xml:space="preserve"> [11 Aug 2026 MOM]</w:t>
      </w:r>
    </w:p>
    <w:p>
      <w:r>
        <w:rPr>
          <w:b/>
          <w:i w:val="0"/>
          <w:strike w:val="0"/>
          <w:color w:val="1155CC"/>
        </w:rPr>
        <w:t>[FR-50]</w:t>
      </w:r>
      <w:r>
        <w:rPr>
          <w:b w:val="0"/>
          <w:i w:val="0"/>
          <w:strike w:val="0"/>
        </w:rPr>
        <w:t xml:space="preserve"> The Regulatory Requirements section shows all the Requirement IDs the firm is subject to and their current compliance status — Compliant, Non-Compliant, Pending Review, or Not Applicable. Each rule shows its version history and links to the official regulation document.</w:t>
      </w:r>
    </w:p>
    <w:p>
      <w:r>
        <w:rPr>
          <w:b/>
          <w:i w:val="0"/>
          <w:strike w:val="0"/>
          <w:color w:val="1155CC"/>
        </w:rPr>
        <w:t>[FR-51]</w:t>
      </w:r>
      <w:r>
        <w:rPr>
          <w:b w:val="0"/>
          <w:i w:val="0"/>
          <w:strike w:val="0"/>
        </w:rPr>
        <w:t xml:space="preserve"> The regulatory updates panel monitors the official MiCA and DORA publication pages automatically. When a change is detected and published by Sosinna's team, all affected firms are immediately notified, and the update is shown in this panel linked to the specific tests it affects.</w:t>
      </w:r>
    </w:p>
    <w:p>
      <w:r>
        <w:rPr>
          <w:b/>
          <w:i w:val="0"/>
          <w:strike w:val="0"/>
          <w:color w:val="1155CC"/>
        </w:rPr>
        <w:t>[FR-52]</w:t>
      </w:r>
      <w:r>
        <w:rPr>
          <w:b w:val="0"/>
          <w:i w:val="0"/>
          <w:strike w:val="0"/>
        </w:rPr>
        <w:t xml:space="preserve"> Each Remediation Owner has their own personal view — a simple list of all the action items assigned to them, with due dates, current status, and the ability to update progress and upload evidence. This is the only compliance view they need.</w:t>
      </w:r>
    </w:p>
    <w:p>
      <w:r>
        <w:rPr>
          <w:b/>
          <w:i w:val="0"/>
          <w:strike w:val="0"/>
        </w:rPr>
        <w:t>⚠ Flag — possible contradiction with Section 8.3:</w:t>
      </w:r>
      <w:r>
        <w:rPr>
          <w:b w:val="0"/>
          <w:i w:val="0"/>
          <w:strike w:val="0"/>
        </w:rPr>
        <w:t xml:space="preserve"> </w:t>
      </w:r>
      <w:r>
        <w:rPr>
          <w:b/>
          <w:i/>
          <w:strike w:val="0"/>
          <w:color w:val="C55A11"/>
        </w:rPr>
        <w:t>this line says the Remediation Owner's personal view is "the only compliance view they need," but Sosinna's comment on FR-42 (Section 8.3) says Remediation Owners should have view access to everything. Worth resolving which one wins before this goes into a sprint — the dashboard scope for this role is materially different depending on the answer.</w:t>
      </w:r>
      <w:r>
        <w:rPr>
          <w:b w:val="0"/>
          <w:i w:val="0"/>
          <w:strike w:val="0"/>
        </w:rPr>
        <w:t xml:space="preserve"> </w:t>
      </w:r>
      <w:r>
        <w:rPr>
          <w:b w:val="0"/>
          <w:i/>
          <w:strike w:val="0"/>
          <w:color w:val="C55A11"/>
          <w:sz w:val="16"/>
        </w:rPr>
        <w:t xml:space="preserve"> [Sosinna's Drive comment]</w:t>
      </w:r>
    </w:p>
    <w:p>
      <w:r>
        <w:rPr>
          <w:b/>
          <w:i w:val="0"/>
          <w:strike w:val="0"/>
          <w:color w:val="1155CC"/>
        </w:rPr>
        <w:t>[FR-95]</w:t>
      </w:r>
      <w:r>
        <w:rPr>
          <w:b w:val="0"/>
          <w:i w:val="0"/>
          <w:strike w:val="0"/>
        </w:rPr>
        <w:t xml:space="preserve"> </w:t>
      </w:r>
      <w:r>
        <w:rPr>
          <w:b/>
          <w:i/>
          <w:strike w:val="0"/>
          <w:color w:val="7030A0"/>
        </w:rPr>
        <w:t>The priority level set in the Portal (SA-10) is displayed against every pending pool item and every live test in the Firm Application, and is available as a filter and sort key on both the pool view and the testing dashboard. The firm does not set this value — it is read from the published library.</w:t>
      </w:r>
      <w:r>
        <w:rPr>
          <w:b w:val="0"/>
          <w:i w:val="0"/>
          <w:strike w:val="0"/>
        </w:rPr>
        <w:t xml:space="preserve"> </w:t>
      </w:r>
      <w:r>
        <w:rPr>
          <w:b w:val="0"/>
          <w:i/>
          <w:strike w:val="0"/>
          <w:color w:val="7030A0"/>
          <w:sz w:val="16"/>
        </w:rPr>
        <w:t xml:space="preserve"> [Aug 2026 client MOM]</w:t>
      </w:r>
    </w:p>
    <w:p>
      <w:r>
        <w:rPr>
          <w:b/>
          <w:i w:val="0"/>
          <w:strike w:val="0"/>
          <w:color w:val="1155CC"/>
        </w:rPr>
        <w:t>[FR-96]</w:t>
      </w:r>
      <w:r>
        <w:rPr>
          <w:b w:val="0"/>
          <w:i w:val="0"/>
          <w:strike w:val="0"/>
        </w:rPr>
        <w:t xml:space="preserve"> </w:t>
      </w:r>
      <w:r>
        <w:rPr>
          <w:b/>
          <w:i/>
          <w:strike w:val="0"/>
          <w:color w:val="7030A0"/>
        </w:rPr>
        <w:t>The CCO dashboard carries records-request metrics from Section 7.4: how many request items are outstanding, how long the oldest has been open, and average evidence turnaround for the period. These sit alongside the existing FR-48 metric cards, because the client identified collection delay as a first-order indicator of internal control weakness rather than an operational footnote.</w:t>
      </w:r>
      <w:r>
        <w:rPr>
          <w:b w:val="0"/>
          <w:i w:val="0"/>
          <w:strike w:val="0"/>
        </w:rPr>
        <w:t xml:space="preserve"> </w:t>
      </w:r>
      <w:r>
        <w:rPr>
          <w:b w:val="0"/>
          <w:i/>
          <w:strike w:val="0"/>
          <w:color w:val="7030A0"/>
          <w:sz w:val="16"/>
        </w:rPr>
        <w:t xml:space="preserve"> [Aug 2026 client MOM]</w:t>
      </w:r>
    </w:p>
    <w:p>
      <w:r>
        <w:rPr>
          <w:b/>
          <w:i w:val="0"/>
          <w:strike w:val="0"/>
          <w:color w:val="1155CC"/>
        </w:rPr>
        <w:t>[FR-97]</w:t>
      </w:r>
      <w:r>
        <w:rPr>
          <w:b w:val="0"/>
          <w:i w:val="0"/>
          <w:strike w:val="0"/>
        </w:rPr>
        <w:t xml:space="preserve"> </w:t>
      </w:r>
      <w:r>
        <w:rPr>
          <w:b/>
          <w:i/>
          <w:strike w:val="0"/>
          <w:color w:val="7030A0"/>
        </w:rPr>
        <w:t>The CCO's holistic tester-progress view (FR-81) is reachable from the dashboard: all testers, their assigned articles, and progress per pillar of the regulation.</w:t>
      </w:r>
      <w:r>
        <w:rPr>
          <w:b w:val="0"/>
          <w:i w:val="0"/>
          <w:strike w:val="0"/>
        </w:rPr>
        <w:t xml:space="preserve"> </w:t>
      </w:r>
      <w:r>
        <w:rPr>
          <w:b w:val="0"/>
          <w:i/>
          <w:strike w:val="0"/>
          <w:color w:val="7030A0"/>
          <w:sz w:val="16"/>
        </w:rPr>
        <w:t xml:space="preserve"> [Aug 2026 client MOM]</w:t>
      </w:r>
    </w:p>
    <w:p>
      <w:r>
        <w:rPr>
          <w:b/>
          <w:i/>
          <w:strike w:val="0"/>
          <w:color w:val="008080"/>
        </w:rPr>
        <w:t>The 11 August meeting reviewed wireframes for the three views below and accepted them in principle. They are recorded here as requirements so the layouts that were shown are not lost between the review and the build.</w:t>
      </w:r>
      <w:r>
        <w:rPr>
          <w:b w:val="0"/>
          <w:i w:val="0"/>
          <w:strike w:val="0"/>
        </w:rPr>
        <w:t xml:space="preserve"> </w:t>
      </w:r>
      <w:r>
        <w:rPr>
          <w:b w:val="0"/>
          <w:i/>
          <w:strike w:val="0"/>
          <w:color w:val="008080"/>
          <w:sz w:val="16"/>
        </w:rPr>
        <w:t xml:space="preserve"> [11 Aug 2026 MOM]</w:t>
      </w:r>
    </w:p>
    <w:p>
      <w:r>
        <w:rPr>
          <w:b/>
          <w:i w:val="0"/>
          <w:strike w:val="0"/>
          <w:color w:val="1155CC"/>
        </w:rPr>
        <w:t>[FR-113]</w:t>
      </w:r>
      <w:r>
        <w:rPr>
          <w:b w:val="0"/>
          <w:i w:val="0"/>
          <w:strike w:val="0"/>
        </w:rPr>
        <w:t xml:space="preserve"> </w:t>
      </w:r>
      <w:r>
        <w:rPr>
          <w:b/>
          <w:i/>
          <w:strike w:val="0"/>
          <w:color w:val="008080"/>
        </w:rPr>
        <w:t>The CCO's testing view is a Kanban board with columns for pending, ongoing and completed tests, cards moving left to right as work progresses. This is the same three-state model as FR-49 and replaces the earlier column-list description of it — FR-49's filters, card contents (test name, assigned tester, due date, progress) and the planned-vs-ongoing-vs-completed chart all carry over onto the board unchanged. Under the pool model, "pending" here means assigned but not started; genuinely unassigned work stays in the FR-78 pool view, which is a separate screen.</w:t>
      </w:r>
      <w:r>
        <w:rPr>
          <w:b w:val="0"/>
          <w:i w:val="0"/>
          <w:strike w:val="0"/>
        </w:rPr>
        <w:t xml:space="preserve"> </w:t>
      </w:r>
      <w:r>
        <w:rPr>
          <w:b w:val="0"/>
          <w:i/>
          <w:strike w:val="0"/>
          <w:color w:val="008080"/>
          <w:sz w:val="16"/>
        </w:rPr>
        <w:t xml:space="preserve"> [11 Aug 2026 MOM]</w:t>
      </w:r>
    </w:p>
    <w:p>
      <w:r>
        <w:rPr>
          <w:b/>
          <w:i w:val="0"/>
          <w:strike w:val="0"/>
          <w:color w:val="1155CC"/>
        </w:rPr>
        <w:t>[FR-114]</w:t>
      </w:r>
      <w:r>
        <w:rPr>
          <w:b w:val="0"/>
          <w:i w:val="0"/>
          <w:strike w:val="0"/>
        </w:rPr>
        <w:t xml:space="preserve"> </w:t>
      </w:r>
      <w:r>
        <w:rPr>
          <w:b/>
          <w:i/>
          <w:strike w:val="0"/>
          <w:color w:val="008080"/>
        </w:rPr>
        <w:t>A calendar view shows scheduled reviews on a date grid. The pool model removed auto-generated calendar entries (FR-78), not the calendar: this view shows tests that have been assigned and dated, plus remediation milestone dates and any recurring obligations the CCO has already scheduled. It is a view over assigned work, never a list of everything the firm theoretically owes.</w:t>
      </w:r>
      <w:r>
        <w:rPr>
          <w:b w:val="0"/>
          <w:i w:val="0"/>
          <w:strike w:val="0"/>
        </w:rPr>
        <w:t xml:space="preserve"> </w:t>
      </w:r>
      <w:r>
        <w:rPr>
          <w:b w:val="0"/>
          <w:i/>
          <w:strike w:val="0"/>
          <w:color w:val="008080"/>
          <w:sz w:val="16"/>
        </w:rPr>
        <w:t xml:space="preserve"> [11 Aug 2026 MOM]</w:t>
      </w:r>
    </w:p>
    <w:p>
      <w:r>
        <w:rPr>
          <w:b/>
          <w:i w:val="0"/>
          <w:strike w:val="0"/>
          <w:color w:val="1155CC"/>
        </w:rPr>
        <w:t>[FR-115]</w:t>
      </w:r>
      <w:r>
        <w:rPr>
          <w:b w:val="0"/>
          <w:i w:val="0"/>
          <w:strike w:val="0"/>
        </w:rPr>
        <w:t xml:space="preserve"> </w:t>
      </w:r>
      <w:r>
        <w:rPr>
          <w:b/>
          <w:i/>
          <w:strike w:val="0"/>
          <w:color w:val="008080"/>
        </w:rPr>
        <w:t>Remediation dashboards were reviewed and are confirmed as a distinct surface from the testing views: open action items by owner, by due date and by finding severity, with overdue items and their age called out. This is the CCO-facing roll-up of the Section 8.3 remediation data; the Remediation Owner's own personal list (FR-52) is a separate, narrower view.</w:t>
      </w:r>
      <w:r>
        <w:rPr>
          <w:b w:val="0"/>
          <w:i w:val="0"/>
          <w:strike w:val="0"/>
        </w:rPr>
        <w:t xml:space="preserve"> </w:t>
      </w:r>
      <w:r>
        <w:rPr>
          <w:b w:val="0"/>
          <w:i/>
          <w:strike w:val="0"/>
          <w:color w:val="008080"/>
          <w:sz w:val="16"/>
        </w:rPr>
        <w:t xml:space="preserve"> [11 Aug 2026 MOM]</w:t>
      </w:r>
    </w:p>
    <w:tbl>
      <w:tblPr>
        <w:tblStyle w:val="TableGrid"/>
        <w:tblW w:type="auto" w:w="0"/>
        <w:tblLook w:firstColumn="1" w:firstRow="1" w:lastColumn="0" w:lastRow="0" w:noHBand="0" w:noVBand="1" w:val="04A0"/>
      </w:tblPr>
      <w:tblGrid>
        <w:gridCol w:w="8640"/>
      </w:tblGrid>
      <w:tr>
        <w:tc>
          <w:tcPr>
            <w:tcW w:type="dxa" w:w="8640"/>
            <w:shd w:val="clear" w:fill="FFF2CC"/>
          </w:tcPr>
          <w:p>
            <w:r>
              <w:rPr>
                <w:b/>
                <w:i w:val="0"/>
                <w:strike w:val="0"/>
              </w:rPr>
              <w:t>OPEN QUESTION</w:t>
            </w:r>
            <w:r>
              <w:rPr>
                <w:b w:val="0"/>
                <w:i w:val="0"/>
                <w:strike w:val="0"/>
              </w:rPr>
              <w:t xml:space="preserve"> </w:t>
            </w:r>
            <w:r>
              <w:rPr>
                <w:b w:val="0"/>
                <w:i/>
                <w:strike w:val="0"/>
              </w:rPr>
              <w:t>(amber — new in v6.0)</w:t>
            </w:r>
          </w:p>
          <w:p>
            <w:r>
              <w:rPr>
                <w:b/>
                <w:i w:val="0"/>
                <w:strike w:val="0"/>
              </w:rPr>
              <w:t>💬 Questions still to confirm</w:t>
            </w:r>
          </w:p>
          <w:p>
            <w:pPr>
              <w:pStyle w:val="ListBullet"/>
            </w:pPr>
            <w:r>
              <w:rPr>
                <w:b/>
                <w:i/>
                <w:strike w:val="0"/>
                <w:color w:val="008080"/>
              </w:rPr>
              <w:t>Wireframe status (UI-01): the wireframes were reviewed and accepted in principle, but it was not recorded whether they are frozen as the design baseline or still open to revision during UI design. This matters for what the UI phase is estimated against.</w:t>
            </w:r>
            <w:r>
              <w:rPr>
                <w:b w:val="0"/>
                <w:i w:val="0"/>
                <w:strike w:val="0"/>
              </w:rPr>
              <w:t xml:space="preserve"> </w:t>
            </w:r>
            <w:r>
              <w:rPr>
                <w:b w:val="0"/>
                <w:i/>
                <w:strike w:val="0"/>
                <w:color w:val="008080"/>
                <w:sz w:val="16"/>
              </w:rPr>
              <w:t xml:space="preserve"> [11 Aug 2026 MOM]</w:t>
            </w:r>
          </w:p>
          <w:p>
            <w:pPr>
              <w:pStyle w:val="ListBullet"/>
            </w:pPr>
            <w:r>
              <w:rPr>
                <w:b/>
                <w:i/>
                <w:strike w:val="0"/>
                <w:color w:val="008080"/>
              </w:rPr>
              <w:t>Calendar authority (UI-02): can the CCO drag a test to a new date on the FR-114 calendar and have that change the test's dates, or is the calendar read-only with dates changed only from the test record? A writable calendar re-opens part of the scheduling model the pool was meant to simplify.</w:t>
            </w:r>
            <w:r>
              <w:rPr>
                <w:b w:val="0"/>
                <w:i w:val="0"/>
                <w:strike w:val="0"/>
              </w:rPr>
              <w:t xml:space="preserve"> </w:t>
            </w:r>
            <w:r>
              <w:rPr>
                <w:b w:val="0"/>
                <w:i/>
                <w:strike w:val="0"/>
                <w:color w:val="008080"/>
                <w:sz w:val="16"/>
              </w:rPr>
              <w:t xml:space="preserve"> [11 Aug 2026 MOM]</w:t>
            </w:r>
          </w:p>
        </w:tc>
      </w:tr>
    </w:tbl>
    <w:p>
      <w:r>
        <w:rPr>
          <w:b/>
          <w:i w:val="0"/>
          <w:strike w:val="0"/>
          <w:color w:val="1155CC"/>
        </w:rPr>
        <w:t>[FR-53]</w:t>
      </w:r>
      <w:r>
        <w:rPr>
          <w:b w:val="0"/>
          <w:i w:val="0"/>
          <w:strike w:val="0"/>
        </w:rPr>
        <w:t xml:space="preserve"> The platform keeps a history of test results by period. The CCO can compare this quarter's results to last quarter's, or last year's, to see whether the firm's compliance position is improving, stable, or getting worse.</w:t>
      </w:r>
    </w:p>
    <w:p>
      <w:r>
        <w:rPr>
          <w:b/>
          <w:i w:val="0"/>
          <w:strike w:val="0"/>
          <w:color w:val="1155CC"/>
        </w:rPr>
        <w:t>[FR-54]</w:t>
      </w:r>
      <w:r>
        <w:rPr>
          <w:b w:val="0"/>
          <w:i w:val="0"/>
          <w:strike w:val="0"/>
        </w:rPr>
        <w:t xml:space="preserve"> A live news feed shows recent regulatory announcements, enforcement actions, and fines from sources including the EBA, ESMA, and national regulators — giving the compliance team early visibility of what regulators are currently focusing on. </w:t>
      </w:r>
      <w:r>
        <w:rPr>
          <w:b/>
          <w:i w:val="0"/>
          <w:strike w:val="0"/>
        </w:rPr>
        <w:t>💬 Sosinna's comment:</w:t>
      </w:r>
      <w:r>
        <w:rPr>
          <w:b w:val="0"/>
          <w:i w:val="0"/>
          <w:strike w:val="0"/>
        </w:rPr>
        <w:t xml:space="preserve"> </w:t>
      </w:r>
      <w:r>
        <w:rPr>
          <w:b w:val="0"/>
          <w:i/>
          <w:strike w:val="0"/>
          <w:color w:val="C55A11"/>
        </w:rPr>
        <w:t>Public regulator sites can seed this — e.g. Banco de Portugal is the primary CASP licensing and AML/CFT supervisor in Portugal, publishing CASP registration updates, internal control reports, and DORA major-incident notifications on its official portal. Useful as a first source, but doesn't fully settle RE-05 (manual curation vs. automated vs. commercial feed) below.</w:t>
      </w:r>
      <w:r>
        <w:rPr>
          <w:b w:val="0"/>
          <w:i w:val="0"/>
          <w:strike w:val="0"/>
        </w:rPr>
        <w:t xml:space="preserve"> </w:t>
      </w:r>
      <w:r>
        <w:rPr>
          <w:b w:val="0"/>
          <w:i/>
          <w:strike w:val="0"/>
          <w:color w:val="C55A11"/>
          <w:sz w:val="16"/>
        </w:rPr>
        <w:t xml:space="preserve"> [Sosinna's Drive comment]</w:t>
      </w:r>
    </w:p>
    <w:p>
      <w:r>
        <w:rPr>
          <w:b/>
          <w:i w:val="0"/>
          <w:strike w:val="0"/>
          <w:color w:val="1155CC"/>
        </w:rPr>
        <w:t>[FR-138]</w:t>
      </w:r>
      <w:r>
        <w:rPr>
          <w:b w:val="0"/>
          <w:i w:val="0"/>
          <w:strike w:val="0"/>
        </w:rPr>
        <w:t xml:space="preserve"> </w:t>
      </w:r>
      <w:r>
        <w:rPr>
          <w:b/>
          <w:i/>
          <w:strike w:val="0"/>
          <w:color w:val="CC00CC"/>
        </w:rPr>
        <w:t>The news feed also carries data and AML alerts fetched from industry vendor sources — the site named on 14 Aug was NICE Actimize's anti-money-laundering pages (niceactimize.com/anti-money-laundering) — shown alongside the regulator sources already listed in FR-54. Items are labelled with their source so a vendor alert is distinguishable from a regulator publication.</w:t>
      </w:r>
      <w:r>
        <w:rPr>
          <w:b w:val="0"/>
          <w:i w:val="0"/>
          <w:strike w:val="0"/>
        </w:rPr>
        <w:t xml:space="preserve"> </w:t>
      </w:r>
      <w:r>
        <w:rPr>
          <w:b w:val="0"/>
          <w:i/>
          <w:strike w:val="0"/>
          <w:color w:val="CC00CC"/>
          <w:sz w:val="16"/>
        </w:rPr>
        <w:t xml:space="preserve"> [14 Aug 2026 MOM]</w:t>
      </w:r>
    </w:p>
    <w:tbl>
      <w:tblPr>
        <w:tblStyle w:val="TableGrid"/>
        <w:tblW w:type="auto" w:w="0"/>
        <w:tblLook w:firstColumn="1" w:firstRow="1" w:lastColumn="0" w:lastRow="0" w:noHBand="0" w:noVBand="1" w:val="04A0"/>
      </w:tblPr>
      <w:tblGrid>
        <w:gridCol w:w="8640"/>
      </w:tblGrid>
      <w:tr>
        <w:tc>
          <w:tcPr>
            <w:tcW w:type="dxa" w:w="8640"/>
            <w:shd w:val="clear" w:fill="EDEDED"/>
          </w:tcPr>
          <w:p>
            <w:r>
              <w:rPr>
                <w:b/>
                <w:i w:val="0"/>
                <w:strike w:val="0"/>
              </w:rPr>
              <w:t>DEVELOPER NOTE</w:t>
            </w:r>
            <w:r>
              <w:rPr>
                <w:b w:val="0"/>
                <w:i w:val="0"/>
                <w:strike w:val="0"/>
              </w:rPr>
              <w:t xml:space="preserve"> </w:t>
            </w:r>
            <w:r>
              <w:rPr>
                <w:b w:val="0"/>
                <w:i/>
                <w:strike w:val="0"/>
              </w:rPr>
              <w:t>(grey — new in v8.0)</w:t>
            </w:r>
          </w:p>
          <w:p>
            <w:r>
              <w:rPr>
                <w:b/>
                <w:i w:val="0"/>
                <w:strike w:val="0"/>
              </w:rPr>
              <w:t>📌 Note</w:t>
            </w:r>
          </w:p>
          <w:p>
            <w:pPr>
              <w:pStyle w:val="ListBullet"/>
            </w:pPr>
            <w:r>
              <w:rPr>
                <w:b/>
                <w:i/>
                <w:strike w:val="0"/>
                <w:color w:val="CC00CC"/>
              </w:rPr>
              <w:t>FR-138 collides with the standing MVP ingestion constraint (Section 4.5): official APIs and RSS feeds only, no custom HTML scraping. NICE Actimize is a commercial vendor site, not a regulator with a public API. Before this is estimated, confirm whether the source offers an RSS feed or licensed API, whether its content licensing permits redisplay inside a commercial product, and whether the manual-curation fallback is acceptable if it does not. Logged as NF-01; resolve together with RE-05, which this is really a concrete instance of.</w:t>
            </w:r>
            <w:r>
              <w:rPr>
                <w:b w:val="0"/>
                <w:i w:val="0"/>
                <w:strike w:val="0"/>
              </w:rPr>
              <w:t xml:space="preserve"> </w:t>
            </w:r>
            <w:r>
              <w:rPr>
                <w:b w:val="0"/>
                <w:i/>
                <w:strike w:val="0"/>
                <w:color w:val="CC00CC"/>
                <w:sz w:val="16"/>
              </w:rPr>
              <w:t xml:space="preserve"> [14 Aug 2026 MOM]</w:t>
            </w:r>
          </w:p>
        </w:tc>
      </w:tr>
    </w:tbl>
    <w:p>
      <w:pPr>
        <w:pStyle w:val="Heading2"/>
      </w:pPr>
      <w:r>
        <w:t>9.2 The Formal Testing Report</w:t>
      </w:r>
    </w:p>
    <w:p>
      <w:r>
        <w:rPr>
          <w:b w:val="0"/>
          <w:i w:val="0"/>
          <w:strike w:val="0"/>
        </w:rPr>
        <w:t>At the end of a testing cycle, the CCO generates a formal risk-based testing report. This is the firm's documented record of what was tested, what was found, and what is being done about it. It is an internal document — it is not automatically sent to the regulator. It is designed for senior management and for the firm's files, at the standard required for regulatory inspection.</w:t>
      </w:r>
    </w:p>
    <w:p>
      <w:r>
        <w:rPr>
          <w:b/>
          <w:i w:val="0"/>
          <w:strike w:val="0"/>
          <w:color w:val="1155CC"/>
        </w:rPr>
        <w:t>[FR-55]</w:t>
      </w:r>
      <w:r>
        <w:rPr>
          <w:b w:val="0"/>
          <w:i w:val="0"/>
          <w:strike w:val="0"/>
        </w:rPr>
        <w:t xml:space="preserve"> The CCO can only generate the report after two things have happened: the AML Officer has formally agreed to the AML-related findings, and all remediation milestone dates have been confirmed with the Remediation Owners.</w:t>
      </w:r>
    </w:p>
    <w:p>
      <w:r>
        <w:rPr>
          <w:b/>
          <w:i w:val="0"/>
          <w:strike w:val="0"/>
          <w:color w:val="1155CC"/>
        </w:rPr>
        <w:t>[FR-56]</w:t>
      </w:r>
      <w:r>
        <w:rPr>
          <w:b w:val="0"/>
          <w:i w:val="0"/>
          <w:strike w:val="0"/>
        </w:rPr>
        <w:t xml:space="preserve"> The report contains these sections in this order: (1) Cover page with the firm's details and the testing period. (2) Why this review was conducted and what was in scope. (3) What the compliance team was looking to verify in each test. (4) What was reviewed — records, systems, documents, communications. (5) The tests performed — for each test, the sampling methodology used, how many records were checked, and what was found step by step. (6) A summary of all Findings with their seriousness ratings and regulation article references. (7) The complete remediation plan with all milestone dates and owners. (8) The senior management sign-off block.</w:t>
      </w:r>
    </w:p>
    <w:p>
      <w:r>
        <w:rPr>
          <w:b/>
          <w:i w:val="0"/>
          <w:strike w:val="0"/>
          <w:color w:val="1155CC"/>
        </w:rPr>
        <w:t>[FR-98]</w:t>
      </w:r>
      <w:r>
        <w:rPr>
          <w:b w:val="0"/>
          <w:i w:val="0"/>
          <w:strike w:val="0"/>
        </w:rPr>
        <w:t xml:space="preserve"> </w:t>
      </w:r>
      <w:r>
        <w:rPr>
          <w:b/>
          <w:i/>
          <w:strike w:val="0"/>
          <w:color w:val="7030A0"/>
        </w:rPr>
        <w:t>Revised report contents for v5.0. The August 2026 meeting restated what the final report must contain, and two items need adding to the FR-56 structure: (a) the calculated risk rating for the period, derived from the gaps identified during testing — the platform calculates it, the compliance officer confirms it, consistent with the existing Section 8 decision; and (b) the current remediation status of every finding at the point of report generation, not just the agreed plan. The report therefore reads: findings → calculated risk ratings → remediation plan and status.</w:t>
      </w:r>
      <w:r>
        <w:rPr>
          <w:b w:val="0"/>
          <w:i w:val="0"/>
          <w:strike w:val="0"/>
        </w:rPr>
        <w:t xml:space="preserve"> </w:t>
      </w:r>
      <w:r>
        <w:rPr>
          <w:b w:val="0"/>
          <w:i/>
          <w:strike w:val="0"/>
          <w:color w:val="7030A0"/>
          <w:sz w:val="16"/>
        </w:rPr>
        <w:t xml:space="preserve"> [Aug 2026 client MOM]</w:t>
      </w:r>
      <w:r>
        <w:rPr>
          <w:b w:val="0"/>
          <w:i w:val="0"/>
          <w:strike w:val="0"/>
        </w:rPr>
        <w:t xml:space="preserve"> </w:t>
      </w:r>
      <w:r>
        <w:rPr>
          <w:b/>
          <w:i/>
          <w:strike w:val="0"/>
          <w:color w:val="008080"/>
        </w:rPr>
        <w:t>v6.0: "the gaps identified during testing" now has a defined source — the FR-112 gap identification in Section 7.5, as confirmed by the tester. The risk rating is calculated from confirmed gaps, not from candidate ones.</w:t>
      </w:r>
      <w:r>
        <w:rPr>
          <w:b w:val="0"/>
          <w:i w:val="0"/>
          <w:strike w:val="0"/>
        </w:rPr>
        <w:t xml:space="preserve"> </w:t>
      </w:r>
      <w:r>
        <w:rPr>
          <w:b w:val="0"/>
          <w:i/>
          <w:strike w:val="0"/>
          <w:color w:val="008080"/>
          <w:sz w:val="16"/>
        </w:rPr>
        <w:t xml:space="preserve"> [11 Aug 2026 MOM]</w:t>
      </w:r>
    </w:p>
    <w:p>
      <w:r>
        <w:rPr>
          <w:b/>
          <w:i w:val="0"/>
          <w:strike w:val="0"/>
          <w:color w:val="1155CC"/>
        </w:rPr>
        <w:t>[FR-99]</w:t>
      </w:r>
      <w:r>
        <w:rPr>
          <w:b w:val="0"/>
          <w:i w:val="0"/>
          <w:strike w:val="0"/>
        </w:rPr>
        <w:t xml:space="preserve"> </w:t>
      </w:r>
      <w:r>
        <w:rPr>
          <w:b/>
          <w:i/>
          <w:strike w:val="0"/>
          <w:color w:val="7030A0"/>
        </w:rPr>
        <w:t>The report carries an appendix listing every test marked Not Applicable for the period, with the CCO's written justification for each (see FR-94). N/A decisions are visible in the formal record, not only in the platform.</w:t>
      </w:r>
      <w:r>
        <w:rPr>
          <w:b w:val="0"/>
          <w:i w:val="0"/>
          <w:strike w:val="0"/>
        </w:rPr>
        <w:t xml:space="preserve"> </w:t>
      </w:r>
      <w:r>
        <w:rPr>
          <w:b w:val="0"/>
          <w:i/>
          <w:strike w:val="0"/>
          <w:color w:val="7030A0"/>
          <w:sz w:val="16"/>
        </w:rPr>
        <w:t xml:space="preserve"> [Aug 2026 client MOM]</w:t>
      </w:r>
    </w:p>
    <w:p>
      <w:r>
        <w:rPr>
          <w:b/>
          <w:i w:val="0"/>
          <w:strike w:val="0"/>
          <w:color w:val="1155CC"/>
        </w:rPr>
        <w:t>[FR-100]</w:t>
      </w:r>
      <w:r>
        <w:rPr>
          <w:b w:val="0"/>
          <w:i w:val="0"/>
          <w:strike w:val="0"/>
        </w:rPr>
        <w:t xml:space="preserve"> </w:t>
      </w:r>
      <w:r>
        <w:rPr>
          <w:b/>
          <w:i/>
          <w:strike w:val="0"/>
          <w:color w:val="7030A0"/>
        </w:rPr>
        <w:t>The scope period of each test (FR-80) is stated in the report against that test, so a reader can see exactly what date range was examined.</w:t>
      </w:r>
      <w:r>
        <w:rPr>
          <w:b w:val="0"/>
          <w:i w:val="0"/>
          <w:strike w:val="0"/>
        </w:rPr>
        <w:t xml:space="preserve"> </w:t>
      </w:r>
      <w:r>
        <w:rPr>
          <w:b w:val="0"/>
          <w:i/>
          <w:strike w:val="0"/>
          <w:color w:val="7030A0"/>
          <w:sz w:val="16"/>
        </w:rPr>
        <w:t xml:space="preserve"> [Aug 2026 client MOM]</w:t>
      </w:r>
    </w:p>
    <w:p>
      <w:r>
        <w:rPr>
          <w:b/>
          <w:i w:val="0"/>
          <w:strike w:val="0"/>
          <w:color w:val="1155CC"/>
        </w:rPr>
        <w:t>[FR-57]</w:t>
      </w:r>
      <w:r>
        <w:rPr>
          <w:b w:val="0"/>
          <w:i w:val="0"/>
          <w:strike w:val="0"/>
        </w:rPr>
        <w:t xml:space="preserve"> Every report is branded with the ControlIQ logo and name. Reports are not re-branded with the client firm's own logo.</w:t>
      </w:r>
    </w:p>
    <w:p>
      <w:r>
        <w:rPr>
          <w:b/>
          <w:i w:val="0"/>
          <w:strike w:val="0"/>
          <w:color w:val="1155CC"/>
        </w:rPr>
        <w:t>[FR-58]</w:t>
      </w:r>
      <w:r>
        <w:rPr>
          <w:b w:val="0"/>
          <w:i w:val="0"/>
          <w:strike w:val="0"/>
        </w:rPr>
        <w:t xml:space="preserve"> After the report is generated, Senior Management users receive a notification to review and sign off. Their sign-off is recorded in the platform as a permanent, auditable record.</w:t>
      </w:r>
    </w:p>
    <w:p>
      <w:r>
        <w:rPr>
          <w:b/>
          <w:i w:val="0"/>
          <w:strike w:val="0"/>
          <w:color w:val="1155CC"/>
        </w:rPr>
        <w:t>[FR-59]</w:t>
      </w:r>
      <w:r>
        <w:rPr>
          <w:b w:val="0"/>
          <w:i w:val="0"/>
          <w:strike w:val="0"/>
        </w:rPr>
        <w:t xml:space="preserve"> Once signed off, the report is automatically sent to the firm's configured distribution lists.</w:t>
      </w:r>
    </w:p>
    <w:p>
      <w:r>
        <w:rPr>
          <w:b/>
          <w:i w:val="0"/>
          <w:strike w:val="0"/>
          <w:color w:val="1155CC"/>
        </w:rPr>
        <w:t>[FR-60]</w:t>
      </w:r>
      <w:r>
        <w:rPr>
          <w:b w:val="0"/>
          <w:i w:val="0"/>
          <w:strike w:val="0"/>
        </w:rPr>
        <w:t xml:space="preserve"> Reports can be downloaded as PDFs. </w:t>
      </w:r>
      <w:r>
        <w:rPr>
          <w:b/>
          <w:i w:val="0"/>
          <w:strike w:val="0"/>
        </w:rPr>
        <w:t>📞 From the 25 Jun FRD Review call:</w:t>
      </w:r>
      <w:r>
        <w:rPr>
          <w:b w:val="0"/>
          <w:i w:val="0"/>
          <w:strike w:val="0"/>
        </w:rPr>
        <w:t xml:space="preserve"> </w:t>
      </w:r>
      <w:r>
        <w:rPr>
          <w:b w:val="0"/>
          <w:i/>
          <w:strike w:val="0"/>
          <w:color w:val="1155CC"/>
        </w:rPr>
        <w:t>Sosinna has a Word/PDF report template to send over — Jomin flagged this as not a blocker, just needs the template attached before the report layout is finalised. Doesn't fully close RP-04 (whether Excel export is also needed) — see Section 15.</w:t>
      </w:r>
      <w:r>
        <w:rPr>
          <w:b w:val="0"/>
          <w:i w:val="0"/>
          <w:strike w:val="0"/>
        </w:rPr>
        <w:t xml:space="preserve"> </w:t>
      </w:r>
      <w:r>
        <w:rPr>
          <w:b w:val="0"/>
          <w:i/>
          <w:strike w:val="0"/>
          <w:color w:val="1155CC"/>
          <w:sz w:val="16"/>
        </w:rPr>
        <w:t xml:space="preserve"> [25 Jun FRD call]</w:t>
      </w:r>
    </w:p>
    <w:p>
      <w:r>
        <w:rPr>
          <w:b/>
          <w:i w:val="0"/>
          <w:strike w:val="0"/>
          <w:color w:val="1155CC"/>
        </w:rPr>
        <w:t>[FR-61]</w:t>
      </w:r>
      <w:r>
        <w:rPr>
          <w:b w:val="0"/>
          <w:i w:val="0"/>
          <w:strike w:val="0"/>
        </w:rPr>
        <w:t xml:space="preserve"> Once a report has been generated and signed off, it is permanently archived exactly as it was. It cannot be changed. If a new issue is found afterwards, it goes into the next testing cycle's report.</w:t>
      </w:r>
    </w:p>
    <w:tbl>
      <w:tblPr>
        <w:tblStyle w:val="TableGrid"/>
        <w:tblW w:type="auto" w:w="0"/>
        <w:tblLook w:firstColumn="1" w:firstRow="1" w:lastColumn="0" w:lastRow="0" w:noHBand="0" w:noVBand="1" w:val="04A0"/>
      </w:tblPr>
      <w:tblGrid>
        <w:gridCol w:w="8640"/>
      </w:tblGrid>
      <w:tr>
        <w:tc>
          <w:tcPr>
            <w:tcW w:type="dxa" w:w="8640"/>
            <w:shd w:val="clear" w:fill="E2EFDA"/>
          </w:tcPr>
          <w:p>
            <w:r/>
            <w:r>
              <w:rPr>
                <w:b/>
                <w:i w:val="0"/>
                <w:strike w:val="0"/>
              </w:rPr>
              <w:t>✅ What we have agreed</w:t>
            </w:r>
            <w:r>
              <w:rPr>
                <w:b w:val="0"/>
                <w:i w:val="0"/>
                <w:strike w:val="0"/>
              </w:rPr>
              <w:t xml:space="preserve"> </w:t>
            </w:r>
            <w:r>
              <w:br/>
            </w:r>
            <w:r>
              <w:rPr>
                <w:b w:val="0"/>
                <w:i w:val="0"/>
                <w:strike w:val="0"/>
              </w:rPr>
              <w:t xml:space="preserve"> • Reports are ControlIQ-branded — not white-labelled with the client firm's own logo. </w:t>
            </w:r>
            <w:r>
              <w:br/>
            </w:r>
            <w:r>
              <w:rPr>
                <w:b w:val="0"/>
                <w:i w:val="0"/>
                <w:strike w:val="0"/>
              </w:rPr>
              <w:t xml:space="preserve"> • The report is an internal document for senior management — it is not designed for direct submission to a national regulator. </w:t>
            </w:r>
            <w:r>
              <w:br/>
            </w:r>
            <w:r>
              <w:rPr>
                <w:b w:val="0"/>
                <w:i w:val="0"/>
                <w:strike w:val="0"/>
              </w:rPr>
              <w:t xml:space="preserve"> • The remediation plan is embedded in the report as a confirmed section, agreed before the report is issued. </w:t>
            </w:r>
            <w:r>
              <w:br/>
            </w:r>
            <w:r>
              <w:rPr>
                <w:b w:val="0"/>
                <w:i w:val="0"/>
                <w:strike w:val="0"/>
              </w:rPr>
              <w:t xml:space="preserve"> • Reports are immutable once signed off.</w:t>
            </w:r>
          </w:p>
        </w:tc>
      </w:tr>
      <w:tr>
        <w:tc>
          <w:tcPr>
            <w:tcW w:type="dxa" w:w="8640"/>
            <w:shd w:val="clear" w:fill="FFF2CC"/>
          </w:tcPr>
          <w:p>
            <w:r/>
            <w:r>
              <w:rPr>
                <w:b/>
                <w:i w:val="0"/>
                <w:strike w:val="0"/>
              </w:rPr>
              <w:t>💬 Questions still to confirm</w:t>
            </w:r>
            <w:r>
              <w:rPr>
                <w:b w:val="0"/>
                <w:i w:val="0"/>
                <w:strike w:val="0"/>
              </w:rPr>
              <w:t xml:space="preserve"> </w:t>
            </w:r>
            <w:r>
              <w:br/>
            </w:r>
            <w:r>
              <w:rPr>
                <w:b w:val="0"/>
                <w:i w:val="0"/>
                <w:strike w:val="0"/>
              </w:rPr>
              <w:t xml:space="preserve"> • </w:t>
            </w:r>
            <w:r>
              <w:rPr>
                <w:b/>
                <w:i w:val="0"/>
                <w:strike w:val="0"/>
              </w:rPr>
              <w:t>Report export (RP-04): PDF is confirmed and a template is coming from Sosinna. Word export is likely (for legal team commentary) but not explicitly confirmed; Excel export for data analysis is still undecided.</w:t>
            </w:r>
            <w:r>
              <w:rPr>
                <w:b w:val="0"/>
                <w:i w:val="0"/>
                <w:strike w:val="0"/>
              </w:rPr>
              <w:t xml:space="preserve"> </w:t>
            </w:r>
            <w:r>
              <w:rPr>
                <w:b w:val="0"/>
                <w:i/>
                <w:strike w:val="0"/>
                <w:color w:val="1155CC"/>
                <w:sz w:val="16"/>
              </w:rPr>
              <w:t xml:space="preserve"> [25 Jun FRD call]</w:t>
            </w:r>
            <w:r>
              <w:rPr>
                <w:b w:val="0"/>
                <w:i w:val="0"/>
                <w:strike w:val="0"/>
              </w:rPr>
              <w:t xml:space="preserve"> </w:t>
            </w:r>
            <w:r>
              <w:br/>
            </w:r>
            <w:r>
              <w:rPr>
                <w:b w:val="0"/>
                <w:i w:val="0"/>
                <w:strike w:val="0"/>
              </w:rPr>
              <w:t xml:space="preserve"> • Regulatory news feed (RE-05): Should this be curated manually by Sosinna's team, collected automatically by scanning official websites, or sourced from a commercial regulatory intelligence service? [Public regulator portals like Banco de Portugal are one candidate source — see Section 9.1 — but this doesn't decide the sourcing model.]</w:t>
            </w:r>
          </w:p>
        </w:tc>
      </w:tr>
    </w:tbl>
    <w:p>
      <w:pPr>
        <w:pStyle w:val="Heading2"/>
      </w:pPr>
      <w:r>
        <w:t>9.3 Glossary and Guidance</w:t>
      </w:r>
    </w:p>
    <w:p>
      <w:r>
        <w:rPr>
          <w:b/>
          <w:i/>
          <w:strike w:val="0"/>
          <w:color w:val="CC00CC"/>
        </w:rPr>
        <w:t>NEW in v8.0 — from the 14 August 2026 client meeting.</w:t>
      </w:r>
      <w:r>
        <w:rPr>
          <w:b w:val="0"/>
          <w:i w:val="0"/>
          <w:strike w:val="0"/>
        </w:rPr>
        <w:t xml:space="preserve"> </w:t>
      </w:r>
      <w:r>
        <w:rPr>
          <w:b w:val="0"/>
          <w:i/>
          <w:strike w:val="0"/>
          <w:color w:val="CC00CC"/>
          <w:sz w:val="16"/>
        </w:rPr>
        <w:t xml:space="preserve"> [14 Aug 2026 MOM]</w:t>
      </w:r>
    </w:p>
    <w:p>
      <w:r>
        <w:rPr>
          <w:b/>
          <w:i w:val="0"/>
          <w:strike w:val="0"/>
          <w:color w:val="1155CC"/>
        </w:rPr>
        <w:t>[FR-137]</w:t>
      </w:r>
      <w:r>
        <w:rPr>
          <w:b w:val="0"/>
          <w:i w:val="0"/>
          <w:strike w:val="0"/>
        </w:rPr>
        <w:t xml:space="preserve"> </w:t>
      </w:r>
      <w:r>
        <w:rPr>
          <w:b/>
          <w:i/>
          <w:strike w:val="0"/>
          <w:color w:val="CC00CC"/>
        </w:rPr>
        <w:t>The firm application has a page showing the glossary and guidance: plain-language definitions of the regulatory and platform terms used across ControlIQ, and guidance notes on how to use the platform's compliance workflows. The content is authored and managed centrally by Sosinna's team through the Portal's glossary management page (SA-25) — firms read it, they do not edit it. The page is available to every logged-in firm role.</w:t>
      </w:r>
      <w:r>
        <w:rPr>
          <w:b w:val="0"/>
          <w:i w:val="0"/>
          <w:strike w:val="0"/>
        </w:rPr>
        <w:t xml:space="preserve"> </w:t>
      </w:r>
      <w:r>
        <w:rPr>
          <w:b w:val="0"/>
          <w:i/>
          <w:strike w:val="0"/>
          <w:color w:val="CC00CC"/>
          <w:sz w:val="16"/>
        </w:rPr>
        <w:t xml:space="preserve"> [14 Aug 2026 MOM]</w:t>
      </w:r>
    </w:p>
    <w:p>
      <w:pPr>
        <w:pStyle w:val="Heading1"/>
      </w:pPr>
      <w:r>
        <w:t>10. Organisation and Staff</w:t>
      </w:r>
    </w:p>
    <w:p>
      <w:r>
        <w:rPr>
          <w:b w:val="0"/>
          <w:i w:val="0"/>
          <w:strike w:val="0"/>
        </w:rPr>
        <w:t>The Organisation and Staff module is the firm's governance directory. It is not a HR system — the firm will continue to manage HR elsewhere. What this module does is capture the specific governance information that MiCA and DORA require to be documented: who holds which compliance role, whether their qualifications are current, who reports to whom, what communication channels they are approved to use with clients, what hardware they have been issued, and who calls whom in an emergency.</w:t>
      </w:r>
    </w:p>
    <w:p>
      <w:r>
        <w:rPr>
          <w:b w:val="0"/>
          <w:i w:val="0"/>
          <w:strike w:val="0"/>
        </w:rPr>
        <w:t>There are two types of records here. The first is Platform Users — team members who have a login to ControlIQ. The second is Staff Members — any employee who needs to appear in the org chart, the emergency contact chain, or the qualifications register, but who does not have a platform login and cannot take any action in the system. Both types are tracked here.</w:t>
      </w:r>
    </w:p>
    <w:p>
      <w:pPr>
        <w:pStyle w:val="Heading2"/>
      </w:pPr>
      <w:r>
        <w:t>10.1 Adding and Managing Staff</w:t>
      </w:r>
    </w:p>
    <w:p>
      <w:r>
        <w:rPr>
          <w:b/>
          <w:i w:val="0"/>
          <w:strike w:val="0"/>
          <w:color w:val="1155CC"/>
        </w:rPr>
        <w:t>[FR-62]</w:t>
      </w:r>
      <w:r>
        <w:rPr>
          <w:b w:val="0"/>
          <w:i w:val="0"/>
          <w:strike w:val="0"/>
        </w:rPr>
        <w:t xml:space="preserve"> Staff can be added in bulk using a CSV upload (the platform provides the template, which follows the format of the source compliance spreadsheet). </w:t>
      </w:r>
      <w:r>
        <w:rPr>
          <w:b w:val="0"/>
          <w:i w:val="0"/>
          <w:strike/>
        </w:rPr>
        <w:t>They can also be added one at a time manually.</w:t>
      </w:r>
      <w:r>
        <w:rPr>
          <w:b w:val="0"/>
          <w:i w:val="0"/>
          <w:strike w:val="0"/>
        </w:rPr>
        <w:t xml:space="preserve"> Integration with HR systems like Workday is not in scope for the first version. </w:t>
      </w:r>
      <w:r>
        <w:rPr>
          <w:b/>
          <w:i/>
          <w:strike w:val="0"/>
          <w:color w:val="CC00CC"/>
        </w:rPr>
        <w:t>REVISED in v8.0: the option to manually add a person to the organisation is removed — the spreadsheet upload is the only entry route. The struck-through sentence is kept for context under the supersession convention. Corrections to an individual record after upload are still made in place (FR-121 has the firm fixing gaps "in place"); what is removed is creating a new person by hand. This applies wherever staff enter the platform, including the onboarding capture in FR-120.</w:t>
      </w:r>
      <w:r>
        <w:rPr>
          <w:b w:val="0"/>
          <w:i w:val="0"/>
          <w:strike w:val="0"/>
        </w:rPr>
        <w:t xml:space="preserve"> </w:t>
      </w:r>
      <w:r>
        <w:rPr>
          <w:b w:val="0"/>
          <w:i/>
          <w:strike w:val="0"/>
          <w:color w:val="CC00CC"/>
          <w:sz w:val="16"/>
        </w:rPr>
        <w:t xml:space="preserve"> [14 Aug 2026 MOM]</w:t>
      </w:r>
    </w:p>
    <w:p>
      <w:r>
        <w:rPr>
          <w:b/>
          <w:i w:val="0"/>
          <w:strike w:val="0"/>
          <w:color w:val="1155CC"/>
        </w:rPr>
        <w:t>[FR-63]</w:t>
      </w:r>
      <w:r>
        <w:rPr>
          <w:b w:val="0"/>
          <w:i w:val="0"/>
          <w:strike w:val="0"/>
        </w:rPr>
        <w:t xml:space="preserve"> Each staff record captures: name, job title, custom firm role, department, reporting line (who they report to), professional licences and certifications with their expiry dates, the communication channels they are approved to use with clients, the hardware devices they have been issued (device type, serial number, asset tag), and their alternate work location for Business Continuity purposes.</w:t>
      </w:r>
    </w:p>
    <w:p>
      <w:r>
        <w:rPr>
          <w:b/>
          <w:i w:val="0"/>
          <w:strike w:val="0"/>
          <w:color w:val="1155CC"/>
        </w:rPr>
        <w:t>[FR-101]</w:t>
      </w:r>
      <w:r>
        <w:rPr>
          <w:b w:val="0"/>
          <w:i w:val="0"/>
          <w:strike w:val="0"/>
        </w:rPr>
        <w:t xml:space="preserve"> </w:t>
      </w:r>
      <w:r>
        <w:rPr>
          <w:b/>
          <w:i/>
          <w:strike w:val="0"/>
          <w:color w:val="7030A0"/>
        </w:rPr>
        <w:t>Every staff record carries an explicit flag for whether that person holds system entitlements — that is, whether they have a login to ControlIQ. The organisation chart tracks the firm's whole headcount (the client's worked example: 42 staff members) while identifying the subset that are platform users (in that example, 9). Headcount and entitlement count are reported separately and never conflated: seat-based pricing under CC-01 is set on entitlements, not headcount.</w:t>
      </w:r>
      <w:r>
        <w:rPr>
          <w:b w:val="0"/>
          <w:i w:val="0"/>
          <w:strike w:val="0"/>
        </w:rPr>
        <w:t xml:space="preserve"> </w:t>
      </w:r>
      <w:r>
        <w:rPr>
          <w:b w:val="0"/>
          <w:i/>
          <w:strike w:val="0"/>
          <w:color w:val="7030A0"/>
          <w:sz w:val="16"/>
        </w:rPr>
        <w:t xml:space="preserve"> [Aug 2026 client MOM]</w:t>
      </w:r>
    </w:p>
    <w:p>
      <w:r>
        <w:rPr>
          <w:b/>
          <w:i w:val="0"/>
          <w:strike w:val="0"/>
          <w:color w:val="1155CC"/>
        </w:rPr>
        <w:t>[FR-64]</w:t>
      </w:r>
      <w:r>
        <w:rPr>
          <w:b w:val="0"/>
          <w:i w:val="0"/>
          <w:strike w:val="0"/>
        </w:rPr>
        <w:t xml:space="preserve"> A single person can hold multiple roles — for example, in smaller firms it is common for one person to be both the CCO and the Money Laundering Reporting Officer (MLRO). The platform handles this without creating duplicate records.</w:t>
      </w:r>
    </w:p>
    <w:p>
      <w:pPr>
        <w:pStyle w:val="Heading2"/>
      </w:pPr>
      <w:r>
        <w:t>10.2 The Org Chart</w:t>
      </w:r>
    </w:p>
    <w:p>
      <w:r>
        <w:rPr>
          <w:b/>
          <w:i w:val="0"/>
          <w:strike w:val="0"/>
          <w:color w:val="1155CC"/>
        </w:rPr>
        <w:t>[FR-65]</w:t>
      </w:r>
      <w:r>
        <w:rPr>
          <w:b w:val="0"/>
          <w:i w:val="0"/>
          <w:strike w:val="0"/>
        </w:rPr>
        <w:t xml:space="preserve"> The platform generates a visual org chart — a proper interactive tree diagram showing who reports to whom — automatically from the reporting line fields in the staff records. The firm does not draw the org chart manually. They add their team members with their manager's name, and the platform builds the chart.</w:t>
      </w:r>
    </w:p>
    <w:p>
      <w:r>
        <w:rPr>
          <w:b/>
          <w:i w:val="0"/>
          <w:strike w:val="0"/>
          <w:color w:val="1155CC"/>
        </w:rPr>
        <w:t>[FR-66]</w:t>
      </w:r>
      <w:r>
        <w:rPr>
          <w:b w:val="0"/>
          <w:i w:val="0"/>
          <w:strike w:val="0"/>
        </w:rPr>
        <w:t xml:space="preserve"> The CCO's reporting line is highlighted in the org chart. If the platform detects that the CCO reports to a revenue function (such as Sales or Trading) rather than directly to the Management Body or Board, it flags this as a governance red flag — because MiCA Art. 68(2) requires the compliance function to be independent.</w:t>
      </w:r>
    </w:p>
    <w:p>
      <w:r>
        <w:rPr>
          <w:b/>
          <w:i w:val="0"/>
          <w:strike w:val="0"/>
          <w:color w:val="1155CC"/>
        </w:rPr>
        <w:t>[FR-139]</w:t>
      </w:r>
      <w:r>
        <w:rPr>
          <w:b w:val="0"/>
          <w:i w:val="0"/>
          <w:strike w:val="0"/>
        </w:rPr>
        <w:t xml:space="preserve"> </w:t>
      </w:r>
      <w:r>
        <w:rPr>
          <w:b/>
          <w:i/>
          <w:strike w:val="0"/>
          <w:color w:val="CC00CC"/>
        </w:rPr>
        <w:t xml:space="preserve">Org chart level changes — uploading a new staff spreadsheet, changing reporting lines, editing staff records — require the </w:t>
      </w:r>
      <w:r>
        <w:rPr>
          <w:b/>
          <w:i/>
          <w:strike w:val="0"/>
          <w:color w:val="CC00CC"/>
        </w:rPr>
        <w:t>"Firm Admin"</w:t>
      </w:r>
      <w:r>
        <w:rPr>
          <w:b/>
          <w:i/>
          <w:strike w:val="0"/>
          <w:color w:val="CC00CC"/>
        </w:rPr>
        <w:t xml:space="preserve"> role. Other firm roles see the org chart and its analytics read-only. The role named in the minutes is "Firm Admin"; this document reads it as the existing Firm Super Admin system role under the client's name for it, since a ninth system role was not proposed — confirmed as open question UM-01.</w:t>
      </w:r>
      <w:r>
        <w:rPr>
          <w:b w:val="0"/>
          <w:i w:val="0"/>
          <w:strike w:val="0"/>
        </w:rPr>
        <w:t xml:space="preserve"> </w:t>
      </w:r>
      <w:r>
        <w:rPr>
          <w:b w:val="0"/>
          <w:i/>
          <w:strike w:val="0"/>
          <w:color w:val="CC00CC"/>
          <w:sz w:val="16"/>
        </w:rPr>
        <w:t xml:space="preserve"> [14 Aug 2026 MOM]</w:t>
      </w:r>
    </w:p>
    <w:p>
      <w:pPr>
        <w:pStyle w:val="Heading2"/>
      </w:pPr>
      <w:r>
        <w:t>10.3 Qualifications and Fit &amp; Proper</w:t>
      </w:r>
    </w:p>
    <w:p>
      <w:r>
        <w:rPr>
          <w:b/>
          <w:i w:val="0"/>
          <w:strike w:val="0"/>
          <w:color w:val="1155CC"/>
        </w:rPr>
        <w:t>[FR-67]</w:t>
      </w:r>
      <w:r>
        <w:rPr>
          <w:b w:val="0"/>
          <w:i w:val="0"/>
          <w:strike w:val="0"/>
        </w:rPr>
        <w:t xml:space="preserve"> Professional licences and certifications tracked in the system have expiry dates. The platform sends automatic reminders at 30 days, 14 days, and 1 day before any certification is due to lapse — to the individual, their manager, and the CCO. An expired certification marks the staff member's record as non-compliant in the system.</w:t>
      </w:r>
    </w:p>
    <w:p>
      <w:pPr>
        <w:pStyle w:val="Heading2"/>
      </w:pPr>
      <w:r>
        <w:t>10.4 Communication Channels</w:t>
      </w:r>
    </w:p>
    <w:p>
      <w:r>
        <w:rPr>
          <w:b/>
          <w:i w:val="0"/>
          <w:strike w:val="0"/>
          <w:color w:val="1155CC"/>
        </w:rPr>
        <w:t>[FR-68]</w:t>
      </w:r>
      <w:r>
        <w:rPr>
          <w:b w:val="0"/>
          <w:i w:val="0"/>
          <w:strike w:val="0"/>
        </w:rPr>
        <w:t xml:space="preserve"> MiCA requires firms to use only approved, monitorable communication channels when communicating with clients — and to record which channels each team member is using. Each staff record includes an assignment of their approved channels (for example: corporate email, Bloomberg Chat, recorded phone line). If a staff member has no channel assigned, the record is flagged as a compliance gap.</w:t>
      </w:r>
    </w:p>
    <w:p>
      <w:r>
        <w:rPr>
          <w:b/>
          <w:i w:val="0"/>
          <w:strike w:val="0"/>
        </w:rPr>
        <w:t>📞 From the 25 Jun call (OS-02 answer):</w:t>
      </w:r>
      <w:r>
        <w:rPr>
          <w:b w:val="0"/>
          <w:i w:val="0"/>
          <w:strike w:val="0"/>
        </w:rPr>
        <w:t xml:space="preserve"> </w:t>
      </w:r>
      <w:r>
        <w:rPr>
          <w:b w:val="0"/>
          <w:i/>
          <w:strike w:val="0"/>
          <w:color w:val="1155CC"/>
        </w:rPr>
        <w:t>not a fixed platform-wide dropdown. Channel usage varies too much between roles (sales might use 20 different tools; back-office might only use email) to hardcode. Instead: the firm's IT team provides their channel list at onboarding, ingested via bulk CSV. On import, the platform validates entries against that firm-specific reference list and flags mismatches (e.g. "mail" vs "email", a misspelled tool name) so the admin can correct or explicitly override them. This resolves OS-02 in Section 15 below.</w:t>
      </w:r>
      <w:r>
        <w:rPr>
          <w:b w:val="0"/>
          <w:i w:val="0"/>
          <w:strike w:val="0"/>
        </w:rPr>
        <w:t xml:space="preserve"> </w:t>
      </w:r>
      <w:r>
        <w:rPr>
          <w:b w:val="0"/>
          <w:i/>
          <w:strike w:val="0"/>
          <w:color w:val="1155CC"/>
          <w:sz w:val="16"/>
        </w:rPr>
        <w:t xml:space="preserve"> [25 Jun FRD call]</w:t>
      </w:r>
    </w:p>
    <w:p>
      <w:pPr>
        <w:pStyle w:val="Heading2"/>
      </w:pPr>
      <w:r>
        <w:t>10.5 Hardware and Business Continuity</w:t>
      </w:r>
    </w:p>
    <w:p>
      <w:r>
        <w:rPr>
          <w:b/>
          <w:i w:val="0"/>
          <w:strike w:val="0"/>
          <w:color w:val="1155CC"/>
        </w:rPr>
        <w:t>[FR-69]</w:t>
      </w:r>
      <w:r>
        <w:rPr>
          <w:b w:val="0"/>
          <w:i w:val="0"/>
          <w:strike w:val="0"/>
        </w:rPr>
        <w:t xml:space="preserve"> Each staff member's issued hardware is recorded — device type, serial number, and asset tag. This is required for DORA IT risk management.</w:t>
      </w:r>
    </w:p>
    <w:p>
      <w:r>
        <w:rPr>
          <w:b/>
          <w:i w:val="0"/>
          <w:strike w:val="0"/>
          <w:color w:val="1155CC"/>
        </w:rPr>
        <w:t>[FR-70]</w:t>
      </w:r>
      <w:r>
        <w:rPr>
          <w:b w:val="0"/>
          <w:i w:val="0"/>
          <w:strike w:val="0"/>
        </w:rPr>
        <w:t xml:space="preserve"> Each staff member is assigned one 'next contact' in the Business Continuity call tree — meaning if an emergency occurs and the firm needs to reach everyone, there is a clear, unbroken chain of contacts. The platform flags if any link in the chain is missing. </w:t>
      </w:r>
      <w:r>
        <w:rPr>
          <w:b/>
          <w:i/>
          <w:strike w:val="0"/>
          <w:color w:val="843C0C"/>
        </w:rPr>
        <w:t>v7.0: the call tree is now first captured during onboarding, and this check runs there too — see Section 5.6, FR-120 to FR-122. Same rule, one implementation, two entry points. A gap the firm acknowledged as legitimate at onboarding (FR-122) shows here as an acknowledged exception rather than an open flag.</w:t>
      </w:r>
      <w:r>
        <w:rPr>
          <w:b w:val="0"/>
          <w:i w:val="0"/>
          <w:strike w:val="0"/>
        </w:rPr>
        <w:t xml:space="preserve"> </w:t>
      </w:r>
      <w:r>
        <w:rPr>
          <w:b w:val="0"/>
          <w:i/>
          <w:strike w:val="0"/>
          <w:color w:val="843C0C"/>
          <w:sz w:val="16"/>
        </w:rPr>
        <w:t xml:space="preserve"> [Aug 2026 onboarding flow]</w:t>
      </w:r>
    </w:p>
    <w:p>
      <w:r>
        <w:rPr>
          <w:b/>
          <w:i/>
          <w:strike w:val="0"/>
          <w:color w:val="CC00CC"/>
        </w:rPr>
        <w:t xml:space="preserve">DESCOPED in v8.0: there is </w:t>
      </w:r>
      <w:r>
        <w:rPr>
          <w:b/>
          <w:i/>
          <w:strike w:val="0"/>
          <w:color w:val="CC00CC"/>
        </w:rPr>
        <w:t>no page displaying the org call tree</w:t>
      </w:r>
      <w:r>
        <w:rPr>
          <w:b/>
          <w:i/>
          <w:strike w:val="0"/>
          <w:color w:val="CC00CC"/>
        </w:rPr>
        <w:t>. The call tree is captured (FR-120), gap-checked (FR-70, FR-121) and its gaps and exceptions are reported in the Section 10.6 analytics — but a visual rendering of the tree itself is deliberately not built. This is recorded so the FR-65 interactive org chart is not extended to the call tree by assumption: the org chart (reporting lines) is visualised; the call tree (emergency contacts) is not.</w:t>
      </w:r>
      <w:r>
        <w:rPr>
          <w:b w:val="0"/>
          <w:i w:val="0"/>
          <w:strike w:val="0"/>
        </w:rPr>
        <w:t xml:space="preserve"> </w:t>
      </w:r>
      <w:r>
        <w:rPr>
          <w:b w:val="0"/>
          <w:i/>
          <w:strike w:val="0"/>
          <w:color w:val="CC00CC"/>
          <w:sz w:val="16"/>
        </w:rPr>
        <w:t xml:space="preserve"> [14 Aug 2026 MOM]</w:t>
      </w:r>
    </w:p>
    <w:p>
      <w:pPr>
        <w:pStyle w:val="Heading2"/>
      </w:pPr>
      <w:r>
        <w:t>10.6 Organisation Chart Analytics</w:t>
      </w:r>
    </w:p>
    <w:p>
      <w:r>
        <w:rPr>
          <w:b/>
          <w:i/>
          <w:strike w:val="0"/>
          <w:color w:val="7030A0"/>
        </w:rPr>
        <w:t>NEW in v5.0 — from the August 2026 client meeting</w:t>
      </w:r>
      <w:r>
        <w:rPr>
          <w:b w:val="0"/>
          <w:i w:val="0"/>
          <w:strike w:val="0"/>
        </w:rPr>
        <w:t xml:space="preserve"> </w:t>
      </w:r>
      <w:r>
        <w:rPr>
          <w:b w:val="0"/>
          <w:i/>
          <w:strike w:val="0"/>
          <w:color w:val="7030A0"/>
          <w:sz w:val="16"/>
        </w:rPr>
        <w:t xml:space="preserve"> [Aug 2026 client MOM]</w:t>
      </w:r>
    </w:p>
    <w:p>
      <w:r>
        <w:rPr>
          <w:b w:val="0"/>
          <w:i w:val="0"/>
          <w:strike w:val="0"/>
        </w:rPr>
        <w:t>The org chart is not only a picture of who reports to whom. The meeting asked for a dashboard over it that surfaces governance defects the firm would otherwise have to hunt for by eye.</w:t>
      </w:r>
    </w:p>
    <w:p>
      <w:r>
        <w:rPr>
          <w:b/>
          <w:i w:val="0"/>
          <w:strike w:val="0"/>
          <w:color w:val="1155CC"/>
        </w:rPr>
        <w:t>[FR-102]</w:t>
      </w:r>
      <w:r>
        <w:rPr>
          <w:b w:val="0"/>
          <w:i w:val="0"/>
          <w:strike w:val="0"/>
        </w:rPr>
        <w:t xml:space="preserve"> </w:t>
      </w:r>
      <w:r>
        <w:rPr>
          <w:b/>
          <w:i/>
          <w:strike w:val="0"/>
          <w:color w:val="7030A0"/>
        </w:rPr>
        <w:t>The organisation chart has its own analytics dashboard tracking, at minimum: total headcount; how many of those hold system entitlements (FR-101); employees with no reporting manager assigned; staff records with no approved communication channel assigned (the FR-68 gap, counted rather than only flagged per record); and total hardware assigned across the firm (FR-69). Each metric is clickable through to the list of records behind it, so the number is actionable rather than decorative.</w:t>
      </w:r>
      <w:r>
        <w:rPr>
          <w:b w:val="0"/>
          <w:i w:val="0"/>
          <w:strike w:val="0"/>
        </w:rPr>
        <w:t xml:space="preserve"> </w:t>
      </w:r>
      <w:r>
        <w:rPr>
          <w:b w:val="0"/>
          <w:i/>
          <w:strike w:val="0"/>
          <w:color w:val="7030A0"/>
          <w:sz w:val="16"/>
        </w:rPr>
        <w:t xml:space="preserve"> [Aug 2026 client MOM]</w:t>
      </w:r>
    </w:p>
    <w:p>
      <w:r>
        <w:rPr>
          <w:b/>
          <w:i w:val="0"/>
          <w:strike w:val="0"/>
          <w:color w:val="1155CC"/>
        </w:rPr>
        <w:t>[FR-103]</w:t>
      </w:r>
      <w:r>
        <w:rPr>
          <w:b w:val="0"/>
          <w:i w:val="0"/>
          <w:strike w:val="0"/>
        </w:rPr>
        <w:t xml:space="preserve"> </w:t>
      </w:r>
      <w:r>
        <w:rPr>
          <w:b/>
          <w:i/>
          <w:strike w:val="0"/>
          <w:color w:val="7030A0"/>
        </w:rPr>
        <w:t>The existing per-record governance flags feed these counts: the FR-66 CCO independence red flag, the FR-67 expired-certification flag, the FR-68 missing-channel flag, and the FR-70 broken call-tree link. The dashboard is a roll-up of checks the platform already runs — it does not introduce a second, separate rule set.</w:t>
      </w:r>
      <w:r>
        <w:rPr>
          <w:b w:val="0"/>
          <w:i w:val="0"/>
          <w:strike w:val="0"/>
        </w:rPr>
        <w:t xml:space="preserve"> </w:t>
      </w:r>
      <w:r>
        <w:rPr>
          <w:b w:val="0"/>
          <w:i/>
          <w:strike w:val="0"/>
          <w:color w:val="7030A0"/>
          <w:sz w:val="16"/>
        </w:rPr>
        <w:t xml:space="preserve"> [Aug 2026 client MOM]</w:t>
      </w:r>
    </w:p>
    <w:p>
      <w:r>
        <w:rPr>
          <w:b/>
          <w:i w:val="0"/>
          <w:strike w:val="0"/>
          <w:color w:val="1155CC"/>
        </w:rPr>
        <w:t>[FR-116]</w:t>
      </w:r>
      <w:r>
        <w:rPr>
          <w:b w:val="0"/>
          <w:i w:val="0"/>
          <w:strike w:val="0"/>
        </w:rPr>
        <w:t xml:space="preserve"> </w:t>
      </w:r>
      <w:r>
        <w:rPr>
          <w:b/>
          <w:i/>
          <w:strike w:val="0"/>
          <w:color w:val="008080"/>
        </w:rPr>
        <w:t>Alongside the counts, the dashboard carries a directory of every employee on record, with the compliance-specific staff visually distinguished from the rest of the workforce — the people holding a compliance function under MiCA or DORA, not merely the people with a login. The directory is filterable and is the list the FR-102 metrics click through into, so a count and the names behind it are the same object viewed two ways.</w:t>
      </w:r>
      <w:r>
        <w:rPr>
          <w:b w:val="0"/>
          <w:i w:val="0"/>
          <w:strike w:val="0"/>
        </w:rPr>
        <w:t xml:space="preserve"> </w:t>
      </w:r>
      <w:r>
        <w:rPr>
          <w:b w:val="0"/>
          <w:i/>
          <w:strike w:val="0"/>
          <w:color w:val="008080"/>
          <w:sz w:val="16"/>
        </w:rPr>
        <w:t xml:space="preserve"> [11 Aug 2026 MOM]</w:t>
      </w:r>
    </w:p>
    <w:tbl>
      <w:tblPr>
        <w:tblStyle w:val="TableGrid"/>
        <w:tblW w:type="auto" w:w="0"/>
        <w:tblLook w:firstColumn="1" w:firstRow="1" w:lastColumn="0" w:lastRow="0" w:noHBand="0" w:noVBand="1" w:val="04A0"/>
      </w:tblPr>
      <w:tblGrid>
        <w:gridCol w:w="8640"/>
      </w:tblGrid>
      <w:tr>
        <w:tc>
          <w:tcPr>
            <w:tcW w:type="dxa" w:w="8640"/>
            <w:shd w:val="clear" w:fill="E2EFDA"/>
          </w:tcPr>
          <w:p>
            <w:r>
              <w:rPr>
                <w:b/>
                <w:i w:val="0"/>
                <w:strike w:val="0"/>
              </w:rPr>
              <w:t>CONFIRMED</w:t>
            </w:r>
            <w:r>
              <w:rPr>
                <w:b w:val="0"/>
                <w:i w:val="0"/>
                <w:strike w:val="0"/>
              </w:rPr>
              <w:t xml:space="preserve"> </w:t>
            </w:r>
            <w:r>
              <w:rPr>
                <w:b w:val="0"/>
                <w:i/>
                <w:strike w:val="0"/>
              </w:rPr>
              <w:t>(green — agreed 11 Aug 2026)</w:t>
            </w:r>
          </w:p>
          <w:p>
            <w:r>
              <w:rPr>
                <w:b/>
                <w:i w:val="0"/>
                <w:strike w:val="0"/>
              </w:rPr>
              <w:t>✅ What we have agreed</w:t>
            </w:r>
          </w:p>
          <w:p>
            <w:pPr>
              <w:pStyle w:val="ListBullet"/>
            </w:pPr>
            <w:r>
              <w:rPr>
                <w:b/>
                <w:i/>
                <w:strike w:val="0"/>
                <w:color w:val="008080"/>
              </w:rPr>
              <w:t>The dashboard shows a directory of all employees, highlighting compliance-specific staff (FR-116).</w:t>
            </w:r>
            <w:r>
              <w:rPr>
                <w:b w:val="0"/>
                <w:i w:val="0"/>
                <w:strike w:val="0"/>
              </w:rPr>
              <w:t xml:space="preserve"> </w:t>
            </w:r>
            <w:r>
              <w:rPr>
                <w:b w:val="0"/>
                <w:i/>
                <w:strike w:val="0"/>
                <w:color w:val="008080"/>
                <w:sz w:val="16"/>
              </w:rPr>
              <w:t xml:space="preserve"> [11 Aug 2026 MOM]</w:t>
            </w:r>
          </w:p>
          <w:p>
            <w:pPr>
              <w:pStyle w:val="ListBullet"/>
            </w:pPr>
            <w:r>
              <w:rPr>
                <w:b/>
                <w:i/>
                <w:strike w:val="0"/>
                <w:color w:val="008080"/>
              </w:rPr>
              <w:t>Analytics on that directory include employees missing a reporting manager and employees missing a communication channel. Confirms FR-102 unchanged — the client named the same two defects.</w:t>
            </w:r>
            <w:r>
              <w:rPr>
                <w:b w:val="0"/>
                <w:i w:val="0"/>
                <w:strike w:val="0"/>
              </w:rPr>
              <w:t xml:space="preserve"> </w:t>
            </w:r>
            <w:r>
              <w:rPr>
                <w:b w:val="0"/>
                <w:i/>
                <w:strike w:val="0"/>
                <w:color w:val="008080"/>
                <w:sz w:val="16"/>
              </w:rPr>
              <w:t xml:space="preserve"> [11 Aug 2026 MOM]</w:t>
            </w:r>
          </w:p>
          <w:p>
            <w:pPr>
              <w:pStyle w:val="ListBullet"/>
            </w:pPr>
            <w:r>
              <w:rPr>
                <w:b/>
                <w:i/>
                <w:strike w:val="0"/>
                <w:color w:val="843C0C"/>
              </w:rPr>
              <w:t>v7.0: the missing-reporting-manager and broken-call-tree checks now also run at onboarding (FR-121), so a firm arrives at its first login having already seen and dealt with them. This dashboard reports the ongoing position; onboarding is where the baseline is set. Gaps the firm acknowledged as legitimate under FR-122 are counted as exceptions here, separately from unresolved gaps — a chief executive with no reporting manager should not sit in the same number as an oversight.</w:t>
            </w:r>
            <w:r>
              <w:rPr>
                <w:b w:val="0"/>
                <w:i w:val="0"/>
                <w:strike w:val="0"/>
              </w:rPr>
              <w:t xml:space="preserve"> </w:t>
            </w:r>
            <w:r>
              <w:rPr>
                <w:b w:val="0"/>
                <w:i/>
                <w:strike w:val="0"/>
                <w:color w:val="843C0C"/>
                <w:sz w:val="16"/>
              </w:rPr>
              <w:t xml:space="preserve"> [Aug 2026 onboarding flow]</w:t>
            </w:r>
          </w:p>
        </w:tc>
      </w:tr>
    </w:tbl>
    <w:p>
      <w:pPr>
        <w:pStyle w:val="Heading2"/>
      </w:pPr>
      <w:r>
        <w:t>10.7 Distribution Lists</w:t>
      </w:r>
    </w:p>
    <w:p>
      <w:r>
        <w:rPr>
          <w:b w:val="0"/>
          <w:i w:val="0"/>
          <w:strike w:val="0"/>
        </w:rPr>
        <w:t>The CCO configures six email distribution lists — these define who is automatically notified when specific events happen. These lists are managed here rather than in a notification settings screen, because they are governance decisions (who needs to know what) rather than personal preferences.</w:t>
      </w:r>
    </w:p>
    <w:tbl>
      <w:tblPr>
        <w:tblStyle w:val="TableGrid"/>
        <w:tblW w:type="auto" w:w="0"/>
        <w:tblLook w:firstColumn="1" w:firstRow="1" w:lastColumn="0" w:lastRow="0" w:noHBand="0" w:noVBand="1" w:val="04A0"/>
      </w:tblPr>
      <w:tblGrid>
        <w:gridCol w:w="4320"/>
        <w:gridCol w:w="4320"/>
      </w:tblGrid>
      <w:tr>
        <w:tc>
          <w:tcPr>
            <w:tcW w:type="dxa" w:w="4320"/>
            <w:shd w:val="clear" w:fill="1F4E79"/>
          </w:tcPr>
          <w:p>
            <w:r>
              <w:rPr>
                <w:b/>
                <w:color w:val="FFFFFF"/>
              </w:rPr>
            </w:r>
            <w:r>
              <w:rPr>
                <w:b/>
                <w:i w:val="0"/>
                <w:strike w:val="0"/>
                <w:color w:val="FFFFFF"/>
              </w:rPr>
              <w:t>List</w:t>
            </w:r>
          </w:p>
        </w:tc>
        <w:tc>
          <w:tcPr>
            <w:tcW w:type="dxa" w:w="4320"/>
            <w:shd w:val="clear" w:fill="1F4E79"/>
          </w:tcPr>
          <w:p>
            <w:r>
              <w:rPr>
                <w:b/>
                <w:color w:val="FFFFFF"/>
              </w:rPr>
            </w:r>
            <w:r>
              <w:rPr>
                <w:b/>
                <w:i w:val="0"/>
                <w:strike w:val="0"/>
                <w:color w:val="FFFFFF"/>
              </w:rPr>
              <w:t>When it fires</w:t>
            </w:r>
          </w:p>
        </w:tc>
      </w:tr>
      <w:tr>
        <w:tc>
          <w:tcPr>
            <w:tcW w:type="dxa" w:w="4320"/>
          </w:tcPr>
          <w:p>
            <w:r/>
            <w:r>
              <w:rPr>
                <w:b w:val="0"/>
                <w:i w:val="0"/>
                <w:strike w:val="0"/>
              </w:rPr>
              <w:t>Compliance Testing Reports</w:t>
            </w:r>
          </w:p>
        </w:tc>
        <w:tc>
          <w:tcPr>
            <w:tcW w:type="dxa" w:w="4320"/>
          </w:tcPr>
          <w:p>
            <w:r/>
            <w:r>
              <w:rPr>
                <w:b w:val="0"/>
                <w:i w:val="0"/>
                <w:strike w:val="0"/>
              </w:rPr>
              <w:t>When a completed report is issued</w:t>
            </w:r>
          </w:p>
        </w:tc>
      </w:tr>
      <w:tr>
        <w:tc>
          <w:tcPr>
            <w:tcW w:type="dxa" w:w="4320"/>
          </w:tcPr>
          <w:p>
            <w:r/>
            <w:r>
              <w:rPr>
                <w:b w:val="0"/>
                <w:i w:val="0"/>
                <w:strike w:val="0"/>
              </w:rPr>
              <w:t>Regulatory Organisation Responses</w:t>
            </w:r>
          </w:p>
        </w:tc>
        <w:tc>
          <w:tcPr>
            <w:tcW w:type="dxa" w:w="4320"/>
          </w:tcPr>
          <w:p>
            <w:r/>
            <w:r>
              <w:rPr>
                <w:b w:val="0"/>
                <w:i w:val="0"/>
                <w:strike w:val="0"/>
              </w:rPr>
              <w:t>When a regulator publishes a report identifying violations that require a formal firm response</w:t>
            </w:r>
          </w:p>
        </w:tc>
      </w:tr>
      <w:tr>
        <w:tc>
          <w:tcPr>
            <w:tcW w:type="dxa" w:w="4320"/>
          </w:tcPr>
          <w:p>
            <w:r/>
            <w:r>
              <w:rPr>
                <w:b w:val="0"/>
                <w:i w:val="0"/>
                <w:strike w:val="0"/>
              </w:rPr>
              <w:t>Regulatory Organisation Requests</w:t>
            </w:r>
          </w:p>
        </w:tc>
        <w:tc>
          <w:tcPr>
            <w:tcW w:type="dxa" w:w="4320"/>
          </w:tcPr>
          <w:p>
            <w:r/>
            <w:r>
              <w:rPr>
                <w:b w:val="0"/>
                <w:i w:val="0"/>
                <w:strike w:val="0"/>
              </w:rPr>
              <w:t>When a regulatory body requests records — typically ahead of or during an investigation</w:t>
            </w:r>
          </w:p>
        </w:tc>
      </w:tr>
      <w:tr>
        <w:tc>
          <w:tcPr>
            <w:tcW w:type="dxa" w:w="4320"/>
          </w:tcPr>
          <w:p>
            <w:r/>
            <w:r>
              <w:rPr>
                <w:b w:val="0"/>
                <w:i w:val="0"/>
                <w:strike w:val="0"/>
              </w:rPr>
              <w:t>Remediation Plan Deadlines</w:t>
            </w:r>
          </w:p>
        </w:tc>
        <w:tc>
          <w:tcPr>
            <w:tcW w:type="dxa" w:w="4320"/>
          </w:tcPr>
          <w:p>
            <w:r/>
            <w:r>
              <w:rPr>
                <w:b w:val="0"/>
                <w:i w:val="0"/>
                <w:strike w:val="0"/>
              </w:rPr>
              <w:t>When a remediation milestone is approaching or has been missed</w:t>
            </w:r>
          </w:p>
        </w:tc>
      </w:tr>
      <w:tr>
        <w:tc>
          <w:tcPr>
            <w:tcW w:type="dxa" w:w="4320"/>
          </w:tcPr>
          <w:p>
            <w:r/>
            <w:r>
              <w:rPr>
                <w:b w:val="0"/>
                <w:i w:val="0"/>
                <w:strike w:val="0"/>
              </w:rPr>
              <w:t>New Rules or Guidance</w:t>
            </w:r>
          </w:p>
        </w:tc>
        <w:tc>
          <w:tcPr>
            <w:tcW w:type="dxa" w:w="4320"/>
          </w:tcPr>
          <w:p>
            <w:r/>
            <w:r>
              <w:rPr>
                <w:b w:val="0"/>
                <w:i w:val="0"/>
                <w:strike w:val="0"/>
              </w:rPr>
              <w:t>When a regulatory update is detected and takes effect</w:t>
            </w:r>
          </w:p>
        </w:tc>
      </w:tr>
      <w:tr>
        <w:tc>
          <w:tcPr>
            <w:tcW w:type="dxa" w:w="4320"/>
          </w:tcPr>
          <w:p>
            <w:r/>
            <w:r>
              <w:rPr>
                <w:b w:val="0"/>
                <w:i w:val="0"/>
                <w:strike w:val="0"/>
              </w:rPr>
              <w:t>Critical System Alerts</w:t>
            </w:r>
          </w:p>
        </w:tc>
        <w:tc>
          <w:tcPr>
            <w:tcW w:type="dxa" w:w="4320"/>
          </w:tcPr>
          <w:p>
            <w:r/>
            <w:r>
              <w:rPr>
                <w:b w:val="0"/>
                <w:i w:val="0"/>
                <w:strike w:val="0"/>
              </w:rPr>
              <w:t>When a critical IT system issue starts the four-hour national regulator notification window under DORA</w:t>
            </w:r>
          </w:p>
        </w:tc>
      </w:tr>
    </w:tbl>
    <w:tbl>
      <w:tblPr>
        <w:tblStyle w:val="TableGrid"/>
        <w:tblW w:type="auto" w:w="0"/>
        <w:tblLook w:firstColumn="1" w:firstRow="1" w:lastColumn="0" w:lastRow="0" w:noHBand="0" w:noVBand="1" w:val="04A0"/>
      </w:tblPr>
      <w:tblGrid>
        <w:gridCol w:w="8640"/>
      </w:tblGrid>
      <w:tr>
        <w:tc>
          <w:tcPr>
            <w:tcW w:type="dxa" w:w="8640"/>
            <w:shd w:val="clear" w:fill="E2EFDA"/>
          </w:tcPr>
          <w:p>
            <w:r>
              <w:rPr>
                <w:b/>
                <w:i w:val="0"/>
                <w:strike w:val="0"/>
              </w:rPr>
              <w:t>CONFIRMED</w:t>
            </w:r>
            <w:r>
              <w:rPr>
                <w:b w:val="0"/>
                <w:i w:val="0"/>
                <w:strike w:val="0"/>
              </w:rPr>
              <w:t xml:space="preserve"> </w:t>
            </w:r>
            <w:r>
              <w:rPr>
                <w:b w:val="0"/>
                <w:i/>
                <w:strike w:val="0"/>
              </w:rPr>
              <w:t>(green — agreed decision)</w:t>
            </w:r>
          </w:p>
          <w:p>
            <w:r>
              <w:rPr>
                <w:b/>
                <w:i w:val="0"/>
                <w:strike w:val="0"/>
              </w:rPr>
              <w:t>✅ What we have agreed</w:t>
            </w:r>
          </w:p>
          <w:p>
            <w:pPr>
              <w:pStyle w:val="ListBullet"/>
            </w:pPr>
            <w:r>
              <w:rPr>
                <w:b w:val="0"/>
                <w:i w:val="0"/>
                <w:strike w:val="0"/>
              </w:rPr>
              <w:t>Staff import uses CSV upload with the platform's provided template. HR system integration is not in scope.</w:t>
            </w:r>
          </w:p>
          <w:p>
            <w:pPr>
              <w:pStyle w:val="ListBullet"/>
            </w:pPr>
            <w:r>
              <w:rPr>
                <w:b w:val="0"/>
                <w:i w:val="0"/>
                <w:strike w:val="0"/>
              </w:rPr>
              <w:t>The org chart is a visual interactive tree — generated automatically from the staff reporting line data.</w:t>
            </w:r>
          </w:p>
          <w:p>
            <w:pPr>
              <w:pStyle w:val="ListBullet"/>
            </w:pPr>
            <w:r>
              <w:rPr>
                <w:b w:val="0"/>
                <w:i w:val="0"/>
                <w:strike w:val="0"/>
              </w:rPr>
              <w:t>Both Platform Users (with logins) and Staff Members (governance records only, no login) are tracked.</w:t>
            </w:r>
          </w:p>
          <w:p>
            <w:pPr>
              <w:pStyle w:val="ListBullet"/>
            </w:pPr>
            <w:r>
              <w:rPr>
                <w:b/>
                <w:i/>
                <w:strike w:val="0"/>
                <w:color w:val="1155CC"/>
              </w:rPr>
              <w:t>Communication channel types are ingested per firm from their IT team via CSV, validated on import with a flag-and-override for mismatches — not a fixed platform-wide dropdown.</w:t>
            </w:r>
            <w:r>
              <w:rPr>
                <w:b w:val="0"/>
                <w:i w:val="0"/>
                <w:strike w:val="0"/>
              </w:rPr>
              <w:t xml:space="preserve"> </w:t>
            </w:r>
            <w:r>
              <w:rPr>
                <w:b w:val="0"/>
                <w:i/>
                <w:strike w:val="0"/>
                <w:color w:val="1155CC"/>
                <w:sz w:val="16"/>
              </w:rPr>
              <w:t xml:space="preserve"> [25 Jun FRD call]</w:t>
            </w:r>
          </w:p>
          <w:p>
            <w:pPr>
              <w:pStyle w:val="ListBullet"/>
            </w:pPr>
            <w:r>
              <w:rPr>
                <w:b/>
                <w:i/>
                <w:strike w:val="0"/>
                <w:color w:val="7030A0"/>
              </w:rPr>
              <w:t>Staff records distinguish total headcount from the subset holding system entitlements. Seats are priced on entitlements.</w:t>
            </w:r>
            <w:r>
              <w:rPr>
                <w:b w:val="0"/>
                <w:i w:val="0"/>
                <w:strike w:val="0"/>
              </w:rPr>
              <w:t xml:space="preserve"> </w:t>
            </w:r>
            <w:r>
              <w:rPr>
                <w:b w:val="0"/>
                <w:i/>
                <w:strike w:val="0"/>
                <w:color w:val="7030A0"/>
                <w:sz w:val="16"/>
              </w:rPr>
              <w:t xml:space="preserve"> [Aug 2026 client MOM]</w:t>
            </w:r>
          </w:p>
          <w:p>
            <w:pPr>
              <w:pStyle w:val="ListBullet"/>
            </w:pPr>
            <w:r>
              <w:rPr>
                <w:b/>
                <w:i/>
                <w:strike w:val="0"/>
                <w:color w:val="7030A0"/>
              </w:rPr>
              <w:t>The org chart gets an analytics dashboard: staff without reporting managers, staff without communication channels, total hardware assigned, headcount vs. entitlements.</w:t>
            </w:r>
            <w:r>
              <w:rPr>
                <w:b w:val="0"/>
                <w:i w:val="0"/>
                <w:strike w:val="0"/>
              </w:rPr>
              <w:t xml:space="preserve"> </w:t>
            </w:r>
            <w:r>
              <w:rPr>
                <w:b w:val="0"/>
                <w:i/>
                <w:strike w:val="0"/>
                <w:color w:val="7030A0"/>
                <w:sz w:val="16"/>
              </w:rPr>
              <w:t xml:space="preserve"> [Aug 2026 client MOM]</w:t>
            </w:r>
          </w:p>
          <w:p>
            <w:pPr>
              <w:pStyle w:val="ListBullet"/>
            </w:pPr>
            <w:r>
              <w:rPr>
                <w:b/>
                <w:i/>
                <w:strike w:val="0"/>
                <w:color w:val="7030A0"/>
              </w:rPr>
              <w:t>Tests are tagged to business owners drawn from these staff records (FR-82).</w:t>
            </w:r>
            <w:r>
              <w:rPr>
                <w:b w:val="0"/>
                <w:i w:val="0"/>
                <w:strike w:val="0"/>
              </w:rPr>
              <w:t xml:space="preserve"> </w:t>
            </w:r>
            <w:r>
              <w:rPr>
                <w:b w:val="0"/>
                <w:i/>
                <w:strike w:val="0"/>
                <w:color w:val="7030A0"/>
                <w:sz w:val="16"/>
              </w:rPr>
              <w:t xml:space="preserve"> [Aug 2026 client MOM]</w:t>
            </w:r>
          </w:p>
        </w:tc>
      </w:tr>
    </w:tbl>
    <w:p>
      <w:pPr>
        <w:pStyle w:val="Heading1"/>
      </w:pPr>
      <w:r>
        <w:t>11. Systems and IT Risk</w:t>
      </w:r>
    </w:p>
    <w:p>
      <w:r>
        <w:rPr>
          <w:b w:val="0"/>
          <w:i w:val="0"/>
          <w:strike w:val="0"/>
        </w:rPr>
        <w:t>The Systems and IT Risk module addresses the firm's obligations under DORA — the regulation that governs how financial firms manage their IT infrastructure. It is used primarily by the firm's IT or Systems Admin team, though the CCO has oversight visibility.</w:t>
      </w:r>
    </w:p>
    <w:p>
      <w:pPr>
        <w:pStyle w:val="Heading2"/>
      </w:pPr>
      <w:r>
        <w:t>11.1 IT System Inventory</w:t>
      </w:r>
    </w:p>
    <w:p>
      <w:r>
        <w:rPr>
          <w:b/>
          <w:i w:val="0"/>
          <w:strike w:val="0"/>
          <w:color w:val="1155CC"/>
        </w:rPr>
        <w:t>[FR-72]</w:t>
      </w:r>
      <w:r>
        <w:rPr>
          <w:b w:val="0"/>
          <w:i w:val="0"/>
          <w:strike w:val="0"/>
        </w:rPr>
        <w:t xml:space="preserve"> The firm maintains a complete inventory of all the IT systems it uses — from its core trading platform to its KYC provider, its transaction monitoring system, its sanctions screening tool, and its cloud infrastructure. Categories are drawn from a pre-defined list of standard CASP IT systems (which can be extended). DORA requires every system to be classified as Critical, Important, or Other — the platform enforces this classification and does not allow it to be left blank. </w:t>
      </w:r>
      <w:r>
        <w:rPr>
          <w:b/>
          <w:i w:val="0"/>
          <w:strike w:val="0"/>
        </w:rPr>
        <w:t>📞 From the 25 Jun FRD Review call:</w:t>
      </w:r>
      <w:r>
        <w:rPr>
          <w:b w:val="0"/>
          <w:i w:val="0"/>
          <w:strike w:val="0"/>
        </w:rPr>
        <w:t xml:space="preserve"> </w:t>
      </w:r>
      <w:r>
        <w:rPr>
          <w:b w:val="0"/>
          <w:i/>
          <w:strike w:val="0"/>
          <w:color w:val="1155CC"/>
        </w:rPr>
        <w:t>The call clarified how monitoring-system data actually enters the platform: no direct API integration to firms' AML/transaction-monitoring systems for MVP. Firms manually upload a CSV extract against a fixed field template SayOne defines — aggregated counts and comparatives only (e.g. how many Level 1/2/3 alerts this month vs. last), explicitly no PII and no individual customer-level data. Direct API integration is a later phase; Sosinna is collecting sample vendor reports (SumSub, Veritas) to help define the CSV template.</w:t>
      </w:r>
      <w:r>
        <w:rPr>
          <w:b w:val="0"/>
          <w:i w:val="0"/>
          <w:strike w:val="0"/>
        </w:rPr>
        <w:t xml:space="preserve"> </w:t>
      </w:r>
      <w:r>
        <w:rPr>
          <w:b w:val="0"/>
          <w:i/>
          <w:strike w:val="0"/>
          <w:color w:val="1155CC"/>
          <w:sz w:val="16"/>
        </w:rPr>
        <w:t xml:space="preserve"> [25 Jun FRD call]</w:t>
      </w:r>
    </w:p>
    <w:p>
      <w:r>
        <w:rPr>
          <w:b/>
          <w:i w:val="0"/>
          <w:strike w:val="0"/>
          <w:color w:val="1155CC"/>
        </w:rPr>
        <w:t>[FR-73]</w:t>
      </w:r>
      <w:r>
        <w:rPr>
          <w:b w:val="0"/>
          <w:i w:val="0"/>
          <w:strike w:val="0"/>
        </w:rPr>
        <w:t xml:space="preserve"> DORA makes an important distinction between two types of critical technology. The first is a Critical or Important Function — a business function within the firm itself that is critical to its operations (abbreviated CIF). The second is a Critical ICT Third-Party Provider — a technology vendor or service provider that is designated as systemically important by European regulators (abbreviated CTPP). These two categories are tracked separately in the platform, because the obligations that come with each are different.</w:t>
      </w:r>
    </w:p>
    <w:p>
      <w:r>
        <w:rPr>
          <w:b/>
          <w:i w:val="0"/>
          <w:strike w:val="0"/>
          <w:color w:val="1155CC"/>
        </w:rPr>
        <w:t>[FR-74]</w:t>
      </w:r>
      <w:r>
        <w:rPr>
          <w:b w:val="0"/>
          <w:i w:val="0"/>
          <w:strike w:val="0"/>
        </w:rPr>
        <w:t xml:space="preserve"> All third-party IT vendors are registered with: vendor name, type of service provided, contract reference number, DORA tier classification, and the date the contract is next due for review.</w:t>
      </w:r>
    </w:p>
    <w:p>
      <w:pPr>
        <w:pStyle w:val="Heading2"/>
      </w:pPr>
      <w:r>
        <w:t>11.2 When Something Goes Wrong — IT Incidents</w:t>
      </w:r>
    </w:p>
    <w:p>
      <w:r>
        <w:rPr>
          <w:b/>
          <w:i w:val="0"/>
          <w:strike w:val="0"/>
          <w:color w:val="1155CC"/>
        </w:rPr>
        <w:t>[FR-75]</w:t>
      </w:r>
      <w:r>
        <w:rPr>
          <w:b w:val="0"/>
          <w:i w:val="0"/>
          <w:strike w:val="0"/>
        </w:rPr>
        <w:t xml:space="preserve"> When a serious IT incident occurs, the firm needs to decide quickly whether it qualifies as a 'major incident' under DORA — because major incidents require notification to the national regulator within a strict timeframe. The platform provides a guided checklist of criteria to help the IT team make this determination. This is not left to individual judgement.</w:t>
      </w:r>
    </w:p>
    <w:p>
      <w:r>
        <w:rPr>
          <w:b/>
          <w:i w:val="0"/>
          <w:strike w:val="0"/>
          <w:color w:val="1155CC"/>
        </w:rPr>
        <w:t>[FR-76]</w:t>
      </w:r>
      <w:r>
        <w:rPr>
          <w:b w:val="0"/>
          <w:i w:val="0"/>
          <w:strike w:val="0"/>
        </w:rPr>
        <w:t xml:space="preserve"> If the incident qualifies as major, the four-hour notification clock starts. The platform automatically drafts a pre-filled notification based on the incident details that have been recorded. The CCO reviews it, edits it as needed, and submits it. The platform tracks whether the submission has been made.</w:t>
      </w:r>
    </w:p>
    <w:p>
      <w:r>
        <w:rPr>
          <w:b/>
          <w:i w:val="0"/>
          <w:strike w:val="0"/>
          <w:color w:val="1155CC"/>
        </w:rPr>
        <w:t>[FR-77]</w:t>
      </w:r>
      <w:r>
        <w:rPr>
          <w:b w:val="0"/>
          <w:i w:val="0"/>
          <w:strike w:val="0"/>
        </w:rPr>
        <w:t xml:space="preserve"> All Business Continuity Plan and Disaster Recovery test reports are stored in this module and linked to the relevant DORA test procedures.</w:t>
      </w:r>
    </w:p>
    <w:p>
      <w:pPr>
        <w:pStyle w:val="Heading1"/>
      </w:pPr>
      <w:r>
        <w:t>12. Notifications and Alerts</w:t>
      </w:r>
    </w:p>
    <w:p>
      <w:r>
        <w:rPr>
          <w:b w:val="0"/>
          <w:i w:val="0"/>
          <w:strike w:val="0"/>
        </w:rPr>
        <w:t>ControlIQ is designed to be proactive — it tells people what they need to know before a problem gets worse, not after. Below is the complete list of alerts the platform sends and why.</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4E79"/>
          </w:tcPr>
          <w:p>
            <w:r>
              <w:rPr>
                <w:b/>
                <w:color w:val="FFFFFF"/>
              </w:rPr>
            </w:r>
            <w:r>
              <w:rPr>
                <w:b/>
                <w:i w:val="0"/>
                <w:strike w:val="0"/>
                <w:color w:val="FFFFFF"/>
              </w:rPr>
              <w:t>Alert</w:t>
            </w:r>
          </w:p>
        </w:tc>
        <w:tc>
          <w:tcPr>
            <w:tcW w:type="dxa" w:w="2880"/>
            <w:shd w:val="clear" w:fill="1F4E79"/>
          </w:tcPr>
          <w:p>
            <w:r>
              <w:rPr>
                <w:b/>
                <w:color w:val="FFFFFF"/>
              </w:rPr>
            </w:r>
            <w:r>
              <w:rPr>
                <w:b/>
                <w:i w:val="0"/>
                <w:strike w:val="0"/>
                <w:color w:val="FFFFFF"/>
              </w:rPr>
              <w:t>Who receives it</w:t>
            </w:r>
          </w:p>
        </w:tc>
        <w:tc>
          <w:tcPr>
            <w:tcW w:type="dxa" w:w="2880"/>
            <w:shd w:val="clear" w:fill="1F4E79"/>
          </w:tcPr>
          <w:p>
            <w:r>
              <w:rPr>
                <w:b/>
                <w:color w:val="FFFFFF"/>
              </w:rPr>
            </w:r>
            <w:r>
              <w:rPr>
                <w:b/>
                <w:i w:val="0"/>
                <w:strike w:val="0"/>
                <w:color w:val="FFFFFF"/>
              </w:rPr>
              <w:t>When it fires</w:t>
            </w:r>
          </w:p>
        </w:tc>
      </w:tr>
      <w:tr>
        <w:tc>
          <w:tcPr>
            <w:tcW w:type="dxa" w:w="2880"/>
          </w:tcPr>
          <w:p>
            <w:r/>
            <w:r>
              <w:rPr>
                <w:b w:val="0"/>
                <w:i w:val="0"/>
                <w:strike w:val="0"/>
              </w:rPr>
              <w:t>Test due soon</w:t>
            </w:r>
          </w:p>
        </w:tc>
        <w:tc>
          <w:tcPr>
            <w:tcW w:type="dxa" w:w="2880"/>
          </w:tcPr>
          <w:p>
            <w:r/>
            <w:r>
              <w:rPr>
                <w:b w:val="0"/>
                <w:i w:val="0"/>
                <w:strike w:val="0"/>
              </w:rPr>
              <w:t>Assigned Lead Tester and CCO</w:t>
            </w:r>
          </w:p>
        </w:tc>
        <w:tc>
          <w:tcPr>
            <w:tcW w:type="dxa" w:w="2880"/>
          </w:tcPr>
          <w:p>
            <w:r/>
            <w:r>
              <w:rPr>
                <w:b w:val="0"/>
                <w:i w:val="0"/>
                <w:strike w:val="0"/>
              </w:rPr>
              <w:t>30, 14, 7, and 1 day before a test deadline</w:t>
            </w:r>
          </w:p>
        </w:tc>
      </w:tr>
      <w:tr>
        <w:tc>
          <w:tcPr>
            <w:tcW w:type="dxa" w:w="2880"/>
          </w:tcPr>
          <w:p>
            <w:r/>
            <w:r>
              <w:rPr>
                <w:b w:val="0"/>
                <w:i w:val="0"/>
                <w:strike w:val="0"/>
              </w:rPr>
              <w:t>Test overdue</w:t>
            </w:r>
          </w:p>
        </w:tc>
        <w:tc>
          <w:tcPr>
            <w:tcW w:type="dxa" w:w="2880"/>
          </w:tcPr>
          <w:p>
            <w:r/>
            <w:r>
              <w:rPr>
                <w:b w:val="0"/>
                <w:i w:val="0"/>
                <w:strike w:val="0"/>
              </w:rPr>
              <w:t>Lead Tester first; then CCO if still unresolved</w:t>
            </w:r>
          </w:p>
        </w:tc>
        <w:tc>
          <w:tcPr>
            <w:tcW w:type="dxa" w:w="2880"/>
          </w:tcPr>
          <w:p>
            <w:r/>
            <w:r>
              <w:rPr>
                <w:b w:val="0"/>
                <w:i w:val="0"/>
                <w:strike w:val="0"/>
              </w:rPr>
              <w:t>From the moment a test deadline passes without completion — escalating over time</w:t>
            </w:r>
          </w:p>
        </w:tc>
      </w:tr>
      <w:tr>
        <w:tc>
          <w:tcPr>
            <w:tcW w:type="dxa" w:w="2880"/>
          </w:tcPr>
          <w:p>
            <w:r/>
            <w:r>
              <w:rPr>
                <w:b w:val="0"/>
                <w:i w:val="0"/>
                <w:strike w:val="0"/>
              </w:rPr>
              <w:t>High-rated Finding</w:t>
            </w:r>
          </w:p>
        </w:tc>
        <w:tc>
          <w:tcPr>
            <w:tcW w:type="dxa" w:w="2880"/>
          </w:tcPr>
          <w:p>
            <w:r/>
            <w:r>
              <w:rPr>
                <w:b w:val="0"/>
                <w:i w:val="0"/>
                <w:strike w:val="0"/>
              </w:rPr>
              <w:t>CCO and all Senior Management users</w:t>
            </w:r>
          </w:p>
        </w:tc>
        <w:tc>
          <w:tcPr>
            <w:tcW w:type="dxa" w:w="2880"/>
          </w:tcPr>
          <w:p>
            <w:r/>
            <w:r>
              <w:rPr>
                <w:b w:val="0"/>
                <w:i w:val="0"/>
                <w:strike w:val="0"/>
              </w:rPr>
              <w:t>The moment a High-rated Finding is recorded</w:t>
            </w:r>
          </w:p>
        </w:tc>
      </w:tr>
      <w:tr>
        <w:tc>
          <w:tcPr>
            <w:tcW w:type="dxa" w:w="2880"/>
          </w:tcPr>
          <w:p>
            <w:r/>
            <w:r>
              <w:rPr>
                <w:b w:val="0"/>
                <w:i w:val="0"/>
                <w:strike w:val="0"/>
              </w:rPr>
              <w:t>Escalation unacknowledged</w:t>
            </w:r>
          </w:p>
        </w:tc>
        <w:tc>
          <w:tcPr>
            <w:tcW w:type="dxa" w:w="2880"/>
          </w:tcPr>
          <w:p>
            <w:r/>
            <w:r>
              <w:rPr>
                <w:b w:val="0"/>
                <w:i w:val="0"/>
                <w:strike w:val="0"/>
              </w:rPr>
              <w:t>CCO and Senior Management — Level 2 Alert on dashboard</w:t>
            </w:r>
          </w:p>
        </w:tc>
        <w:tc>
          <w:tcPr>
            <w:tcW w:type="dxa" w:w="2880"/>
          </w:tcPr>
          <w:p>
            <w:r/>
            <w:r>
              <w:rPr>
                <w:b w:val="0"/>
                <w:i w:val="0"/>
                <w:strike w:val="0"/>
              </w:rPr>
              <w:t>If a High-rated Finding escalation is not acknowledged within 5 business days</w:t>
            </w:r>
          </w:p>
        </w:tc>
      </w:tr>
      <w:tr>
        <w:tc>
          <w:tcPr>
            <w:tcW w:type="dxa" w:w="2880"/>
          </w:tcPr>
          <w:p>
            <w:r/>
            <w:r>
              <w:rPr>
                <w:b w:val="0"/>
                <w:i w:val="0"/>
                <w:strike w:val="0"/>
              </w:rPr>
              <w:t>Remediation action item assigned</w:t>
            </w:r>
          </w:p>
        </w:tc>
        <w:tc>
          <w:tcPr>
            <w:tcW w:type="dxa" w:w="2880"/>
          </w:tcPr>
          <w:p>
            <w:r/>
            <w:r>
              <w:rPr>
                <w:b w:val="0"/>
                <w:i w:val="0"/>
                <w:strike w:val="0"/>
              </w:rPr>
              <w:t>The Remediation Owner</w:t>
            </w:r>
          </w:p>
        </w:tc>
        <w:tc>
          <w:tcPr>
            <w:tcW w:type="dxa" w:w="2880"/>
          </w:tcPr>
          <w:p>
            <w:r/>
            <w:r>
              <w:rPr>
                <w:b w:val="0"/>
                <w:i w:val="0"/>
                <w:strike w:val="0"/>
              </w:rPr>
              <w:t>When a new action item is assigned to them</w:t>
            </w:r>
          </w:p>
        </w:tc>
      </w:tr>
      <w:tr>
        <w:tc>
          <w:tcPr>
            <w:tcW w:type="dxa" w:w="2880"/>
          </w:tcPr>
          <w:p>
            <w:r/>
            <w:r>
              <w:rPr>
                <w:b w:val="0"/>
                <w:i w:val="0"/>
                <w:strike w:val="0"/>
              </w:rPr>
              <w:t>Remediation milestone overdue</w:t>
            </w:r>
          </w:p>
        </w:tc>
        <w:tc>
          <w:tcPr>
            <w:tcW w:type="dxa" w:w="2880"/>
          </w:tcPr>
          <w:p>
            <w:r/>
            <w:r>
              <w:rPr>
                <w:b w:val="0"/>
                <w:i w:val="0"/>
                <w:strike w:val="0"/>
              </w:rPr>
              <w:t>Remediation Owner and CCO</w:t>
            </w:r>
          </w:p>
        </w:tc>
        <w:tc>
          <w:tcPr>
            <w:tcW w:type="dxa" w:w="2880"/>
          </w:tcPr>
          <w:p>
            <w:r/>
            <w:r>
              <w:rPr>
                <w:b w:val="0"/>
                <w:i w:val="0"/>
                <w:strike w:val="0"/>
              </w:rPr>
              <w:t>When a remediation milestone deadline passes without completion</w:t>
            </w:r>
          </w:p>
        </w:tc>
      </w:tr>
      <w:tr>
        <w:tc>
          <w:tcPr>
            <w:tcW w:type="dxa" w:w="2880"/>
          </w:tcPr>
          <w:p>
            <w:r/>
            <w:r>
              <w:rPr>
                <w:b w:val="0"/>
                <w:i w:val="0"/>
                <w:strike w:val="0"/>
              </w:rPr>
              <w:t>Certification expiring</w:t>
            </w:r>
          </w:p>
        </w:tc>
        <w:tc>
          <w:tcPr>
            <w:tcW w:type="dxa" w:w="2880"/>
          </w:tcPr>
          <w:p>
            <w:r/>
            <w:r>
              <w:rPr>
                <w:b w:val="0"/>
                <w:i w:val="0"/>
                <w:strike w:val="0"/>
              </w:rPr>
              <w:t>The staff member, their manager, and the CCO</w:t>
            </w:r>
          </w:p>
        </w:tc>
        <w:tc>
          <w:tcPr>
            <w:tcW w:type="dxa" w:w="2880"/>
          </w:tcPr>
          <w:p>
            <w:r/>
            <w:r>
              <w:rPr>
                <w:b w:val="0"/>
                <w:i w:val="0"/>
                <w:strike w:val="0"/>
              </w:rPr>
              <w:t>30, 14, and 1 day before a professional certification expires</w:t>
            </w:r>
          </w:p>
        </w:tc>
      </w:tr>
      <w:tr>
        <w:tc>
          <w:tcPr>
            <w:tcW w:type="dxa" w:w="2880"/>
          </w:tcPr>
          <w:p>
            <w:r/>
            <w:r>
              <w:rPr>
                <w:b w:val="0"/>
                <w:i w:val="0"/>
                <w:strike w:val="0"/>
              </w:rPr>
              <w:t>Regulation update published</w:t>
            </w:r>
          </w:p>
        </w:tc>
        <w:tc>
          <w:tcPr>
            <w:tcW w:type="dxa" w:w="2880"/>
          </w:tcPr>
          <w:p>
            <w:r/>
            <w:r>
              <w:rPr>
                <w:b w:val="0"/>
                <w:i w:val="0"/>
                <w:strike w:val="0"/>
              </w:rPr>
              <w:t>All users at affected firms</w:t>
            </w:r>
          </w:p>
        </w:tc>
        <w:tc>
          <w:tcPr>
            <w:tcW w:type="dxa" w:w="2880"/>
          </w:tcPr>
          <w:p>
            <w:r/>
            <w:r>
              <w:rPr>
                <w:b w:val="0"/>
                <w:i w:val="0"/>
                <w:strike w:val="0"/>
              </w:rPr>
              <w:t>When Sosinna's team publishes an update to a test procedure that the firm uses</w:t>
            </w:r>
          </w:p>
        </w:tc>
      </w:tr>
      <w:tr>
        <w:tc>
          <w:tcPr>
            <w:tcW w:type="dxa" w:w="2880"/>
          </w:tcPr>
          <w:p>
            <w:r/>
            <w:r>
              <w:rPr>
                <w:b w:val="0"/>
                <w:i w:val="0"/>
                <w:strike w:val="0"/>
              </w:rPr>
              <w:t>WSP review needed</w:t>
            </w:r>
          </w:p>
        </w:tc>
        <w:tc>
          <w:tcPr>
            <w:tcW w:type="dxa" w:w="2880"/>
          </w:tcPr>
          <w:p>
            <w:r/>
            <w:r>
              <w:rPr>
                <w:b w:val="0"/>
                <w:i w:val="0"/>
                <w:strike w:val="0"/>
              </w:rPr>
              <w:t>CCO and compliance team</w:t>
            </w:r>
          </w:p>
        </w:tc>
        <w:tc>
          <w:tcPr>
            <w:tcW w:type="dxa" w:w="2880"/>
          </w:tcPr>
          <w:p>
            <w:r/>
            <w:r>
              <w:rPr>
                <w:b w:val="0"/>
                <w:i w:val="0"/>
                <w:strike w:val="0"/>
              </w:rPr>
              <w:t>When a regulation change affects a mapped section of the compliance manual</w:t>
            </w:r>
          </w:p>
        </w:tc>
      </w:tr>
      <w:tr>
        <w:tc>
          <w:tcPr>
            <w:tcW w:type="dxa" w:w="2880"/>
          </w:tcPr>
          <w:p>
            <w:r/>
            <w:r>
              <w:rPr>
                <w:b w:val="0"/>
                <w:i w:val="0"/>
                <w:strike w:val="0"/>
              </w:rPr>
              <w:t>Evidence approaching expiry</w:t>
            </w:r>
          </w:p>
        </w:tc>
        <w:tc>
          <w:tcPr>
            <w:tcW w:type="dxa" w:w="2880"/>
          </w:tcPr>
          <w:p>
            <w:r/>
            <w:r>
              <w:rPr>
                <w:b w:val="0"/>
                <w:i w:val="0"/>
                <w:strike w:val="0"/>
              </w:rPr>
              <w:t>Lead Tester and CCO</w:t>
            </w:r>
          </w:p>
        </w:tc>
        <w:tc>
          <w:tcPr>
            <w:tcW w:type="dxa" w:w="2880"/>
          </w:tcPr>
          <w:p>
            <w:r/>
            <w:r>
              <w:rPr>
                <w:b w:val="0"/>
                <w:i w:val="0"/>
                <w:strike w:val="0"/>
              </w:rPr>
              <w:t>When evidence linked to an upcoming test is approaching its validity limit</w:t>
            </w:r>
          </w:p>
        </w:tc>
      </w:tr>
      <w:tr>
        <w:tc>
          <w:tcPr>
            <w:tcW w:type="dxa" w:w="2880"/>
          </w:tcPr>
          <w:p>
            <w:r/>
            <w:r>
              <w:rPr>
                <w:b w:val="0"/>
                <w:i w:val="0"/>
                <w:strike w:val="0"/>
              </w:rPr>
              <w:t>Annual WSP review due</w:t>
            </w:r>
          </w:p>
        </w:tc>
        <w:tc>
          <w:tcPr>
            <w:tcW w:type="dxa" w:w="2880"/>
          </w:tcPr>
          <w:p>
            <w:r/>
            <w:r>
              <w:rPr>
                <w:b w:val="0"/>
                <w:i w:val="0"/>
                <w:strike w:val="0"/>
              </w:rPr>
              <w:t>CCO</w:t>
            </w:r>
          </w:p>
        </w:tc>
        <w:tc>
          <w:tcPr>
            <w:tcW w:type="dxa" w:w="2880"/>
          </w:tcPr>
          <w:p>
            <w:r/>
            <w:r>
              <w:rPr>
                <w:b w:val="0"/>
                <w:i w:val="0"/>
                <w:strike w:val="0"/>
              </w:rPr>
              <w:t>At the start of the annual WSP review cycle</w:t>
            </w:r>
          </w:p>
        </w:tc>
      </w:tr>
      <w:tr>
        <w:tc>
          <w:tcPr>
            <w:tcW w:type="dxa" w:w="2880"/>
          </w:tcPr>
          <w:p>
            <w:r/>
            <w:r>
              <w:rPr>
                <w:b w:val="0"/>
                <w:i w:val="0"/>
                <w:strike w:val="0"/>
              </w:rPr>
              <w:t>Critical system incident</w:t>
            </w:r>
          </w:p>
        </w:tc>
        <w:tc>
          <w:tcPr>
            <w:tcW w:type="dxa" w:w="2880"/>
          </w:tcPr>
          <w:p>
            <w:r/>
            <w:r>
              <w:rPr>
                <w:b w:val="0"/>
                <w:i w:val="0"/>
                <w:strike w:val="0"/>
              </w:rPr>
              <w:t>CCO and Level 2 Alerts list</w:t>
            </w:r>
          </w:p>
        </w:tc>
        <w:tc>
          <w:tcPr>
            <w:tcW w:type="dxa" w:w="2880"/>
          </w:tcPr>
          <w:p>
            <w:r/>
            <w:r>
              <w:rPr>
                <w:b w:val="0"/>
                <w:i w:val="0"/>
                <w:strike w:val="0"/>
              </w:rPr>
              <w:t>When a major IT incident is confirmed and the four-hour notification window begins</w:t>
            </w:r>
          </w:p>
        </w:tc>
      </w:tr>
      <w:tr>
        <w:tc>
          <w:tcPr>
            <w:tcW w:type="dxa" w:w="2880"/>
          </w:tcPr>
          <w:p>
            <w:r/>
            <w:r>
              <w:rPr>
                <w:b/>
                <w:i w:val="0"/>
                <w:strike w:val="0"/>
              </w:rPr>
              <w:t>Required test not scheduled</w:t>
            </w:r>
            <w:r>
              <w:rPr>
                <w:b w:val="0"/>
                <w:i w:val="0"/>
                <w:strike w:val="0"/>
              </w:rPr>
              <w:t xml:space="preserve"> </w:t>
            </w:r>
            <w:r>
              <w:rPr>
                <w:b w:val="0"/>
                <w:i/>
                <w:strike w:val="0"/>
                <w:color w:val="1155CC"/>
                <w:sz w:val="16"/>
              </w:rPr>
              <w:t xml:space="preserve"> [25 Jun FRD call]</w:t>
            </w:r>
          </w:p>
        </w:tc>
        <w:tc>
          <w:tcPr>
            <w:tcW w:type="dxa" w:w="2880"/>
          </w:tcPr>
          <w:p>
            <w:r/>
            <w:r>
              <w:rPr>
                <w:b w:val="0"/>
                <w:i w:val="0"/>
                <w:strike w:val="0"/>
              </w:rPr>
              <w:t xml:space="preserve">CCO </w:t>
            </w:r>
            <w:r>
              <w:rPr>
                <w:b w:val="0"/>
                <w:i/>
                <w:strike w:val="0"/>
                <w:color w:val="1155CC"/>
                <w:sz w:val="16"/>
              </w:rPr>
              <w:t xml:space="preserve"> [25 Jun FRD call]</w:t>
            </w:r>
          </w:p>
        </w:tc>
        <w:tc>
          <w:tcPr>
            <w:tcW w:type="dxa" w:w="2880"/>
          </w:tcPr>
          <w:p>
            <w:r/>
            <w:r>
              <w:rPr>
                <w:b w:val="0"/>
                <w:i/>
                <w:strike w:val="0"/>
                <w:color w:val="1155CC"/>
              </w:rPr>
              <w:t>NEW — from the 25 Jun call: if a mandated Requirement ID has no test instance scheduled within its expected period, the platform raises an alert flagging the gap.</w:t>
            </w:r>
            <w:r>
              <w:rPr>
                <w:b w:val="0"/>
                <w:i w:val="0"/>
                <w:strike w:val="0"/>
              </w:rPr>
              <w:t xml:space="preserve"> </w:t>
            </w:r>
            <w:r>
              <w:rPr>
                <w:b w:val="0"/>
                <w:i/>
                <w:strike w:val="0"/>
                <w:color w:val="1155CC"/>
                <w:sz w:val="16"/>
              </w:rPr>
              <w:t xml:space="preserve"> [25 Jun FRD call]</w:t>
            </w:r>
          </w:p>
        </w:tc>
      </w:tr>
      <w:tr>
        <w:tc>
          <w:tcPr>
            <w:tcW w:type="dxa" w:w="2880"/>
          </w:tcPr>
          <w:p>
            <w:r/>
            <w:r>
              <w:rPr>
                <w:b/>
                <w:i w:val="0"/>
                <w:strike w:val="0"/>
              </w:rPr>
              <w:t>Outstanding request items (digest)</w:t>
            </w:r>
            <w:r>
              <w:rPr>
                <w:b w:val="0"/>
                <w:i w:val="0"/>
                <w:strike w:val="0"/>
              </w:rPr>
              <w:t xml:space="preserve"> </w:t>
            </w:r>
            <w:r>
              <w:rPr>
                <w:b w:val="0"/>
                <w:i/>
                <w:strike w:val="0"/>
                <w:color w:val="C55A11"/>
                <w:sz w:val="16"/>
              </w:rPr>
              <w:t xml:space="preserve"> [Sosinna's Drive comment]</w:t>
            </w:r>
          </w:p>
        </w:tc>
        <w:tc>
          <w:tcPr>
            <w:tcW w:type="dxa" w:w="2880"/>
          </w:tcPr>
          <w:p>
            <w:r/>
            <w:r>
              <w:rPr>
                <w:b w:val="0"/>
                <w:i w:val="0"/>
                <w:strike w:val="0"/>
              </w:rPr>
              <w:t xml:space="preserve">CCO (opt-in, weekly) </w:t>
            </w:r>
            <w:r>
              <w:rPr>
                <w:b w:val="0"/>
                <w:i/>
                <w:strike w:val="0"/>
                <w:color w:val="C55A11"/>
                <w:sz w:val="16"/>
              </w:rPr>
              <w:t xml:space="preserve"> [Sosinna's Drive comment]</w:t>
            </w:r>
          </w:p>
        </w:tc>
        <w:tc>
          <w:tcPr>
            <w:tcW w:type="dxa" w:w="2880"/>
          </w:tcPr>
          <w:p>
            <w:r/>
            <w:r>
              <w:rPr>
                <w:b w:val="0"/>
                <w:i/>
                <w:strike w:val="0"/>
                <w:color w:val="C55A11"/>
              </w:rPr>
              <w:t>NEW — from the 25 Jun call: a weekly digest specifically for items sitting unactioned (e.g. a requested vulnerability-test report nobody has uploaded). This is separate from the general per-item overdue alerts — it targets business-side foot-dragging on deliverables.</w:t>
            </w:r>
            <w:r>
              <w:rPr>
                <w:b w:val="0"/>
                <w:i w:val="0"/>
                <w:strike w:val="0"/>
              </w:rPr>
              <w:t xml:space="preserve"> </w:t>
            </w:r>
            <w:r>
              <w:rPr>
                <w:b w:val="0"/>
                <w:i/>
                <w:strike w:val="0"/>
                <w:color w:val="C55A11"/>
                <w:sz w:val="16"/>
              </w:rPr>
              <w:t xml:space="preserve"> [Sosinna's Drive comment]</w:t>
            </w:r>
            <w:r>
              <w:rPr>
                <w:b w:val="0"/>
                <w:i w:val="0"/>
                <w:strike w:val="0"/>
              </w:rPr>
              <w:t xml:space="preserve"> </w:t>
            </w:r>
            <w:r>
              <w:br/>
            </w:r>
            <w:r>
              <w:rPr>
                <w:b w:val="0"/>
                <w:i w:val="0"/>
                <w:strike w:val="0"/>
              </w:rPr>
              <w:t xml:space="preserve"> </w:t>
            </w:r>
            <w:r>
              <w:rPr>
                <w:b/>
                <w:i/>
                <w:strike w:val="0"/>
                <w:color w:val="7030A0"/>
              </w:rPr>
              <w:t>v5.0: this digest is now fed by the Section 7.4 request register, which gives it precise per-item request and receipt dates.</w:t>
            </w:r>
            <w:r>
              <w:rPr>
                <w:b w:val="0"/>
                <w:i w:val="0"/>
                <w:strike w:val="0"/>
              </w:rPr>
              <w:t xml:space="preserve"> </w:t>
            </w:r>
            <w:r>
              <w:rPr>
                <w:b w:val="0"/>
                <w:i/>
                <w:strike w:val="0"/>
                <w:color w:val="7030A0"/>
                <w:sz w:val="16"/>
              </w:rPr>
              <w:t xml:space="preserve"> [Aug 2026 client MOM]</w:t>
            </w:r>
          </w:p>
        </w:tc>
      </w:tr>
      <w:tr>
        <w:tc>
          <w:tcPr>
            <w:tcW w:type="dxa" w:w="2880"/>
          </w:tcPr>
          <w:p>
            <w:r/>
            <w:r>
              <w:rPr>
                <w:b/>
                <w:i/>
                <w:strike w:val="0"/>
                <w:color w:val="7030A0"/>
              </w:rPr>
              <w:t>Test announcement and initial request list</w:t>
            </w:r>
            <w:r>
              <w:rPr>
                <w:b w:val="0"/>
                <w:i w:val="0"/>
                <w:strike w:val="0"/>
              </w:rPr>
              <w:t xml:space="preserve"> </w:t>
            </w:r>
            <w:r>
              <w:rPr>
                <w:b w:val="0"/>
                <w:i/>
                <w:strike w:val="0"/>
                <w:color w:val="7030A0"/>
                <w:sz w:val="16"/>
              </w:rPr>
              <w:t xml:space="preserve"> [Aug 2026 client MOM]</w:t>
            </w:r>
          </w:p>
        </w:tc>
        <w:tc>
          <w:tcPr>
            <w:tcW w:type="dxa" w:w="2880"/>
          </w:tcPr>
          <w:p>
            <w:r/>
            <w:r>
              <w:rPr>
                <w:b/>
                <w:i/>
                <w:strike w:val="0"/>
                <w:color w:val="7030A0"/>
              </w:rPr>
              <w:t>Business unit owner (FR-82), copied to the Lead Tester</w:t>
            </w:r>
            <w:r>
              <w:rPr>
                <w:b w:val="0"/>
                <w:i w:val="0"/>
                <w:strike w:val="0"/>
              </w:rPr>
              <w:t xml:space="preserve"> </w:t>
            </w:r>
            <w:r>
              <w:rPr>
                <w:b w:val="0"/>
                <w:i/>
                <w:strike w:val="0"/>
                <w:color w:val="7030A0"/>
                <w:sz w:val="16"/>
              </w:rPr>
              <w:t xml:space="preserve"> [Aug 2026 client MOM]</w:t>
            </w:r>
            <w:r>
              <w:rPr>
                <w:b w:val="0"/>
                <w:i w:val="0"/>
                <w:strike w:val="0"/>
              </w:rPr>
              <w:t xml:space="preserve"> </w:t>
            </w:r>
            <w:r>
              <w:rPr>
                <w:b/>
                <w:i/>
                <w:strike w:val="0"/>
                <w:color w:val="CC00CC"/>
              </w:rPr>
              <w:t>— v8.0: sent to the auto-populated distribution list of all relevant business units (FR-132)</w:t>
            </w:r>
            <w:r>
              <w:rPr>
                <w:b w:val="0"/>
                <w:i w:val="0"/>
                <w:strike w:val="0"/>
              </w:rPr>
              <w:t xml:space="preserve"> </w:t>
            </w:r>
            <w:r>
              <w:rPr>
                <w:b w:val="0"/>
                <w:i/>
                <w:strike w:val="0"/>
                <w:color w:val="CC00CC"/>
                <w:sz w:val="16"/>
              </w:rPr>
              <w:t xml:space="preserve"> [14 Aug 2026 MOM]</w:t>
            </w:r>
          </w:p>
        </w:tc>
        <w:tc>
          <w:tcPr>
            <w:tcW w:type="dxa" w:w="2880"/>
          </w:tcPr>
          <w:p>
            <w:r/>
            <w:r>
              <w:rPr>
                <w:b/>
                <w:i/>
                <w:strike w:val="0"/>
                <w:color w:val="7030A0"/>
              </w:rPr>
              <w:t>NEW in v5.0: when a test is assigned and the request list is issued, before testing begins (FR-83). The letter carries the link to the business owner's dashboard (FR-133).</w:t>
            </w:r>
            <w:r>
              <w:rPr>
                <w:b w:val="0"/>
                <w:i w:val="0"/>
                <w:strike w:val="0"/>
              </w:rPr>
              <w:t xml:space="preserve"> </w:t>
            </w:r>
            <w:r>
              <w:rPr>
                <w:b w:val="0"/>
                <w:i/>
                <w:strike w:val="0"/>
                <w:color w:val="7030A0"/>
                <w:sz w:val="16"/>
              </w:rPr>
              <w:t xml:space="preserve"> [Aug 2026 client MOM]</w:t>
            </w:r>
            <w:r>
              <w:rPr>
                <w:b w:val="0"/>
                <w:i w:val="0"/>
                <w:strike w:val="0"/>
              </w:rPr>
              <w:t xml:space="preserve"> </w:t>
            </w:r>
            <w:r>
              <w:rPr>
                <w:b w:val="0"/>
                <w:i/>
                <w:strike w:val="0"/>
                <w:color w:val="CC00CC"/>
                <w:sz w:val="16"/>
              </w:rPr>
              <w:t xml:space="preserve"> [14 Aug 2026 MOM]</w:t>
            </w:r>
          </w:p>
        </w:tc>
      </w:tr>
      <w:tr>
        <w:tc>
          <w:tcPr>
            <w:tcW w:type="dxa" w:w="2880"/>
          </w:tcPr>
          <w:p>
            <w:r/>
            <w:r>
              <w:rPr>
                <w:b/>
                <w:i/>
                <w:strike w:val="0"/>
                <w:color w:val="CC00CC"/>
              </w:rPr>
              <w:t>No document available declared</w:t>
            </w:r>
            <w:r>
              <w:rPr>
                <w:b w:val="0"/>
                <w:i w:val="0"/>
                <w:strike w:val="0"/>
              </w:rPr>
              <w:t xml:space="preserve"> </w:t>
            </w:r>
            <w:r>
              <w:rPr>
                <w:b w:val="0"/>
                <w:i/>
                <w:strike w:val="0"/>
                <w:color w:val="CC00CC"/>
                <w:sz w:val="16"/>
              </w:rPr>
              <w:t xml:space="preserve"> [14 Aug 2026 MOM]</w:t>
            </w:r>
          </w:p>
        </w:tc>
        <w:tc>
          <w:tcPr>
            <w:tcW w:type="dxa" w:w="2880"/>
          </w:tcPr>
          <w:p>
            <w:r/>
            <w:r>
              <w:rPr>
                <w:b/>
                <w:i/>
                <w:strike w:val="0"/>
                <w:color w:val="CC00CC"/>
              </w:rPr>
              <w:t>Lead Tester and CCO</w:t>
            </w:r>
            <w:r>
              <w:rPr>
                <w:b w:val="0"/>
                <w:i w:val="0"/>
                <w:strike w:val="0"/>
              </w:rPr>
              <w:t xml:space="preserve"> </w:t>
            </w:r>
            <w:r>
              <w:rPr>
                <w:b w:val="0"/>
                <w:i/>
                <w:strike w:val="0"/>
                <w:color w:val="CC00CC"/>
                <w:sz w:val="16"/>
              </w:rPr>
              <w:t xml:space="preserve"> [14 Aug 2026 MOM]</w:t>
            </w:r>
          </w:p>
        </w:tc>
        <w:tc>
          <w:tcPr>
            <w:tcW w:type="dxa" w:w="2880"/>
          </w:tcPr>
          <w:p>
            <w:r/>
            <w:r>
              <w:rPr>
                <w:b/>
                <w:i/>
                <w:strike w:val="0"/>
                <w:color w:val="CC00CC"/>
              </w:rPr>
              <w:t>NEW in v8.0: when a business owner records that no document exists for a request item, with the reason (FR-134).</w:t>
            </w:r>
            <w:r>
              <w:rPr>
                <w:b w:val="0"/>
                <w:i w:val="0"/>
                <w:strike w:val="0"/>
              </w:rPr>
              <w:t xml:space="preserve"> </w:t>
            </w:r>
            <w:r>
              <w:rPr>
                <w:b w:val="0"/>
                <w:i/>
                <w:strike w:val="0"/>
                <w:color w:val="CC00CC"/>
                <w:sz w:val="16"/>
              </w:rPr>
              <w:t xml:space="preserve"> [14 Aug 2026 MOM]</w:t>
            </w:r>
          </w:p>
        </w:tc>
      </w:tr>
      <w:tr>
        <w:tc>
          <w:tcPr>
            <w:tcW w:type="dxa" w:w="2880"/>
          </w:tcPr>
          <w:p>
            <w:r/>
            <w:r>
              <w:rPr>
                <w:b/>
                <w:i/>
                <w:strike w:val="0"/>
                <w:color w:val="7030A0"/>
              </w:rPr>
              <w:t>Request item overdue</w:t>
            </w:r>
            <w:r>
              <w:rPr>
                <w:b w:val="0"/>
                <w:i w:val="0"/>
                <w:strike w:val="0"/>
              </w:rPr>
              <w:t xml:space="preserve"> </w:t>
            </w:r>
            <w:r>
              <w:rPr>
                <w:b w:val="0"/>
                <w:i/>
                <w:strike w:val="0"/>
                <w:color w:val="7030A0"/>
                <w:sz w:val="16"/>
              </w:rPr>
              <w:t xml:space="preserve"> [Aug 2026 client MOM]</w:t>
            </w:r>
          </w:p>
        </w:tc>
        <w:tc>
          <w:tcPr>
            <w:tcW w:type="dxa" w:w="2880"/>
          </w:tcPr>
          <w:p>
            <w:r/>
            <w:r>
              <w:rPr>
                <w:b/>
                <w:i/>
                <w:strike w:val="0"/>
                <w:color w:val="7030A0"/>
              </w:rPr>
              <w:t>Business unit owner first, then the CCO</w:t>
            </w:r>
            <w:r>
              <w:rPr>
                <w:b w:val="0"/>
                <w:i w:val="0"/>
                <w:strike w:val="0"/>
              </w:rPr>
              <w:t xml:space="preserve"> </w:t>
            </w:r>
            <w:r>
              <w:rPr>
                <w:b w:val="0"/>
                <w:i/>
                <w:strike w:val="0"/>
                <w:color w:val="7030A0"/>
                <w:sz w:val="16"/>
              </w:rPr>
              <w:t xml:space="preserve"> [Aug 2026 client MOM]</w:t>
            </w:r>
          </w:p>
        </w:tc>
        <w:tc>
          <w:tcPr>
            <w:tcW w:type="dxa" w:w="2880"/>
          </w:tcPr>
          <w:p>
            <w:r/>
            <w:r>
              <w:rPr>
                <w:b/>
                <w:i/>
                <w:strike w:val="0"/>
                <w:color w:val="7030A0"/>
              </w:rPr>
              <w:t>NEW in v5.0: when a requested document passes its due date without being received (FR-87).</w:t>
            </w:r>
            <w:r>
              <w:rPr>
                <w:b w:val="0"/>
                <w:i w:val="0"/>
                <w:strike w:val="0"/>
              </w:rPr>
              <w:t xml:space="preserve"> </w:t>
            </w:r>
            <w:r>
              <w:rPr>
                <w:b w:val="0"/>
                <w:i/>
                <w:strike w:val="0"/>
                <w:color w:val="7030A0"/>
                <w:sz w:val="16"/>
              </w:rPr>
              <w:t xml:space="preserve"> [Aug 2026 client MOM]</w:t>
            </w:r>
          </w:p>
        </w:tc>
      </w:tr>
      <w:tr>
        <w:tc>
          <w:tcPr>
            <w:tcW w:type="dxa" w:w="2880"/>
          </w:tcPr>
          <w:p>
            <w:r/>
            <w:r>
              <w:rPr>
                <w:b/>
                <w:i/>
                <w:strike w:val="0"/>
                <w:color w:val="7030A0"/>
              </w:rPr>
              <w:t>Document mismatch flagged</w:t>
            </w:r>
            <w:r>
              <w:rPr>
                <w:b w:val="0"/>
                <w:i w:val="0"/>
                <w:strike w:val="0"/>
              </w:rPr>
              <w:t xml:space="preserve"> </w:t>
            </w:r>
            <w:r>
              <w:rPr>
                <w:b w:val="0"/>
                <w:i/>
                <w:strike w:val="0"/>
                <w:color w:val="7030A0"/>
                <w:sz w:val="16"/>
              </w:rPr>
              <w:t xml:space="preserve"> [Aug 2026 client MOM]</w:t>
            </w:r>
          </w:p>
        </w:tc>
        <w:tc>
          <w:tcPr>
            <w:tcW w:type="dxa" w:w="2880"/>
          </w:tcPr>
          <w:p>
            <w:r/>
            <w:r>
              <w:rPr>
                <w:b/>
                <w:i/>
                <w:strike w:val="0"/>
                <w:color w:val="7030A0"/>
              </w:rPr>
              <w:t>The uploader and the Lead Tester</w:t>
            </w:r>
            <w:r>
              <w:rPr>
                <w:b w:val="0"/>
                <w:i w:val="0"/>
                <w:strike w:val="0"/>
              </w:rPr>
              <w:t xml:space="preserve"> </w:t>
            </w:r>
            <w:r>
              <w:rPr>
                <w:b w:val="0"/>
                <w:i/>
                <w:strike w:val="0"/>
                <w:color w:val="7030A0"/>
                <w:sz w:val="16"/>
              </w:rPr>
              <w:t xml:space="preserve"> [Aug 2026 client MOM]</w:t>
            </w:r>
          </w:p>
        </w:tc>
        <w:tc>
          <w:tcPr>
            <w:tcW w:type="dxa" w:w="2880"/>
          </w:tcPr>
          <w:p>
            <w:r/>
            <w:r>
              <w:rPr>
                <w:b/>
                <w:i/>
                <w:strike w:val="0"/>
                <w:color w:val="7030A0"/>
              </w:rPr>
              <w:t>NEW in v5.0: when the FR-88 check suggests an uploaded file does not match the item requested (FR-89).</w:t>
            </w:r>
            <w:r>
              <w:rPr>
                <w:b w:val="0"/>
                <w:i w:val="0"/>
                <w:strike w:val="0"/>
              </w:rPr>
              <w:t xml:space="preserve"> </w:t>
            </w:r>
            <w:r>
              <w:rPr>
                <w:b w:val="0"/>
                <w:i/>
                <w:strike w:val="0"/>
                <w:color w:val="7030A0"/>
                <w:sz w:val="16"/>
              </w:rPr>
              <w:t xml:space="preserve"> [Aug 2026 client MOM]</w:t>
            </w:r>
          </w:p>
        </w:tc>
      </w:tr>
      <w:tr>
        <w:tc>
          <w:tcPr>
            <w:tcW w:type="dxa" w:w="2880"/>
          </w:tcPr>
          <w:p>
            <w:r/>
            <w:r>
              <w:rPr>
                <w:b/>
                <w:i/>
                <w:strike w:val="0"/>
                <w:color w:val="7030A0"/>
              </w:rPr>
              <w:t>Human verification required</w:t>
            </w:r>
            <w:r>
              <w:rPr>
                <w:b w:val="0"/>
                <w:i w:val="0"/>
                <w:strike w:val="0"/>
              </w:rPr>
              <w:t xml:space="preserve"> </w:t>
            </w:r>
            <w:r>
              <w:rPr>
                <w:b w:val="0"/>
                <w:i/>
                <w:strike w:val="0"/>
                <w:color w:val="7030A0"/>
                <w:sz w:val="16"/>
              </w:rPr>
              <w:t xml:space="preserve"> [Aug 2026 client MOM]</w:t>
            </w:r>
          </w:p>
        </w:tc>
        <w:tc>
          <w:tcPr>
            <w:tcW w:type="dxa" w:w="2880"/>
          </w:tcPr>
          <w:p>
            <w:r/>
            <w:r>
              <w:rPr>
                <w:b/>
                <w:i/>
                <w:strike w:val="0"/>
                <w:color w:val="7030A0"/>
              </w:rPr>
              <w:t>Lead Tester</w:t>
            </w:r>
            <w:r>
              <w:rPr>
                <w:b w:val="0"/>
                <w:i w:val="0"/>
                <w:strike w:val="0"/>
              </w:rPr>
              <w:t xml:space="preserve"> </w:t>
            </w:r>
            <w:r>
              <w:rPr>
                <w:b w:val="0"/>
                <w:i/>
                <w:strike w:val="0"/>
                <w:color w:val="7030A0"/>
                <w:sz w:val="16"/>
              </w:rPr>
              <w:t xml:space="preserve"> [Aug 2026 client MOM]</w:t>
            </w:r>
          </w:p>
        </w:tc>
        <w:tc>
          <w:tcPr>
            <w:tcW w:type="dxa" w:w="2880"/>
          </w:tcPr>
          <w:p>
            <w:r/>
            <w:r>
              <w:rPr>
                <w:b/>
                <w:i/>
                <w:strike w:val="0"/>
                <w:color w:val="7030A0"/>
              </w:rPr>
              <w:t>NEW in v5.0: when evidence for a financial system or critical control is received and awaits mandatory human verification (FR-90).</w:t>
            </w:r>
            <w:r>
              <w:rPr>
                <w:b w:val="0"/>
                <w:i w:val="0"/>
                <w:strike w:val="0"/>
              </w:rPr>
              <w:t xml:space="preserve"> </w:t>
            </w:r>
            <w:r>
              <w:rPr>
                <w:b w:val="0"/>
                <w:i/>
                <w:strike w:val="0"/>
                <w:color w:val="7030A0"/>
                <w:sz w:val="16"/>
              </w:rPr>
              <w:t xml:space="preserve"> [Aug 2026 client MOM]</w:t>
            </w:r>
          </w:p>
        </w:tc>
      </w:tr>
      <w:tr>
        <w:tc>
          <w:tcPr>
            <w:tcW w:type="dxa" w:w="2880"/>
          </w:tcPr>
          <w:p>
            <w:r/>
            <w:r>
              <w:rPr>
                <w:b/>
                <w:i/>
                <w:strike w:val="0"/>
                <w:color w:val="7030A0"/>
              </w:rPr>
              <w:t>Pending pool item unassigned</w:t>
            </w:r>
            <w:r>
              <w:rPr>
                <w:b w:val="0"/>
                <w:i w:val="0"/>
                <w:strike w:val="0"/>
              </w:rPr>
              <w:t xml:space="preserve"> </w:t>
            </w:r>
            <w:r>
              <w:rPr>
                <w:b w:val="0"/>
                <w:i/>
                <w:strike w:val="0"/>
                <w:color w:val="7030A0"/>
                <w:sz w:val="16"/>
              </w:rPr>
              <w:t xml:space="preserve"> [Aug 2026 client MOM]</w:t>
            </w:r>
          </w:p>
        </w:tc>
        <w:tc>
          <w:tcPr>
            <w:tcW w:type="dxa" w:w="2880"/>
          </w:tcPr>
          <w:p>
            <w:r/>
            <w:r>
              <w:rPr>
                <w:b/>
                <w:i/>
                <w:strike w:val="0"/>
                <w:color w:val="7030A0"/>
              </w:rPr>
              <w:t>CCO</w:t>
            </w:r>
            <w:r>
              <w:rPr>
                <w:b w:val="0"/>
                <w:i w:val="0"/>
                <w:strike w:val="0"/>
              </w:rPr>
              <w:t xml:space="preserve"> </w:t>
            </w:r>
            <w:r>
              <w:rPr>
                <w:b w:val="0"/>
                <w:i/>
                <w:strike w:val="0"/>
                <w:color w:val="7030A0"/>
                <w:sz w:val="16"/>
              </w:rPr>
              <w:t xml:space="preserve"> [Aug 2026 client MOM]</w:t>
            </w:r>
          </w:p>
        </w:tc>
        <w:tc>
          <w:tcPr>
            <w:tcW w:type="dxa" w:w="2880"/>
          </w:tcPr>
          <w:p>
            <w:r/>
            <w:r>
              <w:rPr>
                <w:b/>
                <w:i/>
                <w:strike w:val="0"/>
                <w:color w:val="7030A0"/>
              </w:rPr>
              <w:t>NEW in v5.0: when an item in the FR-78 pool approaches the end of the period it is owed for without being assigned to a tester. This is the pool-model form of the "required test not scheduled" alert above.</w:t>
            </w:r>
            <w:r>
              <w:rPr>
                <w:b w:val="0"/>
                <w:i w:val="0"/>
                <w:strike w:val="0"/>
              </w:rPr>
              <w:t xml:space="preserve"> </w:t>
            </w:r>
            <w:r>
              <w:rPr>
                <w:b w:val="0"/>
                <w:i/>
                <w:strike w:val="0"/>
                <w:color w:val="7030A0"/>
                <w:sz w:val="16"/>
              </w:rPr>
              <w:t xml:space="preserve"> [Aug 2026 client MOM]</w:t>
            </w:r>
          </w:p>
        </w:tc>
      </w:tr>
      <w:tr>
        <w:tc>
          <w:tcPr>
            <w:tcW w:type="dxa" w:w="2880"/>
          </w:tcPr>
          <w:p>
            <w:r/>
            <w:r>
              <w:rPr>
                <w:b/>
                <w:i/>
                <w:strike w:val="0"/>
                <w:color w:val="008080"/>
              </w:rPr>
              <w:t>Regulation updated — review required</w:t>
            </w:r>
            <w:r>
              <w:rPr>
                <w:b w:val="0"/>
                <w:i w:val="0"/>
                <w:strike w:val="0"/>
              </w:rPr>
              <w:t xml:space="preserve"> </w:t>
            </w:r>
            <w:r>
              <w:rPr>
                <w:b w:val="0"/>
                <w:i/>
                <w:strike w:val="0"/>
                <w:color w:val="008080"/>
                <w:sz w:val="16"/>
              </w:rPr>
              <w:t xml:space="preserve"> [11 Aug 2026 MOM]</w:t>
            </w:r>
          </w:p>
        </w:tc>
        <w:tc>
          <w:tcPr>
            <w:tcW w:type="dxa" w:w="2880"/>
          </w:tcPr>
          <w:p>
            <w:r/>
            <w:r>
              <w:rPr>
                <w:b/>
                <w:i/>
                <w:strike w:val="0"/>
                <w:color w:val="008080"/>
              </w:rPr>
              <w:t>Platform Super Admin, on the Portal dashboard</w:t>
            </w:r>
            <w:r>
              <w:rPr>
                <w:b w:val="0"/>
                <w:i w:val="0"/>
                <w:strike w:val="0"/>
              </w:rPr>
              <w:t xml:space="preserve"> </w:t>
            </w:r>
            <w:r>
              <w:rPr>
                <w:b w:val="0"/>
                <w:i/>
                <w:strike w:val="0"/>
                <w:color w:val="008080"/>
                <w:sz w:val="16"/>
              </w:rPr>
              <w:t xml:space="preserve"> [11 Aug 2026 MOM]</w:t>
            </w:r>
          </w:p>
        </w:tc>
        <w:tc>
          <w:tcPr>
            <w:tcW w:type="dxa" w:w="2880"/>
          </w:tcPr>
          <w:p>
            <w:r/>
            <w:r>
              <w:rPr>
                <w:b/>
                <w:i/>
                <w:strike w:val="0"/>
                <w:color w:val="008080"/>
              </w:rPr>
              <w:t>NEW in v6.0: when a regulation the platform already carries (MiCA, DORA) is updated at source and re-enters the draft review queue (SA-15). This is the Portal-side twin of the firm-side "Regulation update published" row above — that one fires on publish, this one fires on detection.</w:t>
            </w:r>
            <w:r>
              <w:rPr>
                <w:b w:val="0"/>
                <w:i w:val="0"/>
                <w:strike w:val="0"/>
              </w:rPr>
              <w:t xml:space="preserve"> </w:t>
            </w:r>
            <w:r>
              <w:rPr>
                <w:b w:val="0"/>
                <w:i/>
                <w:strike w:val="0"/>
                <w:color w:val="008080"/>
                <w:sz w:val="16"/>
              </w:rPr>
              <w:t xml:space="preserve"> [11 Aug 2026 MOM]</w:t>
            </w:r>
          </w:p>
        </w:tc>
      </w:tr>
      <w:tr>
        <w:tc>
          <w:tcPr>
            <w:tcW w:type="dxa" w:w="2880"/>
          </w:tcPr>
          <w:p>
            <w:r/>
            <w:r>
              <w:rPr>
                <w:b/>
                <w:i/>
                <w:strike w:val="0"/>
                <w:color w:val="008080"/>
              </w:rPr>
              <w:t>Article assignment</w:t>
            </w:r>
            <w:r>
              <w:rPr>
                <w:b w:val="0"/>
                <w:i w:val="0"/>
                <w:strike w:val="0"/>
              </w:rPr>
              <w:t xml:space="preserve"> </w:t>
            </w:r>
            <w:r>
              <w:rPr>
                <w:b w:val="0"/>
                <w:i/>
                <w:strike w:val="0"/>
                <w:color w:val="008080"/>
                <w:sz w:val="16"/>
              </w:rPr>
              <w:t xml:space="preserve"> [11 Aug 2026 MOM]</w:t>
            </w:r>
          </w:p>
        </w:tc>
        <w:tc>
          <w:tcPr>
            <w:tcW w:type="dxa" w:w="2880"/>
          </w:tcPr>
          <w:p>
            <w:r/>
            <w:r>
              <w:rPr>
                <w:b/>
                <w:i/>
                <w:strike w:val="0"/>
                <w:color w:val="008080"/>
              </w:rPr>
              <w:t>Each assigned tester</w:t>
            </w:r>
            <w:r>
              <w:rPr>
                <w:b w:val="0"/>
                <w:i w:val="0"/>
                <w:strike w:val="0"/>
              </w:rPr>
              <w:t xml:space="preserve"> </w:t>
            </w:r>
            <w:r>
              <w:rPr>
                <w:b w:val="0"/>
                <w:i/>
                <w:strike w:val="0"/>
                <w:color w:val="008080"/>
                <w:sz w:val="16"/>
              </w:rPr>
              <w:t xml:space="preserve"> [11 Aug 2026 MOM]</w:t>
            </w:r>
          </w:p>
        </w:tc>
        <w:tc>
          <w:tcPr>
            <w:tcW w:type="dxa" w:w="2880"/>
          </w:tcPr>
          <w:p>
            <w:r/>
            <w:r>
              <w:rPr>
                <w:b/>
                <w:i/>
                <w:strike w:val="0"/>
                <w:color w:val="008080"/>
              </w:rPr>
              <w:t>NEW in v6.0: when the CCO fans a test out across several testers, each receives their own notification naming the articles they own rather than the test as a whole (FR-106).</w:t>
            </w:r>
            <w:r>
              <w:rPr>
                <w:b w:val="0"/>
                <w:i w:val="0"/>
                <w:strike w:val="0"/>
              </w:rPr>
              <w:t xml:space="preserve"> </w:t>
            </w:r>
            <w:r>
              <w:rPr>
                <w:b w:val="0"/>
                <w:i/>
                <w:strike w:val="0"/>
                <w:color w:val="008080"/>
                <w:sz w:val="16"/>
              </w:rPr>
              <w:t xml:space="preserve"> [11 Aug 2026 MOM]</w:t>
            </w:r>
          </w:p>
        </w:tc>
      </w:tr>
      <w:tr>
        <w:tc>
          <w:tcPr>
            <w:tcW w:type="dxa" w:w="2880"/>
          </w:tcPr>
          <w:p>
            <w:r/>
            <w:r>
              <w:rPr>
                <w:b/>
                <w:i/>
                <w:strike w:val="0"/>
                <w:color w:val="008080"/>
              </w:rPr>
              <w:t>Gaps identified for review</w:t>
            </w:r>
            <w:r>
              <w:rPr>
                <w:b w:val="0"/>
                <w:i w:val="0"/>
                <w:strike w:val="0"/>
              </w:rPr>
              <w:t xml:space="preserve"> </w:t>
            </w:r>
            <w:r>
              <w:rPr>
                <w:b w:val="0"/>
                <w:i/>
                <w:strike w:val="0"/>
                <w:color w:val="008080"/>
                <w:sz w:val="16"/>
              </w:rPr>
              <w:t xml:space="preserve"> [11 Aug 2026 MOM]</w:t>
            </w:r>
          </w:p>
        </w:tc>
        <w:tc>
          <w:tcPr>
            <w:tcW w:type="dxa" w:w="2880"/>
          </w:tcPr>
          <w:p>
            <w:r/>
            <w:r>
              <w:rPr>
                <w:b/>
                <w:i/>
                <w:strike w:val="0"/>
                <w:color w:val="008080"/>
              </w:rPr>
              <w:t>Lead Tester</w:t>
            </w:r>
            <w:r>
              <w:rPr>
                <w:b w:val="0"/>
                <w:i w:val="0"/>
                <w:strike w:val="0"/>
              </w:rPr>
              <w:t xml:space="preserve"> </w:t>
            </w:r>
            <w:r>
              <w:rPr>
                <w:b w:val="0"/>
                <w:i/>
                <w:strike w:val="0"/>
                <w:color w:val="008080"/>
                <w:sz w:val="16"/>
              </w:rPr>
              <w:t xml:space="preserve"> [11 Aug 2026 MOM]</w:t>
            </w:r>
          </w:p>
        </w:tc>
        <w:tc>
          <w:tcPr>
            <w:tcW w:type="dxa" w:w="2880"/>
          </w:tcPr>
          <w:p>
            <w:r/>
            <w:r>
              <w:rPr>
                <w:b/>
                <w:i/>
                <w:strike w:val="0"/>
                <w:color w:val="008080"/>
              </w:rPr>
              <w:t>NEW in v6.0: when the platform finishes its policy-to-regulation gap analysis on reviewed evidence and has candidate gaps awaiting the tester's confirmation (FR-112).</w:t>
            </w:r>
            <w:r>
              <w:rPr>
                <w:b w:val="0"/>
                <w:i w:val="0"/>
                <w:strike w:val="0"/>
              </w:rPr>
              <w:t xml:space="preserve"> </w:t>
            </w:r>
            <w:r>
              <w:rPr>
                <w:b w:val="0"/>
                <w:i/>
                <w:strike w:val="0"/>
                <w:color w:val="008080"/>
                <w:sz w:val="16"/>
              </w:rPr>
              <w:t xml:space="preserve"> [11 Aug 2026 MOM]</w:t>
            </w:r>
          </w:p>
        </w:tc>
      </w:tr>
      <w:tr>
        <w:tc>
          <w:tcPr>
            <w:tcW w:type="dxa" w:w="2880"/>
          </w:tcPr>
          <w:p>
            <w:r/>
            <w:r>
              <w:rPr>
                <w:b/>
                <w:i/>
                <w:strike w:val="0"/>
                <w:color w:val="843C0C"/>
              </w:rPr>
              <w:t>New enquiry received</w:t>
            </w:r>
            <w:r>
              <w:rPr>
                <w:b w:val="0"/>
                <w:i w:val="0"/>
                <w:strike w:val="0"/>
              </w:rPr>
              <w:t xml:space="preserve"> </w:t>
            </w:r>
            <w:r>
              <w:rPr>
                <w:b w:val="0"/>
                <w:i/>
                <w:strike w:val="0"/>
                <w:color w:val="843C0C"/>
                <w:sz w:val="16"/>
              </w:rPr>
              <w:t xml:space="preserve"> [Aug 2026 onboarding flow]</w:t>
            </w:r>
          </w:p>
        </w:tc>
        <w:tc>
          <w:tcPr>
            <w:tcW w:type="dxa" w:w="2880"/>
          </w:tcPr>
          <w:p>
            <w:r/>
            <w:r>
              <w:rPr>
                <w:b/>
                <w:i/>
                <w:strike w:val="0"/>
                <w:color w:val="843C0C"/>
              </w:rPr>
              <w:t>Sosinna's team, on the Portal dashboard</w:t>
            </w:r>
            <w:r>
              <w:rPr>
                <w:b w:val="0"/>
                <w:i w:val="0"/>
                <w:strike w:val="0"/>
              </w:rPr>
              <w:t xml:space="preserve"> </w:t>
            </w:r>
            <w:r>
              <w:rPr>
                <w:b w:val="0"/>
                <w:i/>
                <w:strike w:val="0"/>
                <w:color w:val="843C0C"/>
                <w:sz w:val="16"/>
              </w:rPr>
              <w:t xml:space="preserve"> [Aug 2026 onboarding flow]</w:t>
            </w:r>
          </w:p>
        </w:tc>
        <w:tc>
          <w:tcPr>
            <w:tcW w:type="dxa" w:w="2880"/>
          </w:tcPr>
          <w:p>
            <w:r/>
            <w:r>
              <w:rPr>
                <w:b/>
                <w:i/>
                <w:strike w:val="0"/>
                <w:color w:val="843C0C"/>
              </w:rPr>
              <w:t>NEW in v7.0: when a firm submits an enquiry (SA-16). A prospect waiting for a reply is a lead going cold.</w:t>
            </w:r>
            <w:r>
              <w:rPr>
                <w:b w:val="0"/>
                <w:i w:val="0"/>
                <w:strike w:val="0"/>
              </w:rPr>
              <w:t xml:space="preserve"> </w:t>
            </w:r>
            <w:r>
              <w:rPr>
                <w:b w:val="0"/>
                <w:i/>
                <w:strike w:val="0"/>
                <w:color w:val="843C0C"/>
                <w:sz w:val="16"/>
              </w:rPr>
              <w:t xml:space="preserve"> [Aug 2026 onboarding flow]</w:t>
            </w:r>
          </w:p>
        </w:tc>
      </w:tr>
      <w:tr>
        <w:tc>
          <w:tcPr>
            <w:tcW w:type="dxa" w:w="2880"/>
          </w:tcPr>
          <w:p>
            <w:r/>
            <w:r>
              <w:rPr>
                <w:b/>
                <w:i/>
                <w:strike w:val="0"/>
                <w:color w:val="843C0C"/>
              </w:rPr>
              <w:t>Onboarding link issued</w:t>
            </w:r>
            <w:r>
              <w:rPr>
                <w:b w:val="0"/>
                <w:i w:val="0"/>
                <w:strike w:val="0"/>
              </w:rPr>
              <w:t xml:space="preserve"> </w:t>
            </w:r>
            <w:r>
              <w:rPr>
                <w:b w:val="0"/>
                <w:i/>
                <w:strike w:val="0"/>
                <w:color w:val="843C0C"/>
                <w:sz w:val="16"/>
              </w:rPr>
              <w:t xml:space="preserve"> [Aug 2026 onboarding flow]</w:t>
            </w:r>
          </w:p>
        </w:tc>
        <w:tc>
          <w:tcPr>
            <w:tcW w:type="dxa" w:w="2880"/>
          </w:tcPr>
          <w:p>
            <w:r/>
            <w:r>
              <w:rPr>
                <w:b/>
                <w:i/>
                <w:strike w:val="0"/>
                <w:color w:val="843C0C"/>
              </w:rPr>
              <w:t>The firm's named contact, by email</w:t>
            </w:r>
            <w:r>
              <w:rPr>
                <w:b w:val="0"/>
                <w:i w:val="0"/>
                <w:strike w:val="0"/>
              </w:rPr>
              <w:t xml:space="preserve"> </w:t>
            </w:r>
            <w:r>
              <w:rPr>
                <w:b w:val="0"/>
                <w:i/>
                <w:strike w:val="0"/>
                <w:color w:val="843C0C"/>
                <w:sz w:val="16"/>
              </w:rPr>
              <w:t xml:space="preserve"> [Aug 2026 onboarding flow]</w:t>
            </w:r>
          </w:p>
        </w:tc>
        <w:tc>
          <w:tcPr>
            <w:tcW w:type="dxa" w:w="2880"/>
          </w:tcPr>
          <w:p>
            <w:r/>
            <w:r>
              <w:rPr>
                <w:b/>
                <w:i/>
                <w:strike w:val="0"/>
                <w:color w:val="843C0C"/>
              </w:rPr>
              <w:t>NEW in v7.0: when Sosinna's team generates the link (SA-20). This email is the firm's only route in, so delivery failure must be visible to the sender.</w:t>
            </w:r>
            <w:r>
              <w:rPr>
                <w:b w:val="0"/>
                <w:i w:val="0"/>
                <w:strike w:val="0"/>
              </w:rPr>
              <w:t xml:space="preserve"> </w:t>
            </w:r>
            <w:r>
              <w:rPr>
                <w:b w:val="0"/>
                <w:i/>
                <w:strike w:val="0"/>
                <w:color w:val="843C0C"/>
                <w:sz w:val="16"/>
              </w:rPr>
              <w:t xml:space="preserve"> [Aug 2026 onboarding flow]</w:t>
            </w:r>
          </w:p>
        </w:tc>
      </w:tr>
      <w:tr>
        <w:tc>
          <w:tcPr>
            <w:tcW w:type="dxa" w:w="2880"/>
          </w:tcPr>
          <w:p>
            <w:r/>
            <w:r>
              <w:rPr>
                <w:b/>
                <w:i/>
                <w:strike w:val="0"/>
                <w:color w:val="843C0C"/>
              </w:rPr>
              <w:t>Onboarding stalled</w:t>
            </w:r>
            <w:r>
              <w:rPr>
                <w:b w:val="0"/>
                <w:i w:val="0"/>
                <w:strike w:val="0"/>
              </w:rPr>
              <w:t xml:space="preserve"> </w:t>
            </w:r>
            <w:r>
              <w:rPr>
                <w:b w:val="0"/>
                <w:i/>
                <w:strike w:val="0"/>
                <w:color w:val="843C0C"/>
                <w:sz w:val="16"/>
              </w:rPr>
              <w:t xml:space="preserve"> [Aug 2026 onboarding flow]</w:t>
            </w:r>
          </w:p>
        </w:tc>
        <w:tc>
          <w:tcPr>
            <w:tcW w:type="dxa" w:w="2880"/>
          </w:tcPr>
          <w:p>
            <w:r/>
            <w:r>
              <w:rPr>
                <w:b/>
                <w:i/>
                <w:strike w:val="0"/>
                <w:color w:val="843C0C"/>
              </w:rPr>
              <w:t>Sosinna's team</w:t>
            </w:r>
            <w:r>
              <w:rPr>
                <w:b w:val="0"/>
                <w:i w:val="0"/>
                <w:strike w:val="0"/>
              </w:rPr>
              <w:t xml:space="preserve"> </w:t>
            </w:r>
            <w:r>
              <w:rPr>
                <w:b w:val="0"/>
                <w:i/>
                <w:strike w:val="0"/>
                <w:color w:val="843C0C"/>
                <w:sz w:val="16"/>
              </w:rPr>
              <w:t xml:space="preserve"> [Aug 2026 onboarding flow]</w:t>
            </w:r>
          </w:p>
        </w:tc>
        <w:tc>
          <w:tcPr>
            <w:tcW w:type="dxa" w:w="2880"/>
          </w:tcPr>
          <w:p>
            <w:r/>
            <w:r>
              <w:rPr>
                <w:b/>
                <w:i/>
                <w:strike w:val="0"/>
                <w:color w:val="843C0C"/>
              </w:rPr>
              <w:t>NEW in v7.0: when a firm has started onboarding but not completed it, or its link is approaching expiry (SA-21, FR-128).</w:t>
            </w:r>
            <w:r>
              <w:rPr>
                <w:b w:val="0"/>
                <w:i w:val="0"/>
                <w:strike w:val="0"/>
              </w:rPr>
              <w:t xml:space="preserve"> </w:t>
            </w:r>
            <w:r>
              <w:rPr>
                <w:b w:val="0"/>
                <w:i/>
                <w:strike w:val="0"/>
                <w:color w:val="843C0C"/>
                <w:sz w:val="16"/>
              </w:rPr>
              <w:t xml:space="preserve"> [Aug 2026 onboarding flow]</w:t>
            </w:r>
          </w:p>
        </w:tc>
      </w:tr>
      <w:tr>
        <w:tc>
          <w:tcPr>
            <w:tcW w:type="dxa" w:w="2880"/>
          </w:tcPr>
          <w:p>
            <w:r/>
            <w:r>
              <w:rPr>
                <w:b/>
                <w:i/>
                <w:strike w:val="0"/>
                <w:color w:val="843C0C"/>
              </w:rPr>
              <w:t>Payment failed</w:t>
            </w:r>
            <w:r>
              <w:rPr>
                <w:b w:val="0"/>
                <w:i w:val="0"/>
                <w:strike w:val="0"/>
              </w:rPr>
              <w:t xml:space="preserve"> </w:t>
            </w:r>
            <w:r>
              <w:rPr>
                <w:b w:val="0"/>
                <w:i/>
                <w:strike w:val="0"/>
                <w:color w:val="843C0C"/>
                <w:sz w:val="16"/>
              </w:rPr>
              <w:t xml:space="preserve"> [Aug 2026 onboarding flow]</w:t>
            </w:r>
          </w:p>
        </w:tc>
        <w:tc>
          <w:tcPr>
            <w:tcW w:type="dxa" w:w="2880"/>
          </w:tcPr>
          <w:p>
            <w:r/>
            <w:r>
              <w:rPr>
                <w:b/>
                <w:i/>
                <w:strike w:val="0"/>
                <w:color w:val="843C0C"/>
              </w:rPr>
              <w:t>The firm, and Sosinna's team after repeated failures</w:t>
            </w:r>
            <w:r>
              <w:rPr>
                <w:b w:val="0"/>
                <w:i w:val="0"/>
                <w:strike w:val="0"/>
              </w:rPr>
              <w:t xml:space="preserve"> </w:t>
            </w:r>
            <w:r>
              <w:rPr>
                <w:b w:val="0"/>
                <w:i/>
                <w:strike w:val="0"/>
                <w:color w:val="843C0C"/>
                <w:sz w:val="16"/>
              </w:rPr>
              <w:t xml:space="preserve"> [Aug 2026 onboarding flow]</w:t>
            </w:r>
          </w:p>
        </w:tc>
        <w:tc>
          <w:tcPr>
            <w:tcW w:type="dxa" w:w="2880"/>
          </w:tcPr>
          <w:p>
            <w:r/>
            <w:r>
              <w:rPr>
                <w:b/>
                <w:i/>
                <w:strike w:val="0"/>
                <w:color w:val="843C0C"/>
              </w:rPr>
              <w:t>NEW in v7.0: when a payment attempt fails (FR-126). The firm is told plainly and can retry; the team is told so they can intervene.</w:t>
            </w:r>
            <w:r>
              <w:rPr>
                <w:b w:val="0"/>
                <w:i w:val="0"/>
                <w:strike w:val="0"/>
              </w:rPr>
              <w:t xml:space="preserve"> </w:t>
            </w:r>
            <w:r>
              <w:rPr>
                <w:b w:val="0"/>
                <w:i/>
                <w:strike w:val="0"/>
                <w:color w:val="843C0C"/>
                <w:sz w:val="16"/>
              </w:rPr>
              <w:t xml:space="preserve"> [Aug 2026 onboarding flow]</w:t>
            </w:r>
          </w:p>
        </w:tc>
      </w:tr>
      <w:tr>
        <w:tc>
          <w:tcPr>
            <w:tcW w:type="dxa" w:w="2880"/>
          </w:tcPr>
          <w:p>
            <w:r/>
            <w:r>
              <w:rPr>
                <w:b/>
                <w:i/>
                <w:strike w:val="0"/>
                <w:color w:val="843C0C"/>
              </w:rPr>
              <w:t>Firm activated</w:t>
            </w:r>
            <w:r>
              <w:rPr>
                <w:b w:val="0"/>
                <w:i w:val="0"/>
                <w:strike w:val="0"/>
              </w:rPr>
              <w:t xml:space="preserve"> </w:t>
            </w:r>
            <w:r>
              <w:rPr>
                <w:b w:val="0"/>
                <w:i/>
                <w:strike w:val="0"/>
                <w:color w:val="843C0C"/>
                <w:sz w:val="16"/>
              </w:rPr>
              <w:t xml:space="preserve"> [Aug 2026 onboarding flow]</w:t>
            </w:r>
          </w:p>
        </w:tc>
        <w:tc>
          <w:tcPr>
            <w:tcW w:type="dxa" w:w="2880"/>
          </w:tcPr>
          <w:p>
            <w:r/>
            <w:r>
              <w:rPr>
                <w:b/>
                <w:i/>
                <w:strike w:val="0"/>
                <w:color w:val="843C0C"/>
              </w:rPr>
              <w:t>Sosinna's team, and the firm's administrators</w:t>
            </w:r>
            <w:r>
              <w:rPr>
                <w:b w:val="0"/>
                <w:i w:val="0"/>
                <w:strike w:val="0"/>
              </w:rPr>
              <w:t xml:space="preserve"> </w:t>
            </w:r>
            <w:r>
              <w:rPr>
                <w:b w:val="0"/>
                <w:i/>
                <w:strike w:val="0"/>
                <w:color w:val="843C0C"/>
                <w:sz w:val="16"/>
              </w:rPr>
              <w:t xml:space="preserve"> [Aug 2026 onboarding flow]</w:t>
            </w:r>
          </w:p>
        </w:tc>
        <w:tc>
          <w:tcPr>
            <w:tcW w:type="dxa" w:w="2880"/>
          </w:tcPr>
          <w:p>
            <w:r/>
            <w:r>
              <w:rPr>
                <w:b/>
                <w:i/>
                <w:strike w:val="0"/>
                <w:color w:val="843C0C"/>
              </w:rPr>
              <w:t>NEW in v7.0: on successful payment and tenant activation (FR-125). The firm's welcome-and-log-in message; the team's confirmation that a sale closed.</w:t>
            </w:r>
            <w:r>
              <w:rPr>
                <w:b w:val="0"/>
                <w:i w:val="0"/>
                <w:strike w:val="0"/>
              </w:rPr>
              <w:t xml:space="preserve"> </w:t>
            </w:r>
            <w:r>
              <w:rPr>
                <w:b w:val="0"/>
                <w:i/>
                <w:strike w:val="0"/>
                <w:color w:val="843C0C"/>
                <w:sz w:val="16"/>
              </w:rPr>
              <w:t xml:space="preserve"> [Aug 2026 onboarding flow]</w:t>
            </w:r>
          </w:p>
        </w:tc>
      </w:tr>
    </w:tbl>
    <w:tbl>
      <w:tblPr>
        <w:tblStyle w:val="TableGrid"/>
        <w:tblW w:type="auto" w:w="0"/>
        <w:tblLook w:firstColumn="1" w:firstRow="1" w:lastColumn="0" w:lastRow="0" w:noHBand="0" w:noVBand="1" w:val="04A0"/>
      </w:tblPr>
      <w:tblGrid>
        <w:gridCol w:w="8640"/>
      </w:tblGrid>
      <w:tr>
        <w:tc>
          <w:tcPr>
            <w:tcW w:type="dxa" w:w="8640"/>
            <w:shd w:val="clear" w:fill="DDEBF7"/>
          </w:tcPr>
          <w:p>
            <w:r>
              <w:rPr>
                <w:b/>
                <w:i w:val="0"/>
                <w:strike w:val="0"/>
              </w:rPr>
              <w:t>💬 Questions still to confirm</w:t>
            </w:r>
          </w:p>
          <w:p>
            <w:pPr>
              <w:pStyle w:val="ListBullet"/>
            </w:pPr>
            <w:r>
              <w:rPr>
                <w:b/>
                <w:i w:val="0"/>
                <w:strike w:val="0"/>
              </w:rPr>
              <w:t>Channels (NT-01) — RESOLVED on the 25 Jun call:</w:t>
            </w:r>
            <w:r>
              <w:rPr>
                <w:b w:val="0"/>
                <w:i w:val="0"/>
                <w:strike w:val="0"/>
              </w:rPr>
              <w:t xml:space="preserve"> </w:t>
            </w:r>
            <w:r>
              <w:rPr>
                <w:b w:val="0"/>
                <w:i/>
                <w:strike w:val="0"/>
                <w:color w:val="1155CC"/>
              </w:rPr>
              <w:t>email and in-platform only, confirmed as the baseline and the ceiling for MVP. No SMS. Slack/Teams integration wasn't explicitly ruled out but wasn't raised as a requirement either — treat as out of scope for MVP unless it resurfaces.</w:t>
            </w:r>
            <w:r>
              <w:rPr>
                <w:b w:val="0"/>
                <w:i w:val="0"/>
                <w:strike w:val="0"/>
              </w:rPr>
              <w:t xml:space="preserve"> </w:t>
            </w:r>
            <w:r>
              <w:rPr>
                <w:b w:val="0"/>
                <w:i/>
                <w:strike w:val="0"/>
                <w:color w:val="1155CC"/>
                <w:sz w:val="16"/>
              </w:rPr>
              <w:t xml:space="preserve"> [25 Jun FRD call]</w:t>
            </w:r>
          </w:p>
          <w:p>
            <w:pPr>
              <w:pStyle w:val="ListBullet"/>
            </w:pPr>
            <w:r>
              <w:rPr>
                <w:b/>
                <w:i w:val="0"/>
                <w:strike w:val="0"/>
              </w:rPr>
              <w:t>Preferences (NT-02) — RESOLVED on the 25 Jun call:</w:t>
            </w:r>
            <w:r>
              <w:rPr>
                <w:b w:val="0"/>
                <w:i w:val="0"/>
                <w:strike w:val="0"/>
              </w:rPr>
              <w:t xml:space="preserve"> </w:t>
            </w:r>
            <w:r>
              <w:rPr>
                <w:b w:val="0"/>
                <w:i/>
                <w:strike w:val="0"/>
                <w:color w:val="1155CC"/>
              </w:rPr>
              <w:t>configurable at the individual user level, but only for users who actually log in. Distribution-list-only recipients (no login) get no configuration — they always receive. The CCO is accountable for setting the baseline; this was framed explicitly as an accountability exercise, not just a UX nicety.</w:t>
            </w:r>
            <w:r>
              <w:rPr>
                <w:b w:val="0"/>
                <w:i w:val="0"/>
                <w:strike w:val="0"/>
              </w:rPr>
              <w:t xml:space="preserve"> </w:t>
            </w:r>
            <w:r>
              <w:rPr>
                <w:b w:val="0"/>
                <w:i/>
                <w:strike w:val="0"/>
                <w:color w:val="1155CC"/>
                <w:sz w:val="16"/>
              </w:rPr>
              <w:t xml:space="preserve"> [25 Jun FRD call]</w:t>
            </w:r>
          </w:p>
          <w:p>
            <w:pPr>
              <w:pStyle w:val="ListBullet"/>
            </w:pPr>
            <w:r>
              <w:rPr>
                <w:b/>
                <w:i w:val="0"/>
                <w:strike w:val="0"/>
              </w:rPr>
              <w:t>Digest (NT-03) — RESOLVED on the 25 Jun call:</w:t>
            </w:r>
            <w:r>
              <w:rPr>
                <w:b w:val="0"/>
                <w:i w:val="0"/>
                <w:strike w:val="0"/>
              </w:rPr>
              <w:t xml:space="preserve"> </w:t>
            </w:r>
            <w:r>
              <w:rPr>
                <w:b w:val="0"/>
                <w:i/>
                <w:strike w:val="0"/>
                <w:color w:val="1155CC"/>
              </w:rPr>
              <w:t>no general daily/weekly summary of everything. Instead, a weekly digest specifically for outstanding/overdue request items (see the new alert row above), toggleable per firm. Repeated single-item overdue emails remain the escalation mechanism for urgency — the digest is for management visibility, not urgency.</w:t>
            </w:r>
            <w:r>
              <w:rPr>
                <w:b w:val="0"/>
                <w:i w:val="0"/>
                <w:strike w:val="0"/>
              </w:rPr>
              <w:t xml:space="preserve"> </w:t>
            </w:r>
            <w:r>
              <w:rPr>
                <w:b w:val="0"/>
                <w:i/>
                <w:strike w:val="0"/>
                <w:color w:val="1155CC"/>
                <w:sz w:val="16"/>
              </w:rPr>
              <w:t xml:space="preserve"> [25 Jun FRD call]</w:t>
            </w:r>
          </w:p>
        </w:tc>
      </w:tr>
    </w:tbl>
    <w:p>
      <w:pPr>
        <w:pStyle w:val="Heading1"/>
      </w:pPr>
      <w:r>
        <w:t>13. Technical and Security Requirements</w:t>
      </w:r>
    </w:p>
    <w:p>
      <w:r>
        <w:rPr>
          <w:b w:val="0"/>
          <w:i w:val="0"/>
          <w:strike w:val="0"/>
        </w:rPr>
        <w:t>This section is primarily for the development team. It describes the non-negotiable technical standards the platform must meet.</w:t>
      </w:r>
    </w:p>
    <w:p>
      <w:pPr>
        <w:pStyle w:val="Heading2"/>
      </w:pPr>
      <w:r>
        <w:t>13.1 Security and Data Protection</w:t>
      </w:r>
    </w:p>
    <w:p>
      <w:r>
        <w:rPr>
          <w:b/>
          <w:i w:val="0"/>
          <w:strike w:val="0"/>
          <w:color w:val="1155CC"/>
        </w:rPr>
        <w:t>[NFR-01]</w:t>
      </w:r>
      <w:r>
        <w:rPr>
          <w:b w:val="0"/>
          <w:i w:val="0"/>
          <w:strike w:val="0"/>
        </w:rPr>
        <w:t xml:space="preserve"> Every client firm's data is held in complete isolation from every other firm. This is what 'multi-tenant architecture' means — one shared platform infrastructure, but each firm's data in a completely separate partition. No firm can ever access another firm's data, even accidentally.</w:t>
      </w:r>
    </w:p>
    <w:p>
      <w:r>
        <w:rPr>
          <w:b/>
          <w:i w:val="0"/>
          <w:strike w:val="0"/>
          <w:color w:val="1155CC"/>
        </w:rPr>
        <w:t>[NFR-02]</w:t>
      </w:r>
      <w:r>
        <w:rPr>
          <w:b w:val="0"/>
          <w:i w:val="0"/>
          <w:strike w:val="0"/>
        </w:rPr>
        <w:t xml:space="preserve"> All data is encrypted at rest (meaning data stored on disk is unreadable without a decryption key) using AES-256 — a standard used by governments and banks. All data moving between the platform and users' browsers is encrypted using TLS 1.3. Each firm has its own encryption key.</w:t>
      </w:r>
    </w:p>
    <w:p>
      <w:r>
        <w:rPr>
          <w:b/>
          <w:i w:val="0"/>
          <w:strike w:val="0"/>
          <w:color w:val="1155CC"/>
        </w:rPr>
        <w:t>[NFR-03]</w:t>
      </w:r>
      <w:r>
        <w:rPr>
          <w:b w:val="0"/>
          <w:i w:val="0"/>
          <w:strike w:val="0"/>
        </w:rPr>
        <w:t xml:space="preserve"> All client data must be stored in EU-based data centres. This is required by GDPR (the General Data Protection Regulation) and expected by the regulators that will be using this platform.</w:t>
      </w:r>
    </w:p>
    <w:p>
      <w:r>
        <w:rPr>
          <w:b/>
          <w:i w:val="0"/>
          <w:strike w:val="0"/>
          <w:color w:val="1155CC"/>
        </w:rPr>
        <w:t>[NFR-04]</w:t>
      </w:r>
      <w:r>
        <w:rPr>
          <w:b w:val="0"/>
          <w:i w:val="0"/>
          <w:strike w:val="0"/>
        </w:rPr>
        <w:t xml:space="preserve"> Every action in the platform is permanently recorded in a tamper-proof audit log. Not even the system administrators at SayOne can modify or delete this log. It exists to provide irrefutable proof to a regulator that the compliance process was followed correctly.</w:t>
      </w:r>
    </w:p>
    <w:p>
      <w:r>
        <w:rPr>
          <w:b/>
          <w:i w:val="0"/>
          <w:strike w:val="0"/>
          <w:color w:val="1155CC"/>
        </w:rPr>
        <w:t>[NFR-06]</w:t>
      </w:r>
      <w:r>
        <w:rPr>
          <w:b w:val="0"/>
          <w:i w:val="0"/>
          <w:strike w:val="0"/>
        </w:rPr>
        <w:t xml:space="preserve"> The platform is GDPR-compliant as a data processor — meaning SayOne processes personal data on behalf of client firms, under a Data Processing Agreement.</w:t>
      </w:r>
    </w:p>
    <w:p>
      <w:r>
        <w:rPr>
          <w:b/>
          <w:i w:val="0"/>
          <w:strike w:val="0"/>
          <w:color w:val="1155CC"/>
        </w:rPr>
        <w:t>[NFR-12]</w:t>
      </w:r>
      <w:r>
        <w:rPr>
          <w:b w:val="0"/>
          <w:i w:val="0"/>
          <w:strike w:val="0"/>
        </w:rPr>
        <w:t xml:space="preserve"> </w:t>
      </w:r>
      <w:r>
        <w:rPr>
          <w:b/>
          <w:i/>
          <w:strike w:val="0"/>
          <w:color w:val="843C0C"/>
        </w:rPr>
        <w:t>Card and bank details are never stored, processed or logged by ControlIQ. Payment is taken through a payment provider's hosted checkout or hosted input fields, so card data passes from the payer's browser directly to the provider and the platform holds only a provider token and a transaction reference. This keeps the platform at the lightest PCI DSS tier and keeps card data out of the Section 2 retention regime entirely. Tenant activation is driven by the provider's server-to-server confirmation, never by the browser returning to a success page.</w:t>
      </w:r>
      <w:r>
        <w:rPr>
          <w:b w:val="0"/>
          <w:i w:val="0"/>
          <w:strike w:val="0"/>
        </w:rPr>
        <w:t xml:space="preserve"> </w:t>
      </w:r>
      <w:r>
        <w:rPr>
          <w:b w:val="0"/>
          <w:i/>
          <w:strike w:val="0"/>
          <w:color w:val="843C0C"/>
          <w:sz w:val="16"/>
        </w:rPr>
        <w:t xml:space="preserve"> [Aug 2026 onboarding flow]</w:t>
      </w:r>
    </w:p>
    <w:tbl>
      <w:tblPr>
        <w:tblStyle w:val="TableGrid"/>
        <w:tblW w:type="auto" w:w="0"/>
        <w:tblLook w:firstColumn="1" w:firstRow="1" w:lastColumn="0" w:lastRow="0" w:noHBand="0" w:noVBand="1" w:val="04A0"/>
      </w:tblPr>
      <w:tblGrid>
        <w:gridCol w:w="8640"/>
      </w:tblGrid>
      <w:tr>
        <w:tc>
          <w:tcPr>
            <w:tcW w:type="dxa" w:w="8640"/>
            <w:shd w:val="clear" w:fill="EDEDED"/>
          </w:tcPr>
          <w:p>
            <w:r>
              <w:rPr>
                <w:b/>
                <w:i w:val="0"/>
                <w:strike w:val="0"/>
              </w:rPr>
              <w:t>DEVELOPER NOTE</w:t>
            </w:r>
            <w:r>
              <w:rPr>
                <w:b w:val="0"/>
                <w:i w:val="0"/>
                <w:strike w:val="0"/>
              </w:rPr>
              <w:t xml:space="preserve"> </w:t>
            </w:r>
            <w:r>
              <w:rPr>
                <w:b w:val="0"/>
                <w:i/>
                <w:strike w:val="0"/>
              </w:rPr>
              <w:t>(grey — new in v7.0)</w:t>
            </w:r>
          </w:p>
          <w:p>
            <w:r>
              <w:rPr>
                <w:b/>
                <w:i w:val="0"/>
                <w:strike w:val="0"/>
              </w:rPr>
              <w:t>📌 Note</w:t>
            </w:r>
          </w:p>
          <w:p>
            <w:pPr>
              <w:pStyle w:val="ListBullet"/>
            </w:pPr>
            <w:r>
              <w:rPr>
                <w:b/>
                <w:i/>
                <w:strike w:val="0"/>
                <w:color w:val="843C0C"/>
              </w:rPr>
              <w:t>NFR-12 is not negotiable for cost or convenience. Accepting a card number into the application, even in transit, moves the platform into a PCI assessment tier that the project is not scoped or budgeted for and that a fixed-fee milestone contract cannot absorb.</w:t>
            </w:r>
            <w:r>
              <w:rPr>
                <w:b w:val="0"/>
                <w:i w:val="0"/>
                <w:strike w:val="0"/>
              </w:rPr>
              <w:t xml:space="preserve"> </w:t>
            </w:r>
            <w:r>
              <w:rPr>
                <w:b w:val="0"/>
                <w:i/>
                <w:strike w:val="0"/>
                <w:color w:val="843C0C"/>
                <w:sz w:val="16"/>
              </w:rPr>
              <w:t xml:space="preserve"> [Aug 2026 onboarding flow]</w:t>
            </w:r>
          </w:p>
          <w:p>
            <w:pPr>
              <w:pStyle w:val="ListBullet"/>
            </w:pPr>
            <w:r>
              <w:rPr>
                <w:b/>
                <w:i/>
                <w:strike w:val="0"/>
                <w:color w:val="843C0C"/>
              </w:rPr>
              <w:t>The provider must have EU processing to sit alongside NFR-03, and a Data Processing Agreement under NFR-06. Provider selection is ON-03 and is a prerequisite for the Section 5.7 estimate.</w:t>
            </w:r>
            <w:r>
              <w:rPr>
                <w:b w:val="0"/>
                <w:i w:val="0"/>
                <w:strike w:val="0"/>
              </w:rPr>
              <w:t xml:space="preserve"> </w:t>
            </w:r>
            <w:r>
              <w:rPr>
                <w:b w:val="0"/>
                <w:i/>
                <w:strike w:val="0"/>
                <w:color w:val="843C0C"/>
                <w:sz w:val="16"/>
              </w:rPr>
              <w:t xml:space="preserve"> [Aug 2026 onboarding flow]</w:t>
            </w:r>
          </w:p>
        </w:tc>
      </w:tr>
    </w:tbl>
    <w:p>
      <w:pPr>
        <w:pStyle w:val="Heading2"/>
      </w:pPr>
      <w:r>
        <w:t>13.2 Performance and Availability</w:t>
      </w:r>
    </w:p>
    <w:p>
      <w:r>
        <w:rPr>
          <w:b/>
          <w:i w:val="0"/>
          <w:strike w:val="0"/>
          <w:color w:val="1155CC"/>
        </w:rPr>
        <w:t>[NFR-05]</w:t>
      </w:r>
      <w:r>
        <w:rPr>
          <w:b w:val="0"/>
          <w:i w:val="0"/>
          <w:strike w:val="0"/>
        </w:rPr>
        <w:t xml:space="preserve"> Dashboard pages load within two seconds under normal load. The platform supports up to 100 simultaneous users per firm without performance degradation.</w:t>
      </w:r>
    </w:p>
    <w:p>
      <w:r>
        <w:rPr>
          <w:b/>
          <w:i w:val="0"/>
          <w:strike w:val="0"/>
          <w:color w:val="1155CC"/>
        </w:rPr>
        <w:t>[NFR-07]</w:t>
      </w:r>
      <w:r>
        <w:rPr>
          <w:b w:val="0"/>
          <w:i w:val="0"/>
          <w:strike w:val="0"/>
        </w:rPr>
        <w:t xml:space="preserve"> All test results, findings, evidence, reports, and audit logs are retained for a minimum of six years. No user — including administrators — can delete them.</w:t>
      </w:r>
    </w:p>
    <w:p>
      <w:r>
        <w:rPr>
          <w:b/>
          <w:i w:val="0"/>
          <w:strike w:val="0"/>
          <w:color w:val="1155CC"/>
        </w:rPr>
        <w:t>[NFR-08]</w:t>
      </w:r>
      <w:r>
        <w:rPr>
          <w:b w:val="0"/>
          <w:i w:val="0"/>
          <w:strike w:val="0"/>
        </w:rPr>
        <w:t xml:space="preserve"> The platform targets 99.5% availability (this means it can be down for no more than approximately 44 hours per year). Planned maintenance windows are communicated in advance.</w:t>
      </w:r>
    </w:p>
    <w:p>
      <w:r>
        <w:rPr>
          <w:b/>
          <w:i w:val="0"/>
          <w:strike w:val="0"/>
          <w:color w:val="1155CC"/>
        </w:rPr>
        <w:t>[NFR-09]</w:t>
      </w:r>
      <w:r>
        <w:rPr>
          <w:b w:val="0"/>
          <w:i w:val="0"/>
          <w:strike w:val="0"/>
        </w:rPr>
        <w:t xml:space="preserve"> ISO 27001 (the international standard for information security management) and SOC 2 Type II (a US data security standard widely required by enterprise clients) are on the product roadmap. The timeline for achieving these certifications will be agreed with Sosinna's team.</w:t>
      </w:r>
    </w:p>
    <w:p>
      <w:r>
        <w:rPr>
          <w:b/>
          <w:i w:val="0"/>
          <w:strike w:val="0"/>
          <w:color w:val="1155CC"/>
        </w:rPr>
        <w:t>[NFR-10]</w:t>
      </w:r>
      <w:r>
        <w:rPr>
          <w:b w:val="0"/>
          <w:i w:val="0"/>
          <w:strike w:val="0"/>
        </w:rPr>
        <w:t xml:space="preserve"> The platform runs in a web browser — Chrome, Firefox, Edge, and Safari on desktop. The browser version should work well enough on mobile for approval sign-offs. There is no dedicated mobile app in the first version.</w:t>
      </w:r>
    </w:p>
    <w:p>
      <w:r>
        <w:rPr>
          <w:b/>
          <w:i w:val="0"/>
          <w:strike w:val="0"/>
          <w:color w:val="1155CC"/>
        </w:rPr>
        <w:t>[NFR-11]</w:t>
      </w:r>
      <w:r>
        <w:rPr>
          <w:b w:val="0"/>
          <w:i w:val="0"/>
          <w:strike w:val="0"/>
        </w:rPr>
        <w:t xml:space="preserve"> The maximum evidence file size is a configuration setting managed in the Platform Admin Portal. The development team will set an initial limit based on infrastructure cost modelling, and it can be adjusted without a code release.</w:t>
      </w:r>
    </w:p>
    <w:tbl>
      <w:tblPr>
        <w:tblStyle w:val="TableGrid"/>
        <w:tblW w:type="auto" w:w="0"/>
        <w:tblLook w:firstColumn="1" w:firstRow="1" w:lastColumn="0" w:lastRow="0" w:noHBand="0" w:noVBand="1" w:val="04A0"/>
      </w:tblPr>
      <w:tblGrid>
        <w:gridCol w:w="8640"/>
      </w:tblGrid>
      <w:tr>
        <w:tc>
          <w:tcPr>
            <w:tcW w:type="dxa" w:w="8640"/>
            <w:shd w:val="clear" w:fill="FFF2CC"/>
          </w:tcPr>
          <w:p>
            <w:r>
              <w:rPr>
                <w:b/>
                <w:i w:val="0"/>
                <w:strike w:val="0"/>
              </w:rPr>
              <w:t>OPEN QUESTION</w:t>
            </w:r>
            <w:r>
              <w:rPr>
                <w:b w:val="0"/>
                <w:i w:val="0"/>
                <w:strike w:val="0"/>
              </w:rPr>
              <w:t xml:space="preserve"> </w:t>
            </w:r>
            <w:r>
              <w:rPr>
                <w:b w:val="0"/>
                <w:i/>
                <w:strike w:val="0"/>
              </w:rPr>
              <w:t>(amber — unresolved)</w:t>
            </w:r>
          </w:p>
          <w:p>
            <w:r>
              <w:rPr>
                <w:b/>
                <w:i w:val="0"/>
                <w:strike w:val="0"/>
              </w:rPr>
              <w:t>💬 Questions still to confirm</w:t>
            </w:r>
          </w:p>
          <w:p>
            <w:pPr>
              <w:pStyle w:val="ListBullet"/>
            </w:pPr>
            <w:r>
              <w:rPr>
                <w:b/>
                <w:i w:val="0"/>
                <w:strike w:val="0"/>
              </w:rPr>
              <w:t>Cloud provider (TI-01) — RESOLVED:</w:t>
            </w:r>
            <w:r>
              <w:rPr>
                <w:b w:val="0"/>
                <w:i w:val="0"/>
                <w:strike w:val="0"/>
              </w:rPr>
              <w:t xml:space="preserve"> </w:t>
            </w:r>
            <w:r>
              <w:rPr>
                <w:b w:val="0"/>
                <w:i/>
                <w:strike w:val="0"/>
                <w:color w:val="C55A11"/>
              </w:rPr>
              <w:t>AWS, deployed inside an EU-resident data centre, on an account owned solely by the Client (not SayOne). Note the ownership detail — this affects how your infra team provisions and hands over access.</w:t>
            </w:r>
            <w:r>
              <w:rPr>
                <w:b w:val="0"/>
                <w:i w:val="0"/>
                <w:strike w:val="0"/>
              </w:rPr>
              <w:t xml:space="preserve"> </w:t>
            </w:r>
            <w:r>
              <w:rPr>
                <w:b w:val="0"/>
                <w:i/>
                <w:strike w:val="0"/>
                <w:color w:val="C55A11"/>
                <w:sz w:val="16"/>
              </w:rPr>
              <w:t xml:space="preserve"> [Sosinna's Drive comment]</w:t>
            </w:r>
          </w:p>
          <w:p>
            <w:pPr>
              <w:pStyle w:val="ListBullet"/>
            </w:pPr>
            <w:r>
              <w:rPr>
                <w:b w:val="0"/>
                <w:i w:val="0"/>
                <w:strike w:val="0"/>
              </w:rPr>
              <w:t>Uptime SLA (TI-02): Is 99.5% availability sufficient, or do clients require 99.9% (approximately 9 hours downtime per year)? [No update from the 25 Jun call.]</w:t>
            </w:r>
          </w:p>
          <w:p>
            <w:pPr>
              <w:pStyle w:val="ListBullet"/>
            </w:pPr>
            <w:r>
              <w:rPr>
                <w:b w:val="0"/>
                <w:i w:val="0"/>
                <w:strike w:val="0"/>
              </w:rPr>
              <w:t>Security certifications (TI-03): Are ISO 27001 or SOC 2 Type II required by clients as a condition of signing up? [No update.]</w:t>
            </w:r>
          </w:p>
          <w:p>
            <w:pPr>
              <w:pStyle w:val="ListBullet"/>
            </w:pPr>
            <w:r>
              <w:rPr>
                <w:b/>
                <w:i w:val="0"/>
                <w:strike w:val="0"/>
              </w:rPr>
              <w:t>API (TI-05) — partial:</w:t>
            </w:r>
            <w:r>
              <w:rPr>
                <w:b w:val="0"/>
                <w:i w:val="0"/>
                <w:strike w:val="0"/>
              </w:rPr>
              <w:t xml:space="preserve"> </w:t>
            </w:r>
            <w:r>
              <w:rPr>
                <w:b w:val="0"/>
                <w:i/>
                <w:strike w:val="0"/>
                <w:color w:val="1155CC"/>
              </w:rPr>
              <w:t>the call reinforced the existing 'later phase' framing — Bisrat suggested exposing an API for firms to build their own integrations eventually, but explicitly flagged it as "maybe not in scope now." Leaning confirms Section 1.2's existing exclusion; not a hard close.</w:t>
            </w:r>
            <w:r>
              <w:rPr>
                <w:b w:val="0"/>
                <w:i w:val="0"/>
                <w:strike w:val="0"/>
              </w:rPr>
              <w:t xml:space="preserve"> </w:t>
            </w:r>
            <w:r>
              <w:rPr>
                <w:b w:val="0"/>
                <w:i/>
                <w:strike w:val="0"/>
                <w:color w:val="1155CC"/>
                <w:sz w:val="16"/>
              </w:rPr>
              <w:t xml:space="preserve"> [25 Jun FRD call]</w:t>
            </w:r>
          </w:p>
          <w:p>
            <w:pPr>
              <w:pStyle w:val="ListBullet"/>
            </w:pPr>
            <w:r>
              <w:rPr>
                <w:b/>
                <w:i w:val="0"/>
                <w:strike w:val="0"/>
              </w:rPr>
              <w:t>Scale (TI-06) — partial:</w:t>
            </w:r>
            <w:r>
              <w:rPr>
                <w:b w:val="0"/>
                <w:i w:val="0"/>
                <w:strike w:val="0"/>
              </w:rPr>
              <w:t xml:space="preserve"> </w:t>
            </w:r>
            <w:r>
              <w:rPr>
                <w:b w:val="0"/>
                <w:i/>
                <w:strike w:val="0"/>
                <w:color w:val="1155CC"/>
              </w:rPr>
              <w:t>no total firm count for Year 1 yet, but user-count guidance emerged: MVP-eligible firms are capped around 50 individuals, with a typical compliance/testing team of around 10 platform users per firm. Enterprise-tier firms (any size, org-chart based) are uncapped. Still missing: total number of firms expected in Year 1.</w:t>
            </w:r>
            <w:r>
              <w:rPr>
                <w:b w:val="0"/>
                <w:i w:val="0"/>
                <w:strike w:val="0"/>
              </w:rPr>
              <w:t xml:space="preserve"> </w:t>
            </w:r>
            <w:r>
              <w:rPr>
                <w:b w:val="0"/>
                <w:i/>
                <w:strike w:val="0"/>
                <w:color w:val="1155CC"/>
                <w:sz w:val="16"/>
              </w:rPr>
              <w:t xml:space="preserve"> [25 Jun FRD call]</w:t>
            </w:r>
          </w:p>
        </w:tc>
      </w:tr>
    </w:tbl>
    <w:p>
      <w:pPr>
        <w:pStyle w:val="Heading1"/>
      </w:pPr>
      <w:r>
        <w:t>14. Commercial Questions</w:t>
      </w:r>
    </w:p>
    <w:p>
      <w:r>
        <w:rPr>
          <w:b w:val="0"/>
          <w:i w:val="0"/>
          <w:strike w:val="0"/>
        </w:rPr>
        <w:t>These are not product features — but the answers affect product decisions like pricing tiers, branding, and contract structure. They need to be resolved between Sosinna and SayOne before the build is finalised.</w:t>
      </w:r>
    </w:p>
    <w:p>
      <w:pPr>
        <w:pStyle w:val="Heading3"/>
      </w:pPr>
      <w:r>
        <w:t>CC-01 — Pricing model</w:t>
      </w:r>
    </w:p>
    <w:p>
      <w:r>
        <w:rPr>
          <w:b w:val="0"/>
          <w:i w:val="0"/>
          <w:strike w:val="0"/>
        </w:rPr>
        <w:t>How will clients be charged?</w:t>
      </w:r>
    </w:p>
    <w:p>
      <w:r>
        <w:rPr>
          <w:b/>
          <w:i/>
          <w:strike w:val="0"/>
          <w:color w:val="595959"/>
        </w:rPr>
        <w:t>Earlier note (Sosinna's Drive comment, 15 Jun):</w:t>
      </w:r>
      <w:r>
        <w:rPr>
          <w:b w:val="0"/>
          <w:i w:val="0"/>
          <w:strike w:val="0"/>
        </w:rPr>
        <w:t xml:space="preserve"> </w:t>
      </w:r>
      <w:r>
        <w:rPr>
          <w:b w:val="0"/>
          <w:i/>
          <w:strike/>
          <w:color w:val="595959"/>
        </w:rPr>
        <w:t>a flat monthly SaaS subscription model per tenant.</w:t>
      </w:r>
      <w:r>
        <w:rPr>
          <w:b w:val="0"/>
          <w:i w:val="0"/>
          <w:strike w:val="0"/>
        </w:rPr>
        <w:t xml:space="preserve"> </w:t>
      </w:r>
      <w:r>
        <w:rPr>
          <w:b w:val="0"/>
          <w:i/>
          <w:strike w:val="0"/>
          <w:color w:val="595959"/>
          <w:sz w:val="16"/>
        </w:rPr>
        <w:t xml:space="preserve"> [status note]</w:t>
      </w:r>
    </w:p>
    <w:p>
      <w:r>
        <w:rPr>
          <w:b/>
          <w:i w:val="0"/>
          <w:strike w:val="0"/>
        </w:rPr>
        <w:t>📞 Superseded by the 25 Jun FRD Review call — decided by Jomin (3 Jul 2026): go with the call version.</w:t>
      </w:r>
      <w:r>
        <w:rPr>
          <w:b w:val="0"/>
          <w:i w:val="0"/>
          <w:strike w:val="0"/>
        </w:rPr>
        <w:t xml:space="preserve"> </w:t>
      </w:r>
      <w:r>
        <w:rPr>
          <w:b w:val="0"/>
          <w:i/>
          <w:strike w:val="0"/>
          <w:color w:val="1155CC"/>
        </w:rPr>
        <w:t>Not a fixed or self-serve tier. Two plan structures: an Enterprise plan (org-chart based, any number of users) and a smaller seat-based plan (e.g. 1–5, 5–10 users). No price is published to prospects — every signup goes through a demo and scoping conversation with Sosinna's team first, similar to how SumSub sells. The Super Admin portal configures pricing per seat count at onboarding (explicitly not by firm headcount — a firm like KPMG could have thousands of employees but only a handful of platform seats). No fixed number exists yet — Sosinna said directly on the call she doesn't have a definitive figure. The model is confirmed; the exact price points are not.</w:t>
      </w:r>
      <w:r>
        <w:rPr>
          <w:b w:val="0"/>
          <w:i w:val="0"/>
          <w:strike w:val="0"/>
        </w:rPr>
        <w:t xml:space="preserve"> </w:t>
      </w:r>
      <w:r>
        <w:rPr>
          <w:b w:val="0"/>
          <w:i/>
          <w:strike w:val="0"/>
          <w:color w:val="1155CC"/>
          <w:sz w:val="16"/>
        </w:rPr>
        <w:t xml:space="preserve"> [25 Jun FRD call]</w:t>
      </w:r>
    </w:p>
    <w:p>
      <w:r>
        <w:rPr>
          <w:b/>
          <w:i/>
          <w:strike w:val="0"/>
          <w:color w:val="843C0C"/>
        </w:rPr>
        <w:t>v7.0: the "Super Admin portal configures pricing per seat count at onboarding" line above now has a concrete home — SA-19, where the agreed plan type and seat count are recorded against the enquiry after the offline agreement. That record is what FR-123 charges against, so the firm never picks a price on screen. Still pending: the price points themselves, and whether the charge recurs (ON-02).</w:t>
      </w:r>
      <w:r>
        <w:rPr>
          <w:b w:val="0"/>
          <w:i w:val="0"/>
          <w:strike w:val="0"/>
        </w:rPr>
        <w:t xml:space="preserve"> </w:t>
      </w:r>
      <w:r>
        <w:rPr>
          <w:b w:val="0"/>
          <w:i/>
          <w:strike w:val="0"/>
          <w:color w:val="843C0C"/>
          <w:sz w:val="16"/>
        </w:rPr>
        <w:t xml:space="preserve"> [Aug 2026 onboarding flow]</w:t>
      </w:r>
    </w:p>
    <w:p>
      <w:pPr>
        <w:pStyle w:val="Heading3"/>
      </w:pPr>
      <w:r>
        <w:t>CC-02 — Platform branding</w:t>
      </w:r>
    </w:p>
    <w:p>
      <w:r>
        <w:rPr>
          <w:b w:val="0"/>
          <w:i w:val="0"/>
          <w:strike w:val="0"/>
        </w:rPr>
        <w:t>The reports are ControlIQ-branded. What about the platform itself?</w:t>
      </w:r>
    </w:p>
    <w:p>
      <w:r>
        <w:rPr>
          <w:b w:val="0"/>
          <w:i/>
          <w:strike w:val="0"/>
          <w:color w:val="595959"/>
        </w:rPr>
        <w:t>Not resolved — no update from the call or new comments. "presented as a SayOne product" is ruled out (struck through by Sosinna). Still open between "a Synergy Consulting product" and "purely as 'ControlIQ'."</w:t>
      </w:r>
      <w:r>
        <w:rPr>
          <w:b w:val="0"/>
          <w:i w:val="0"/>
          <w:strike w:val="0"/>
        </w:rPr>
        <w:t xml:space="preserve"> </w:t>
      </w:r>
      <w:r>
        <w:rPr>
          <w:b w:val="0"/>
          <w:i/>
          <w:strike w:val="0"/>
          <w:color w:val="595959"/>
          <w:sz w:val="16"/>
        </w:rPr>
        <w:t xml:space="preserve"> [status note]</w:t>
      </w:r>
    </w:p>
    <w:p>
      <w:r>
        <w:rPr>
          <w:b/>
          <w:i/>
          <w:strike w:val="0"/>
          <w:color w:val="7030A0"/>
        </w:rPr>
        <w:t>v5.0 update — the product name itself is settled: the platform is renamed from ComplianceIQ to ControlIQ. This decides the name, not the branding posture — CC-02 remains open on whether ControlIQ is presented as a Synergy Consulting product or as a standalone brand. Two dependencies follow from the rename and are not yet answered:</w:t>
      </w:r>
      <w:r>
        <w:rPr>
          <w:b w:val="0"/>
          <w:i w:val="0"/>
          <w:strike w:val="0"/>
        </w:rPr>
        <w:t xml:space="preserve"> </w:t>
      </w:r>
      <w:r>
        <w:rPr>
          <w:b w:val="0"/>
          <w:i/>
          <w:strike w:val="0"/>
          <w:color w:val="7030A0"/>
          <w:sz w:val="16"/>
        </w:rPr>
        <w:t xml:space="preserve"> [Aug 2026 client MOM]</w:t>
      </w:r>
    </w:p>
    <w:p>
      <w:pPr>
        <w:pStyle w:val="ListBullet"/>
      </w:pPr>
      <w:r>
        <w:rPr>
          <w:b/>
          <w:i/>
          <w:strike w:val="0"/>
          <w:color w:val="7030A0"/>
        </w:rPr>
        <w:t>Domain (MKT-05, Section 1.3): the marketing site domain question now needs to resolve against the ControlIQ name.</w:t>
      </w:r>
      <w:r>
        <w:rPr>
          <w:b w:val="0"/>
          <w:i w:val="0"/>
          <w:strike w:val="0"/>
        </w:rPr>
        <w:t xml:space="preserve"> </w:t>
      </w:r>
      <w:r>
        <w:rPr>
          <w:b w:val="0"/>
          <w:i/>
          <w:strike w:val="0"/>
          <w:color w:val="7030A0"/>
          <w:sz w:val="16"/>
        </w:rPr>
        <w:t xml:space="preserve"> [Aug 2026 client MOM]</w:t>
      </w:r>
    </w:p>
    <w:p>
      <w:pPr>
        <w:pStyle w:val="ListBullet"/>
      </w:pPr>
      <w:r>
        <w:rPr>
          <w:b/>
          <w:i/>
          <w:strike w:val="0"/>
          <w:color w:val="7030A0"/>
        </w:rPr>
        <w:t>Trademark and domain availability for "ControlIQ" needs checking before any logo, report template, or public site work begins. "IQ"-suffixed names are crowded, and the report branding in FR-57 is baked into every document the platform produces.</w:t>
      </w:r>
      <w:r>
        <w:rPr>
          <w:b w:val="0"/>
          <w:i w:val="0"/>
          <w:strike w:val="0"/>
        </w:rPr>
        <w:t xml:space="preserve"> </w:t>
      </w:r>
      <w:r>
        <w:rPr>
          <w:b w:val="0"/>
          <w:i/>
          <w:strike w:val="0"/>
          <w:color w:val="7030A0"/>
          <w:sz w:val="16"/>
        </w:rPr>
        <w:t xml:space="preserve"> [Aug 2026 client MOM]</w:t>
      </w:r>
    </w:p>
    <w:p>
      <w:r>
        <w:rPr>
          <w:b/>
          <w:i/>
          <w:strike w:val="0"/>
          <w:color w:val="CC00CC"/>
        </w:rPr>
        <w:t xml:space="preserve">v8.0 update — the visual identity has its first decision: the logo and website colour are </w:t>
      </w:r>
      <w:r>
        <w:rPr>
          <w:b/>
          <w:i/>
          <w:strike w:val="0"/>
          <w:color w:val="CC00CC"/>
        </w:rPr>
        <w:t>blue and white</w:t>
      </w:r>
      <w:r>
        <w:rPr>
          <w:b/>
          <w:i/>
          <w:strike w:val="0"/>
          <w:color w:val="CC00CC"/>
        </w:rPr>
        <w:t>. The exact colour codes will be finalised in the next discussion — tracked as BR-01 in Section 15. This decides the palette, not the branding posture; CC-02's Synergy-product-vs-standalone-brand question remains open. Design work can proceed on a blue/white scheme with the specific values treated as a late-binding token.</w:t>
      </w:r>
      <w:r>
        <w:rPr>
          <w:b w:val="0"/>
          <w:i w:val="0"/>
          <w:strike w:val="0"/>
        </w:rPr>
        <w:t xml:space="preserve"> </w:t>
      </w:r>
      <w:r>
        <w:rPr>
          <w:b w:val="0"/>
          <w:i/>
          <w:strike w:val="0"/>
          <w:color w:val="CC00CC"/>
          <w:sz w:val="16"/>
        </w:rPr>
        <w:t xml:space="preserve"> [14 Aug 2026 MOM]</w:t>
      </w:r>
    </w:p>
    <w:p>
      <w:pPr>
        <w:pStyle w:val="Heading3"/>
      </w:pPr>
      <w:r>
        <w:t>CC-03 — IP ownership</w:t>
      </w:r>
    </w:p>
    <w:p>
      <w:r>
        <w:rPr>
          <w:b w:val="0"/>
          <w:i w:val="0"/>
          <w:strike w:val="0"/>
        </w:rPr>
        <w:t>The test procedures and regulatory content built by Sosinna's team are the core intellectual property of the platform. Who holds the licence to this content?</w:t>
      </w:r>
    </w:p>
    <w:p>
      <w:r>
        <w:rPr>
          <w:b/>
          <w:i w:val="0"/>
          <w:strike w:val="0"/>
        </w:rPr>
        <w:t>💬 Sosinna's comment — ACCEPTED by Jomin (3 Jul 2026):</w:t>
      </w:r>
      <w:r>
        <w:rPr>
          <w:b w:val="0"/>
          <w:i w:val="0"/>
          <w:strike w:val="0"/>
        </w:rPr>
        <w:t xml:space="preserve"> </w:t>
      </w:r>
      <w:r>
        <w:rPr>
          <w:b w:val="0"/>
          <w:i/>
          <w:strike w:val="0"/>
          <w:color w:val="C55A11"/>
        </w:rPr>
        <w:t>IP licence held by Sosinna / Synergy Consulting Group.</w:t>
      </w:r>
      <w:r>
        <w:rPr>
          <w:b w:val="0"/>
          <w:i w:val="0"/>
          <w:strike w:val="0"/>
        </w:rPr>
        <w:t xml:space="preserve"> </w:t>
      </w:r>
      <w:r>
        <w:rPr>
          <w:b w:val="0"/>
          <w:i/>
          <w:strike w:val="0"/>
          <w:color w:val="C55A11"/>
          <w:sz w:val="16"/>
        </w:rPr>
        <w:t xml:space="preserve"> [Sosinna's Drive comment]</w:t>
      </w:r>
    </w:p>
    <w:p>
      <w:r>
        <w:rPr>
          <w:b/>
          <w:i w:val="0"/>
          <w:strike w:val="0"/>
        </w:rPr>
        <w:t>💬 "Addition to the Note Section" (Sosinna's comment) — ACCEPTED by Jomin (3 Jul 2026):</w:t>
      </w:r>
      <w:r>
        <w:rPr>
          <w:b w:val="0"/>
          <w:i w:val="0"/>
          <w:strike w:val="0"/>
        </w:rPr>
        <w:t xml:space="preserve"> </w:t>
      </w:r>
      <w:r>
        <w:rPr>
          <w:b w:val="0"/>
          <w:i/>
          <w:strike w:val="0"/>
          <w:color w:val="C55A11"/>
        </w:rPr>
        <w:t>"For the avoidance of any doubt, all right, title, and interest in and to this regulatory content, alongside all platform source code, backend architectures, frontend user interfaces, and database schemas built by the Contractor, belong 100% exclusively to the Client from the moment of creation. The Contractor retains zero rights, ongoing claims, or implied licenses to any content or code within the platform."</w:t>
      </w:r>
      <w:r>
        <w:rPr>
          <w:b w:val="0"/>
          <w:i w:val="0"/>
          <w:strike w:val="0"/>
        </w:rPr>
        <w:t xml:space="preserve"> </w:t>
      </w:r>
      <w:r>
        <w:rPr>
          <w:b w:val="0"/>
          <w:i/>
          <w:strike w:val="0"/>
          <w:color w:val="C55A11"/>
          <w:sz w:val="16"/>
        </w:rPr>
        <w:t xml:space="preserve"> [Sosinna's Drive comment]</w:t>
      </w:r>
    </w:p>
    <w:p>
      <w:pPr>
        <w:pStyle w:val="Heading3"/>
      </w:pPr>
      <w:r>
        <w:t>CC-04 — Engagement model</w:t>
      </w:r>
    </w:p>
    <w:p>
      <w:r>
        <w:rPr>
          <w:b w:val="0"/>
          <w:i w:val="0"/>
          <w:strike w:val="0"/>
        </w:rPr>
        <w:t>Is this a fixed-price development project, time and materials, a revenue-share arrangement, an equity arrangement, or a combination?</w:t>
      </w:r>
    </w:p>
    <w:p>
      <w:r>
        <w:rPr>
          <w:b/>
          <w:i w:val="0"/>
          <w:strike w:val="0"/>
        </w:rPr>
        <w:t>💬 Sosinna's comment — confirmed, consistent with DH-02 below:</w:t>
      </w:r>
      <w:r>
        <w:rPr>
          <w:b w:val="0"/>
          <w:i w:val="0"/>
          <w:strike w:val="0"/>
        </w:rPr>
        <w:t xml:space="preserve"> </w:t>
      </w:r>
      <w:r>
        <w:rPr>
          <w:b w:val="0"/>
          <w:i/>
          <w:strike w:val="0"/>
          <w:color w:val="C55A11"/>
        </w:rPr>
        <w:t>strict fixed-price milestone contract.</w:t>
      </w:r>
      <w:r>
        <w:rPr>
          <w:b w:val="0"/>
          <w:i w:val="0"/>
          <w:strike w:val="0"/>
        </w:rPr>
        <w:t xml:space="preserve"> </w:t>
      </w:r>
      <w:r>
        <w:rPr>
          <w:b w:val="0"/>
          <w:i/>
          <w:strike w:val="0"/>
          <w:color w:val="C55A11"/>
          <w:sz w:val="16"/>
        </w:rPr>
        <w:t xml:space="preserve"> [Sosinna's Drive comment]</w:t>
      </w:r>
    </w:p>
    <w:p>
      <w:pPr>
        <w:pStyle w:val="Heading3"/>
      </w:pPr>
      <w:r>
        <w:t>CC-05 — Demo Day presentation approach</w:t>
      </w:r>
    </w:p>
    <w:p>
      <w:r>
        <w:rPr>
          <w:b w:val="0"/>
          <w:i w:val="0"/>
          <w:strike w:val="0"/>
        </w:rPr>
        <w:t>At the FinTech House Demo Day in Lisbon, is SayOne named MVP Developer presenting alongside Sosinna, or is the product presented as Sosinna's solution with SayOne in the background?</w:t>
      </w:r>
    </w:p>
    <w:p>
      <w:r>
        <w:rPr>
          <w:b w:val="0"/>
          <w:i/>
          <w:strike w:val="0"/>
          <w:color w:val="595959"/>
        </w:rPr>
        <w:t>Not resolved — both options are still marked in the source document with no strikethrough to indicate a choice. No update from the call or new comments.</w:t>
      </w:r>
      <w:r>
        <w:rPr>
          <w:b w:val="0"/>
          <w:i w:val="0"/>
          <w:strike w:val="0"/>
        </w:rPr>
        <w:t xml:space="preserve"> </w:t>
      </w:r>
      <w:r>
        <w:rPr>
          <w:b w:val="0"/>
          <w:i/>
          <w:strike w:val="0"/>
          <w:color w:val="595959"/>
          <w:sz w:val="16"/>
        </w:rPr>
        <w:t xml:space="preserve"> [status note]</w:t>
      </w:r>
    </w:p>
    <w:p>
      <w:pPr>
        <w:pStyle w:val="Heading3"/>
      </w:pPr>
      <w:r>
        <w:t>CC-06 — Client contracting</w:t>
      </w:r>
    </w:p>
    <w:p>
      <w:r>
        <w:rPr>
          <w:b w:val="0"/>
          <w:i w:val="0"/>
          <w:strike w:val="0"/>
        </w:rPr>
        <w:t>When a CASP firm subscribes to ControlIQ, does Sosinna / Synergy act as the reseller, or does the CASP firm contract directly with SayOne?</w:t>
      </w:r>
    </w:p>
    <w:p>
      <w:r>
        <w:rPr>
          <w:b/>
          <w:i w:val="0"/>
          <w:strike w:val="0"/>
        </w:rPr>
        <w:t>💬 Sosinna's comment — confirmed:</w:t>
      </w:r>
      <w:r>
        <w:rPr>
          <w:b w:val="0"/>
          <w:i w:val="0"/>
          <w:strike w:val="0"/>
        </w:rPr>
        <w:t xml:space="preserve"> </w:t>
      </w:r>
      <w:r>
        <w:rPr>
          <w:b w:val="0"/>
          <w:i/>
          <w:strike w:val="0"/>
          <w:color w:val="C55A11"/>
        </w:rPr>
        <w:t>Sosinna / Synergy is the reseller, owning the client relationship and billing them directly. The CASP firm does not contract directly with SayOne.</w:t>
      </w:r>
      <w:r>
        <w:rPr>
          <w:b w:val="0"/>
          <w:i w:val="0"/>
          <w:strike w:val="0"/>
        </w:rPr>
        <w:t xml:space="preserve"> </w:t>
      </w:r>
      <w:r>
        <w:rPr>
          <w:b w:val="0"/>
          <w:i/>
          <w:strike w:val="0"/>
          <w:color w:val="C55A11"/>
          <w:sz w:val="16"/>
        </w:rPr>
        <w:t xml:space="preserve"> [Sosinna's Drive comment]</w:t>
      </w:r>
    </w:p>
    <w:p>
      <w:r>
        <w:rPr>
          <w:b/>
          <w:i/>
          <w:strike w:val="0"/>
          <w:color w:val="843C0C"/>
        </w:rPr>
        <w:t>⚠ v7.0 re-opens part of this. The onboarding flow has the firm paying through the platform before it can log in (FR-123). "Synergy bills them directly" and "the firm pays through ControlIQ" can both be true — the platform can collect into a Synergy-owned merchant account — but that has to be stated, not assumed, because it decides which entity's payment provider account is integrated, whose name appears on the receipt, who issues the VAT invoice, and who the firm contacts when a payment fails. The contracting answer above is unchanged; the collection mechanism is the new question. Logged as ON-01 and GAP-19.</w:t>
      </w:r>
      <w:r>
        <w:rPr>
          <w:b w:val="0"/>
          <w:i w:val="0"/>
          <w:strike w:val="0"/>
        </w:rPr>
        <w:t xml:space="preserve"> </w:t>
      </w:r>
      <w:r>
        <w:rPr>
          <w:b w:val="0"/>
          <w:i/>
          <w:strike w:val="0"/>
          <w:color w:val="843C0C"/>
          <w:sz w:val="16"/>
        </w:rPr>
        <w:t xml:space="preserve"> [Aug 2026 onboarding flow]</w:t>
      </w:r>
    </w:p>
    <w:tbl>
      <w:tblPr>
        <w:tblStyle w:val="TableGrid"/>
        <w:tblW w:type="auto" w:w="0"/>
        <w:tblLook w:firstColumn="1" w:firstRow="1" w:lastColumn="0" w:lastRow="0" w:noHBand="0" w:noVBand="1" w:val="04A0"/>
      </w:tblPr>
      <w:tblGrid>
        <w:gridCol w:w="8640"/>
      </w:tblGrid>
      <w:tr>
        <w:tc>
          <w:tcPr>
            <w:tcW w:type="dxa" w:w="8640"/>
            <w:shd w:val="clear" w:fill="E2EFDA"/>
          </w:tcPr>
          <w:p>
            <w:r>
              <w:rPr>
                <w:b/>
                <w:i w:val="0"/>
                <w:strike w:val="0"/>
              </w:rPr>
              <w:t>CONFIRMED</w:t>
            </w:r>
            <w:r>
              <w:rPr>
                <w:b w:val="0"/>
                <w:i w:val="0"/>
                <w:strike w:val="0"/>
              </w:rPr>
              <w:t xml:space="preserve"> </w:t>
            </w:r>
            <w:r>
              <w:rPr>
                <w:b w:val="0"/>
                <w:i/>
                <w:strike w:val="0"/>
              </w:rPr>
              <w:t>(green — agreed decision)</w:t>
            </w:r>
          </w:p>
          <w:p>
            <w:r>
              <w:rPr>
                <w:b/>
                <w:i w:val="0"/>
                <w:strike w:val="0"/>
              </w:rPr>
              <w:t>✅ What we have agreed</w:t>
            </w:r>
          </w:p>
          <w:p>
            <w:pPr>
              <w:pStyle w:val="ListBullet"/>
            </w:pPr>
            <w:r>
              <w:rPr>
                <w:b/>
                <w:i/>
                <w:strike w:val="0"/>
                <w:color w:val="C55A11"/>
              </w:rPr>
              <w:t>IP ownership (CC-03): 100% exclusive to Client — regulatory content AND all platform code/architecture/schemas. SayOne retains zero rights. Accepted 3 Jul 2026.</w:t>
            </w:r>
            <w:r>
              <w:rPr>
                <w:b w:val="0"/>
                <w:i w:val="0"/>
                <w:strike w:val="0"/>
              </w:rPr>
              <w:t xml:space="preserve"> </w:t>
            </w:r>
            <w:r>
              <w:rPr>
                <w:b w:val="0"/>
                <w:i/>
                <w:strike w:val="0"/>
                <w:color w:val="C55A11"/>
                <w:sz w:val="16"/>
              </w:rPr>
              <w:t xml:space="preserve"> [Sosinna's Drive comment]</w:t>
            </w:r>
          </w:p>
          <w:p>
            <w:pPr>
              <w:pStyle w:val="ListBullet"/>
            </w:pPr>
            <w:r>
              <w:rPr>
                <w:b/>
                <w:i/>
                <w:strike w:val="0"/>
                <w:color w:val="C55A11"/>
              </w:rPr>
              <w:t>Engagement model (CC-04): strict fixed-price milestone contract.</w:t>
            </w:r>
            <w:r>
              <w:rPr>
                <w:b w:val="0"/>
                <w:i w:val="0"/>
                <w:strike w:val="0"/>
              </w:rPr>
              <w:t xml:space="preserve"> </w:t>
            </w:r>
            <w:r>
              <w:rPr>
                <w:b w:val="0"/>
                <w:i/>
                <w:strike w:val="0"/>
                <w:color w:val="C55A11"/>
                <w:sz w:val="16"/>
              </w:rPr>
              <w:t xml:space="preserve"> [Sosinna's Drive comment]</w:t>
            </w:r>
          </w:p>
          <w:p>
            <w:pPr>
              <w:pStyle w:val="ListBullet"/>
            </w:pPr>
            <w:r>
              <w:rPr>
                <w:b/>
                <w:i/>
                <w:strike w:val="0"/>
                <w:color w:val="C55A11"/>
              </w:rPr>
              <w:t>Client contracting (CC-06): Sosinna/Synergy is the reseller — owns the client relationship and billing.</w:t>
            </w:r>
            <w:r>
              <w:rPr>
                <w:b w:val="0"/>
                <w:i w:val="0"/>
                <w:strike w:val="0"/>
              </w:rPr>
              <w:t xml:space="preserve"> </w:t>
            </w:r>
            <w:r>
              <w:rPr>
                <w:b w:val="0"/>
                <w:i/>
                <w:strike w:val="0"/>
                <w:color w:val="C55A11"/>
                <w:sz w:val="16"/>
              </w:rPr>
              <w:t xml:space="preserve"> [Sosinna's Drive comment]</w:t>
            </w:r>
          </w:p>
          <w:p>
            <w:pPr>
              <w:pStyle w:val="ListBullet"/>
            </w:pPr>
            <w:r>
              <w:rPr>
                <w:b/>
                <w:i/>
                <w:strike w:val="0"/>
                <w:color w:val="1155CC"/>
              </w:rPr>
              <w:t>Pricing model (CC-01): seat-based, two plan tiers, sales-assisted onboarding, no self-serve checkout. Exact price points still pending.</w:t>
            </w:r>
            <w:r>
              <w:rPr>
                <w:b w:val="0"/>
                <w:i w:val="0"/>
                <w:strike w:val="0"/>
              </w:rPr>
              <w:t xml:space="preserve"> </w:t>
            </w:r>
            <w:r>
              <w:rPr>
                <w:b w:val="0"/>
                <w:i/>
                <w:strike w:val="0"/>
                <w:color w:val="1155CC"/>
                <w:sz w:val="16"/>
              </w:rPr>
              <w:t xml:space="preserve"> [25 Jun FRD call]</w:t>
            </w:r>
          </w:p>
        </w:tc>
      </w:tr>
    </w:tbl>
    <w:p>
      <w:pPr>
        <w:pStyle w:val="Heading1"/>
      </w:pPr>
      <w:r>
        <w:t>15. All Open Questions — Summary</w:t>
      </w:r>
    </w:p>
    <w:p>
      <w:r>
        <w:rPr>
          <w:b w:val="0"/>
          <w:i w:val="0"/>
          <w:strike w:val="0"/>
        </w:rPr>
        <w:t>Every open question from the sections above is listed here in one place. The questions marked as 'Needed before estimation' must be resolved before the development team can produce a reliable project estimate. All others can be resolved during the build.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fill="1F4E79"/>
          </w:tcPr>
          <w:p>
            <w:r>
              <w:rPr>
                <w:b/>
                <w:color w:val="FFFFFF"/>
              </w:rPr>
            </w:r>
            <w:r>
              <w:rPr>
                <w:b/>
                <w:i w:val="0"/>
                <w:strike w:val="0"/>
                <w:color w:val="FFFFFF"/>
              </w:rPr>
              <w:t>Ref</w:t>
            </w:r>
          </w:p>
        </w:tc>
        <w:tc>
          <w:tcPr>
            <w:tcW w:type="dxa" w:w="1728"/>
            <w:shd w:val="clear" w:fill="1F4E79"/>
          </w:tcPr>
          <w:p>
            <w:r>
              <w:rPr>
                <w:b/>
                <w:color w:val="FFFFFF"/>
              </w:rPr>
            </w:r>
            <w:r>
              <w:rPr>
                <w:b/>
                <w:i w:val="0"/>
                <w:strike w:val="0"/>
                <w:color w:val="FFFFFF"/>
              </w:rPr>
              <w:t>Topic</w:t>
            </w:r>
          </w:p>
        </w:tc>
        <w:tc>
          <w:tcPr>
            <w:tcW w:type="dxa" w:w="1728"/>
            <w:shd w:val="clear" w:fill="1F4E79"/>
          </w:tcPr>
          <w:p>
            <w:r>
              <w:rPr>
                <w:b/>
                <w:color w:val="FFFFFF"/>
              </w:rPr>
            </w:r>
            <w:r>
              <w:rPr>
                <w:b/>
                <w:i w:val="0"/>
                <w:strike w:val="0"/>
                <w:color w:val="FFFFFF"/>
              </w:rPr>
              <w:t>Question</w:t>
            </w:r>
          </w:p>
        </w:tc>
        <w:tc>
          <w:tcPr>
            <w:tcW w:type="dxa" w:w="1728"/>
            <w:shd w:val="clear" w:fill="1F4E79"/>
          </w:tcPr>
          <w:p>
            <w:r>
              <w:rPr>
                <w:b/>
                <w:color w:val="FFFFFF"/>
              </w:rPr>
            </w:r>
            <w:r>
              <w:rPr>
                <w:b/>
                <w:i w:val="0"/>
                <w:strike w:val="0"/>
                <w:color w:val="FFFFFF"/>
              </w:rPr>
              <w:t>Needed before estimation?</w:t>
            </w:r>
          </w:p>
        </w:tc>
        <w:tc>
          <w:tcPr>
            <w:tcW w:type="dxa" w:w="1728"/>
            <w:shd w:val="clear" w:fill="1F4E79"/>
          </w:tcPr>
          <w:p>
            <w:r>
              <w:rPr>
                <w:b/>
                <w:color w:val="FFFFFF"/>
              </w:rPr>
            </w:r>
            <w:r>
              <w:rPr>
                <w:b/>
                <w:i w:val="0"/>
                <w:strike w:val="0"/>
                <w:color w:val="FFFFFF"/>
              </w:rPr>
              <w:t>Status (updated 12 Aug 2026)</w:t>
            </w:r>
          </w:p>
        </w:tc>
      </w:tr>
      <w:tr>
        <w:tc>
          <w:tcPr>
            <w:tcW w:type="dxa" w:w="1728"/>
          </w:tcPr>
          <w:p>
            <w:r/>
            <w:r>
              <w:rPr>
                <w:b w:val="0"/>
                <w:i w:val="0"/>
                <w:strike w:val="0"/>
              </w:rPr>
              <w:t>FO-02</w:t>
            </w:r>
          </w:p>
        </w:tc>
        <w:tc>
          <w:tcPr>
            <w:tcW w:type="dxa" w:w="1728"/>
          </w:tcPr>
          <w:p>
            <w:r/>
            <w:r>
              <w:rPr>
                <w:b w:val="0"/>
                <w:i w:val="0"/>
                <w:strike w:val="0"/>
              </w:rPr>
              <w:t>Setup</w:t>
            </w:r>
          </w:p>
        </w:tc>
        <w:tc>
          <w:tcPr>
            <w:tcW w:type="dxa" w:w="1728"/>
          </w:tcPr>
          <w:p>
            <w:r/>
            <w:r>
              <w:rPr>
                <w:b w:val="0"/>
                <w:i w:val="0"/>
                <w:strike w:val="0"/>
              </w:rPr>
              <w:t>Client type: checkboxes or percentage split?</w:t>
            </w:r>
          </w:p>
        </w:tc>
        <w:tc>
          <w:tcPr>
            <w:tcW w:type="dxa" w:w="1728"/>
          </w:tcPr>
          <w:p>
            <w:r/>
            <w:r>
              <w:rPr>
                <w:b w:val="0"/>
                <w:i w:val="0"/>
                <w:strike w:val="0"/>
              </w:rPr>
              <w:t>No</w:t>
            </w:r>
          </w:p>
        </w:tc>
        <w:tc>
          <w:tcPr>
            <w:tcW w:type="dxa" w:w="1728"/>
          </w:tcPr>
          <w:p>
            <w:r/>
            <w:r>
              <w:rPr>
                <w:b/>
                <w:i/>
                <w:strike w:val="0"/>
                <w:color w:val="595959"/>
              </w:rPr>
              <w:t>Open — no update</w:t>
            </w:r>
            <w:r>
              <w:rPr>
                <w:b w:val="0"/>
                <w:i w:val="0"/>
                <w:strike w:val="0"/>
              </w:rPr>
              <w:t xml:space="preserve"> </w:t>
            </w:r>
            <w:r>
              <w:rPr>
                <w:b w:val="0"/>
                <w:i/>
                <w:strike w:val="0"/>
                <w:color w:val="595959"/>
                <w:sz w:val="16"/>
              </w:rPr>
              <w:t xml:space="preserve"> [status note]</w:t>
            </w:r>
          </w:p>
        </w:tc>
      </w:tr>
      <w:tr>
        <w:tc>
          <w:tcPr>
            <w:tcW w:type="dxa" w:w="1728"/>
          </w:tcPr>
          <w:p>
            <w:r/>
            <w:r>
              <w:rPr>
                <w:b w:val="0"/>
                <w:i w:val="0"/>
                <w:strike w:val="0"/>
              </w:rPr>
              <w:t>FO-07</w:t>
            </w:r>
          </w:p>
        </w:tc>
        <w:tc>
          <w:tcPr>
            <w:tcW w:type="dxa" w:w="1728"/>
          </w:tcPr>
          <w:p>
            <w:r/>
            <w:r>
              <w:rPr>
                <w:b w:val="0"/>
                <w:i w:val="0"/>
                <w:strike w:val="0"/>
              </w:rPr>
              <w:t>Setup</w:t>
            </w:r>
          </w:p>
        </w:tc>
        <w:tc>
          <w:tcPr>
            <w:tcW w:type="dxa" w:w="1728"/>
          </w:tcPr>
          <w:p>
            <w:r/>
            <w:r>
              <w:rPr>
                <w:b w:val="0"/>
                <w:i w:val="0"/>
                <w:strike w:val="0"/>
              </w:rPr>
              <w:t>Who completes the setup wizard — any Firm Super Admin or CCO only?</w:t>
            </w:r>
          </w:p>
        </w:tc>
        <w:tc>
          <w:tcPr>
            <w:tcW w:type="dxa" w:w="1728"/>
          </w:tcPr>
          <w:p>
            <w:r/>
            <w:r>
              <w:rPr>
                <w:b w:val="0"/>
                <w:i w:val="0"/>
                <w:strike w:val="0"/>
              </w:rPr>
              <w:t>No</w:t>
            </w:r>
          </w:p>
        </w:tc>
        <w:tc>
          <w:tcPr>
            <w:tcW w:type="dxa" w:w="1728"/>
          </w:tcPr>
          <w:p>
            <w:r/>
            <w:r>
              <w:rPr>
                <w:b/>
                <w:i/>
                <w:strike w:val="0"/>
                <w:color w:val="595959"/>
              </w:rPr>
              <w:t>Open — no update</w:t>
            </w:r>
            <w:r>
              <w:rPr>
                <w:b w:val="0"/>
                <w:i w:val="0"/>
                <w:strike w:val="0"/>
              </w:rPr>
              <w:t xml:space="preserve"> </w:t>
            </w:r>
            <w:r>
              <w:rPr>
                <w:b w:val="0"/>
                <w:i/>
                <w:strike w:val="0"/>
                <w:color w:val="595959"/>
                <w:sz w:val="16"/>
              </w:rPr>
              <w:t xml:space="preserve"> [status note]</w:t>
            </w:r>
          </w:p>
        </w:tc>
      </w:tr>
      <w:tr>
        <w:tc>
          <w:tcPr>
            <w:tcW w:type="dxa" w:w="1728"/>
          </w:tcPr>
          <w:p>
            <w:r/>
            <w:r>
              <w:rPr>
                <w:b w:val="0"/>
                <w:i w:val="0"/>
                <w:strike w:val="0"/>
              </w:rPr>
              <w:t>FO-08</w:t>
            </w:r>
          </w:p>
        </w:tc>
        <w:tc>
          <w:tcPr>
            <w:tcW w:type="dxa" w:w="1728"/>
          </w:tcPr>
          <w:p>
            <w:r/>
            <w:r>
              <w:rPr>
                <w:b w:val="0"/>
                <w:i w:val="0"/>
                <w:strike w:val="0"/>
              </w:rPr>
              <w:t>Setup</w:t>
            </w:r>
          </w:p>
        </w:tc>
        <w:tc>
          <w:tcPr>
            <w:tcW w:type="dxa" w:w="1728"/>
          </w:tcPr>
          <w:p>
            <w:r/>
            <w:r>
              <w:rPr>
                <w:b w:val="0"/>
                <w:i w:val="0"/>
                <w:strike w:val="0"/>
              </w:rPr>
              <w:t>Multi-entity group accounts — one login or separate logins per entity? [Deferred]</w:t>
            </w:r>
          </w:p>
        </w:tc>
        <w:tc>
          <w:tcPr>
            <w:tcW w:type="dxa" w:w="1728"/>
          </w:tcPr>
          <w:p>
            <w:r/>
            <w:r>
              <w:rPr>
                <w:b w:val="0"/>
                <w:i w:val="0"/>
                <w:strike w:val="0"/>
              </w:rPr>
              <w:t>No</w:t>
            </w:r>
          </w:p>
        </w:tc>
        <w:tc>
          <w:tcPr>
            <w:tcW w:type="dxa" w:w="1728"/>
          </w:tcPr>
          <w:p>
            <w:r/>
            <w:r>
              <w:rPr>
                <w:b/>
                <w:i/>
                <w:strike w:val="0"/>
                <w:color w:val="595959"/>
              </w:rPr>
              <w:t>Open — deferred</w:t>
            </w:r>
            <w:r>
              <w:rPr>
                <w:b w:val="0"/>
                <w:i w:val="0"/>
                <w:strike w:val="0"/>
              </w:rPr>
              <w:t xml:space="preserve"> </w:t>
            </w:r>
            <w:r>
              <w:rPr>
                <w:b w:val="0"/>
                <w:i/>
                <w:strike w:val="0"/>
                <w:color w:val="595959"/>
                <w:sz w:val="16"/>
              </w:rPr>
              <w:t xml:space="preserve"> [status note]</w:t>
            </w:r>
          </w:p>
        </w:tc>
      </w:tr>
      <w:tr>
        <w:tc>
          <w:tcPr>
            <w:tcW w:type="dxa" w:w="1728"/>
          </w:tcPr>
          <w:p>
            <w:r/>
            <w:r>
              <w:rPr>
                <w:b w:val="0"/>
                <w:i w:val="0"/>
                <w:strike w:val="0"/>
              </w:rPr>
              <w:t>OS-02</w:t>
            </w:r>
          </w:p>
        </w:tc>
        <w:tc>
          <w:tcPr>
            <w:tcW w:type="dxa" w:w="1728"/>
          </w:tcPr>
          <w:p>
            <w:r/>
            <w:r>
              <w:rPr>
                <w:b w:val="0"/>
                <w:i w:val="0"/>
                <w:strike w:val="0"/>
              </w:rPr>
              <w:t>Staff</w:t>
            </w:r>
          </w:p>
        </w:tc>
        <w:tc>
          <w:tcPr>
            <w:tcW w:type="dxa" w:w="1728"/>
          </w:tcPr>
          <w:p>
            <w:r/>
            <w:r>
              <w:rPr>
                <w:b w:val="0"/>
                <w:i w:val="0"/>
                <w:strike w:val="0"/>
              </w:rPr>
              <w:t>What is the full list of valid communication channel types?</w:t>
            </w:r>
          </w:p>
        </w:tc>
        <w:tc>
          <w:tcPr>
            <w:tcW w:type="dxa" w:w="1728"/>
          </w:tcPr>
          <w:p>
            <w:r/>
            <w:r>
              <w:rPr>
                <w:b w:val="0"/>
                <w:i w:val="0"/>
                <w:strike w:val="0"/>
              </w:rPr>
              <w:t>No</w:t>
            </w:r>
          </w:p>
        </w:tc>
        <w:tc>
          <w:tcPr>
            <w:tcW w:type="dxa" w:w="1728"/>
          </w:tcPr>
          <w:p>
            <w:r/>
            <w:r>
              <w:rPr>
                <w:b/>
                <w:i/>
                <w:strike w:val="0"/>
                <w:color w:val="1155CC"/>
              </w:rPr>
              <w:t>RESOLVED — see Section 10.4</w:t>
            </w:r>
            <w:r>
              <w:rPr>
                <w:b w:val="0"/>
                <w:i w:val="0"/>
                <w:strike w:val="0"/>
              </w:rPr>
              <w:t xml:space="preserve"> </w:t>
            </w:r>
            <w:r>
              <w:rPr>
                <w:b w:val="0"/>
                <w:i/>
                <w:strike w:val="0"/>
                <w:color w:val="1155CC"/>
                <w:sz w:val="16"/>
              </w:rPr>
              <w:t xml:space="preserve"> [25 Jun FRD call]</w:t>
            </w:r>
          </w:p>
        </w:tc>
      </w:tr>
      <w:tr>
        <w:tc>
          <w:tcPr>
            <w:tcW w:type="dxa" w:w="1728"/>
          </w:tcPr>
          <w:p>
            <w:r/>
            <w:r>
              <w:rPr>
                <w:b w:val="0"/>
                <w:i w:val="0"/>
                <w:strike w:val="0"/>
              </w:rPr>
              <w:t>OS-06</w:t>
            </w:r>
          </w:p>
        </w:tc>
        <w:tc>
          <w:tcPr>
            <w:tcW w:type="dxa" w:w="1728"/>
          </w:tcPr>
          <w:p>
            <w:r/>
            <w:r>
              <w:rPr>
                <w:b w:val="0"/>
                <w:i w:val="0"/>
                <w:strike w:val="0"/>
              </w:rPr>
              <w:t>Staff</w:t>
            </w:r>
          </w:p>
        </w:tc>
        <w:tc>
          <w:tcPr>
            <w:tcW w:type="dxa" w:w="1728"/>
          </w:tcPr>
          <w:p>
            <w:r/>
            <w:r>
              <w:rPr>
                <w:b w:val="0"/>
                <w:i w:val="0"/>
                <w:strike w:val="0"/>
              </w:rPr>
              <w:t>Non-employee committee members — tracked anywhere in the platform?</w:t>
            </w:r>
          </w:p>
        </w:tc>
        <w:tc>
          <w:tcPr>
            <w:tcW w:type="dxa" w:w="1728"/>
          </w:tcPr>
          <w:p>
            <w:r/>
            <w:r>
              <w:rPr>
                <w:b w:val="0"/>
                <w:i w:val="0"/>
                <w:strike w:val="0"/>
              </w:rPr>
              <w:t>No</w:t>
            </w:r>
          </w:p>
        </w:tc>
        <w:tc>
          <w:tcPr>
            <w:tcW w:type="dxa" w:w="1728"/>
          </w:tcPr>
          <w:p>
            <w:r/>
            <w:r>
              <w:rPr>
                <w:b/>
                <w:i/>
                <w:strike w:val="0"/>
                <w:color w:val="595959"/>
              </w:rPr>
              <w:t>Open — no update</w:t>
            </w:r>
            <w:r>
              <w:rPr>
                <w:b w:val="0"/>
                <w:i w:val="0"/>
                <w:strike w:val="0"/>
              </w:rPr>
              <w:t xml:space="preserve"> </w:t>
            </w:r>
            <w:r>
              <w:rPr>
                <w:b w:val="0"/>
                <w:i/>
                <w:strike w:val="0"/>
                <w:color w:val="595959"/>
                <w:sz w:val="16"/>
              </w:rPr>
              <w:t xml:space="preserve"> [status note]</w:t>
            </w:r>
          </w:p>
        </w:tc>
      </w:tr>
      <w:tr>
        <w:tc>
          <w:tcPr>
            <w:tcW w:type="dxa" w:w="1728"/>
          </w:tcPr>
          <w:p>
            <w:r/>
            <w:r>
              <w:rPr>
                <w:b w:val="0"/>
                <w:i w:val="0"/>
                <w:strike w:val="0"/>
              </w:rPr>
              <w:t>NT-01</w:t>
            </w:r>
          </w:p>
        </w:tc>
        <w:tc>
          <w:tcPr>
            <w:tcW w:type="dxa" w:w="1728"/>
          </w:tcPr>
          <w:p>
            <w:r/>
            <w:r>
              <w:rPr>
                <w:b w:val="0"/>
                <w:i w:val="0"/>
                <w:strike w:val="0"/>
              </w:rPr>
              <w:t>Notifications</w:t>
            </w:r>
          </w:p>
        </w:tc>
        <w:tc>
          <w:tcPr>
            <w:tcW w:type="dxa" w:w="1728"/>
          </w:tcPr>
          <w:p>
            <w:r/>
            <w:r>
              <w:rPr>
                <w:b w:val="0"/>
                <w:i w:val="0"/>
                <w:strike w:val="0"/>
              </w:rPr>
              <w:t>Additional channels beyond email: SMS? Slack/Teams?</w:t>
            </w:r>
          </w:p>
        </w:tc>
        <w:tc>
          <w:tcPr>
            <w:tcW w:type="dxa" w:w="1728"/>
          </w:tcPr>
          <w:p>
            <w:r/>
            <w:r>
              <w:rPr>
                <w:b w:val="0"/>
                <w:i w:val="0"/>
                <w:strike w:val="0"/>
              </w:rPr>
              <w:t>No</w:t>
            </w:r>
          </w:p>
        </w:tc>
        <w:tc>
          <w:tcPr>
            <w:tcW w:type="dxa" w:w="1728"/>
          </w:tcPr>
          <w:p>
            <w:r/>
            <w:r>
              <w:rPr>
                <w:b/>
                <w:i/>
                <w:strike w:val="0"/>
                <w:color w:val="1155CC"/>
              </w:rPr>
              <w:t>RESOLVED — see Section 12</w:t>
            </w:r>
            <w:r>
              <w:rPr>
                <w:b w:val="0"/>
                <w:i w:val="0"/>
                <w:strike w:val="0"/>
              </w:rPr>
              <w:t xml:space="preserve"> </w:t>
            </w:r>
            <w:r>
              <w:rPr>
                <w:b w:val="0"/>
                <w:i/>
                <w:strike w:val="0"/>
                <w:color w:val="1155CC"/>
                <w:sz w:val="16"/>
              </w:rPr>
              <w:t xml:space="preserve"> [25 Jun FRD call]</w:t>
            </w:r>
          </w:p>
        </w:tc>
      </w:tr>
      <w:tr>
        <w:tc>
          <w:tcPr>
            <w:tcW w:type="dxa" w:w="1728"/>
          </w:tcPr>
          <w:p>
            <w:r/>
            <w:r>
              <w:rPr>
                <w:b w:val="0"/>
                <w:i w:val="0"/>
                <w:strike w:val="0"/>
              </w:rPr>
              <w:t>NT-02</w:t>
            </w:r>
          </w:p>
        </w:tc>
        <w:tc>
          <w:tcPr>
            <w:tcW w:type="dxa" w:w="1728"/>
          </w:tcPr>
          <w:p>
            <w:r/>
            <w:r>
              <w:rPr>
                <w:b w:val="0"/>
                <w:i w:val="0"/>
                <w:strike w:val="0"/>
              </w:rPr>
              <w:t>Notifications</w:t>
            </w:r>
          </w:p>
        </w:tc>
        <w:tc>
          <w:tcPr>
            <w:tcW w:type="dxa" w:w="1728"/>
          </w:tcPr>
          <w:p>
            <w:r/>
            <w:r>
              <w:rPr>
                <w:b w:val="0"/>
                <w:i w:val="0"/>
                <w:strike w:val="0"/>
              </w:rPr>
              <w:t>Notification preferences: per user or firm-wide?</w:t>
            </w:r>
          </w:p>
        </w:tc>
        <w:tc>
          <w:tcPr>
            <w:tcW w:type="dxa" w:w="1728"/>
          </w:tcPr>
          <w:p>
            <w:r/>
            <w:r>
              <w:rPr>
                <w:b w:val="0"/>
                <w:i w:val="0"/>
                <w:strike w:val="0"/>
              </w:rPr>
              <w:t>No</w:t>
            </w:r>
          </w:p>
        </w:tc>
        <w:tc>
          <w:tcPr>
            <w:tcW w:type="dxa" w:w="1728"/>
          </w:tcPr>
          <w:p>
            <w:r/>
            <w:r>
              <w:rPr>
                <w:b/>
                <w:i/>
                <w:strike w:val="0"/>
                <w:color w:val="1155CC"/>
              </w:rPr>
              <w:t>RESOLVED — see Section 12</w:t>
            </w:r>
            <w:r>
              <w:rPr>
                <w:b w:val="0"/>
                <w:i w:val="0"/>
                <w:strike w:val="0"/>
              </w:rPr>
              <w:t xml:space="preserve"> </w:t>
            </w:r>
            <w:r>
              <w:rPr>
                <w:b w:val="0"/>
                <w:i/>
                <w:strike w:val="0"/>
                <w:color w:val="1155CC"/>
                <w:sz w:val="16"/>
              </w:rPr>
              <w:t xml:space="preserve"> [25 Jun FRD call]</w:t>
            </w:r>
          </w:p>
        </w:tc>
      </w:tr>
      <w:tr>
        <w:tc>
          <w:tcPr>
            <w:tcW w:type="dxa" w:w="1728"/>
          </w:tcPr>
          <w:p>
            <w:r/>
            <w:r>
              <w:rPr>
                <w:b w:val="0"/>
                <w:i w:val="0"/>
                <w:strike w:val="0"/>
              </w:rPr>
              <w:t>NT-03</w:t>
            </w:r>
          </w:p>
        </w:tc>
        <w:tc>
          <w:tcPr>
            <w:tcW w:type="dxa" w:w="1728"/>
          </w:tcPr>
          <w:p>
            <w:r/>
            <w:r>
              <w:rPr>
                <w:b w:val="0"/>
                <w:i w:val="0"/>
                <w:strike w:val="0"/>
              </w:rPr>
              <w:t>Notifications</w:t>
            </w:r>
          </w:p>
        </w:tc>
        <w:tc>
          <w:tcPr>
            <w:tcW w:type="dxa" w:w="1728"/>
          </w:tcPr>
          <w:p>
            <w:r/>
            <w:r>
              <w:rPr>
                <w:b w:val="0"/>
                <w:i w:val="0"/>
                <w:strike w:val="0"/>
              </w:rPr>
              <w:t>Real-time alerts plus digest email option?</w:t>
            </w:r>
          </w:p>
        </w:tc>
        <w:tc>
          <w:tcPr>
            <w:tcW w:type="dxa" w:w="1728"/>
          </w:tcPr>
          <w:p>
            <w:r/>
            <w:r>
              <w:rPr>
                <w:b w:val="0"/>
                <w:i w:val="0"/>
                <w:strike w:val="0"/>
              </w:rPr>
              <w:t>No</w:t>
            </w:r>
          </w:p>
        </w:tc>
        <w:tc>
          <w:tcPr>
            <w:tcW w:type="dxa" w:w="1728"/>
          </w:tcPr>
          <w:p>
            <w:r/>
            <w:r>
              <w:rPr>
                <w:b/>
                <w:i/>
                <w:strike w:val="0"/>
                <w:color w:val="1155CC"/>
              </w:rPr>
              <w:t>RESOLVED — see Section 12</w:t>
            </w:r>
            <w:r>
              <w:rPr>
                <w:b w:val="0"/>
                <w:i w:val="0"/>
                <w:strike w:val="0"/>
              </w:rPr>
              <w:t xml:space="preserve"> </w:t>
            </w:r>
            <w:r>
              <w:rPr>
                <w:b w:val="0"/>
                <w:i/>
                <w:strike w:val="0"/>
                <w:color w:val="1155CC"/>
                <w:sz w:val="16"/>
              </w:rPr>
              <w:t xml:space="preserve"> [25 Jun FRD call]</w:t>
            </w:r>
          </w:p>
        </w:tc>
      </w:tr>
      <w:tr>
        <w:tc>
          <w:tcPr>
            <w:tcW w:type="dxa" w:w="1728"/>
          </w:tcPr>
          <w:p>
            <w:r/>
            <w:r>
              <w:rPr>
                <w:b w:val="0"/>
                <w:i w:val="0"/>
                <w:strike w:val="0"/>
              </w:rPr>
              <w:t>RE-01</w:t>
            </w:r>
          </w:p>
        </w:tc>
        <w:tc>
          <w:tcPr>
            <w:tcW w:type="dxa" w:w="1728"/>
          </w:tcPr>
          <w:p>
            <w:r/>
            <w:r>
              <w:rPr>
                <w:b w:val="0"/>
                <w:i w:val="0"/>
                <w:strike w:val="0"/>
              </w:rPr>
              <w:t>Rules engine</w:t>
            </w:r>
          </w:p>
        </w:tc>
        <w:tc>
          <w:tcPr>
            <w:tcW w:type="dxa" w:w="1728"/>
          </w:tcPr>
          <w:p>
            <w:r/>
            <w:r>
              <w:rPr>
                <w:b w:val="0"/>
                <w:i w:val="0"/>
                <w:strike w:val="0"/>
              </w:rPr>
              <w:t>Who maintains the regulatory content database ongoing — SayOne, Sosinna's team, or shared?</w:t>
            </w:r>
          </w:p>
        </w:tc>
        <w:tc>
          <w:tcPr>
            <w:tcW w:type="dxa" w:w="1728"/>
          </w:tcPr>
          <w:p>
            <w:r/>
            <w:r>
              <w:rPr>
                <w:b w:val="0"/>
                <w:i w:val="0"/>
                <w:strike w:val="0"/>
              </w:rPr>
              <w:t>Yes</w:t>
            </w:r>
          </w:p>
        </w:tc>
        <w:tc>
          <w:tcPr>
            <w:tcW w:type="dxa" w:w="1728"/>
          </w:tcPr>
          <w:p>
            <w:r/>
            <w:r>
              <w:rPr>
                <w:b/>
                <w:i/>
                <w:strike w:val="0"/>
                <w:color w:val="595959"/>
              </w:rPr>
              <w:t>Still open — estimation blocker</w:t>
            </w:r>
            <w:r>
              <w:rPr>
                <w:b w:val="0"/>
                <w:i w:val="0"/>
                <w:strike w:val="0"/>
              </w:rPr>
              <w:t xml:space="preserve"> </w:t>
            </w:r>
            <w:r>
              <w:rPr>
                <w:b w:val="0"/>
                <w:i/>
                <w:strike w:val="0"/>
                <w:color w:val="595959"/>
                <w:sz w:val="16"/>
              </w:rPr>
              <w:t xml:space="preserve"> [status note]</w:t>
            </w:r>
          </w:p>
        </w:tc>
      </w:tr>
      <w:tr>
        <w:tc>
          <w:tcPr>
            <w:tcW w:type="dxa" w:w="1728"/>
          </w:tcPr>
          <w:p>
            <w:r/>
            <w:r>
              <w:rPr>
                <w:b w:val="0"/>
                <w:i w:val="0"/>
                <w:strike w:val="0"/>
              </w:rPr>
              <w:t>RE-04</w:t>
            </w:r>
          </w:p>
        </w:tc>
        <w:tc>
          <w:tcPr>
            <w:tcW w:type="dxa" w:w="1728"/>
          </w:tcPr>
          <w:p>
            <w:r/>
            <w:r>
              <w:rPr>
                <w:b w:val="0"/>
                <w:i w:val="0"/>
                <w:strike w:val="0"/>
              </w:rPr>
              <w:t>Rules engine</w:t>
            </w:r>
          </w:p>
        </w:tc>
        <w:tc>
          <w:tcPr>
            <w:tcW w:type="dxa" w:w="1728"/>
          </w:tcPr>
          <w:p>
            <w:r/>
            <w:r>
              <w:rPr>
                <w:b w:val="0"/>
                <w:i w:val="0"/>
                <w:strike w:val="0"/>
              </w:rPr>
              <w:t>APIAX jurisdictional rule mapping: first version or later phase?</w:t>
            </w:r>
          </w:p>
        </w:tc>
        <w:tc>
          <w:tcPr>
            <w:tcW w:type="dxa" w:w="1728"/>
          </w:tcPr>
          <w:p>
            <w:r/>
            <w:r>
              <w:rPr>
                <w:b w:val="0"/>
                <w:i w:val="0"/>
                <w:strike w:val="0"/>
              </w:rPr>
              <w:t>Yes</w:t>
            </w:r>
          </w:p>
        </w:tc>
        <w:tc>
          <w:tcPr>
            <w:tcW w:type="dxa" w:w="1728"/>
          </w:tcPr>
          <w:p>
            <w:r/>
            <w:r>
              <w:rPr>
                <w:b/>
                <w:i/>
                <w:strike w:val="0"/>
                <w:color w:val="595959"/>
              </w:rPr>
              <w:t>Still open — estimation blocker</w:t>
            </w:r>
            <w:r>
              <w:rPr>
                <w:b w:val="0"/>
                <w:i w:val="0"/>
                <w:strike w:val="0"/>
              </w:rPr>
              <w:t xml:space="preserve"> </w:t>
            </w:r>
            <w:r>
              <w:rPr>
                <w:b w:val="0"/>
                <w:i/>
                <w:strike w:val="0"/>
                <w:color w:val="595959"/>
                <w:sz w:val="16"/>
              </w:rPr>
              <w:t xml:space="preserve"> [status note]</w:t>
            </w:r>
          </w:p>
        </w:tc>
      </w:tr>
      <w:tr>
        <w:tc>
          <w:tcPr>
            <w:tcW w:type="dxa" w:w="1728"/>
          </w:tcPr>
          <w:p>
            <w:r/>
            <w:r>
              <w:rPr>
                <w:b w:val="0"/>
                <w:i w:val="0"/>
                <w:strike w:val="0"/>
              </w:rPr>
              <w:t>RE-05</w:t>
            </w:r>
          </w:p>
        </w:tc>
        <w:tc>
          <w:tcPr>
            <w:tcW w:type="dxa" w:w="1728"/>
          </w:tcPr>
          <w:p>
            <w:r/>
            <w:r>
              <w:rPr>
                <w:b w:val="0"/>
                <w:i w:val="0"/>
                <w:strike w:val="0"/>
              </w:rPr>
              <w:t>Rules engine</w:t>
            </w:r>
          </w:p>
        </w:tc>
        <w:tc>
          <w:tcPr>
            <w:tcW w:type="dxa" w:w="1728"/>
          </w:tcPr>
          <w:p>
            <w:r/>
            <w:r>
              <w:rPr>
                <w:b w:val="0"/>
                <w:i w:val="0"/>
                <w:strike w:val="0"/>
              </w:rPr>
              <w:t>News feed sourcing: manual curation, automated scraping, or commercial API?</w:t>
            </w:r>
          </w:p>
        </w:tc>
        <w:tc>
          <w:tcPr>
            <w:tcW w:type="dxa" w:w="1728"/>
          </w:tcPr>
          <w:p>
            <w:r/>
            <w:r>
              <w:rPr>
                <w:b w:val="0"/>
                <w:i w:val="0"/>
                <w:strike w:val="0"/>
              </w:rPr>
              <w:t>Yes</w:t>
            </w:r>
          </w:p>
        </w:tc>
        <w:tc>
          <w:tcPr>
            <w:tcW w:type="dxa" w:w="1728"/>
          </w:tcPr>
          <w:p>
            <w:r/>
            <w:r>
              <w:rPr>
                <w:b/>
                <w:i/>
                <w:strike w:val="0"/>
                <w:color w:val="1155CC"/>
              </w:rPr>
              <w:t>Partial — see Section 9.1. Still open.</w:t>
            </w:r>
            <w:r>
              <w:rPr>
                <w:b w:val="0"/>
                <w:i w:val="0"/>
                <w:strike w:val="0"/>
              </w:rPr>
              <w:t xml:space="preserve"> </w:t>
            </w:r>
            <w:r>
              <w:rPr>
                <w:b w:val="0"/>
                <w:i/>
                <w:strike w:val="0"/>
                <w:color w:val="1155CC"/>
                <w:sz w:val="16"/>
              </w:rPr>
              <w:t xml:space="preserve"> [25 Jun FRD call]</w:t>
            </w:r>
          </w:p>
        </w:tc>
      </w:tr>
      <w:tr>
        <w:tc>
          <w:tcPr>
            <w:tcW w:type="dxa" w:w="1728"/>
          </w:tcPr>
          <w:p>
            <w:r/>
            <w:r>
              <w:rPr>
                <w:b w:val="0"/>
                <w:i w:val="0"/>
                <w:strike w:val="0"/>
              </w:rPr>
              <w:t>RP-04</w:t>
            </w:r>
          </w:p>
        </w:tc>
        <w:tc>
          <w:tcPr>
            <w:tcW w:type="dxa" w:w="1728"/>
          </w:tcPr>
          <w:p>
            <w:r/>
            <w:r>
              <w:rPr>
                <w:b w:val="0"/>
                <w:i w:val="0"/>
                <w:strike w:val="0"/>
              </w:rPr>
              <w:t>Reports</w:t>
            </w:r>
          </w:p>
        </w:tc>
        <w:tc>
          <w:tcPr>
            <w:tcW w:type="dxa" w:w="1728"/>
          </w:tcPr>
          <w:p>
            <w:r/>
            <w:r>
              <w:rPr>
                <w:b w:val="0"/>
                <w:i w:val="0"/>
                <w:strike w:val="0"/>
              </w:rPr>
              <w:t>Additional export formats beyond PDF: Word and/or Excel?</w:t>
            </w:r>
          </w:p>
        </w:tc>
        <w:tc>
          <w:tcPr>
            <w:tcW w:type="dxa" w:w="1728"/>
          </w:tcPr>
          <w:p>
            <w:r/>
            <w:r>
              <w:rPr>
                <w:b w:val="0"/>
                <w:i w:val="0"/>
                <w:strike w:val="0"/>
              </w:rPr>
              <w:t>No</w:t>
            </w:r>
          </w:p>
        </w:tc>
        <w:tc>
          <w:tcPr>
            <w:tcW w:type="dxa" w:w="1728"/>
          </w:tcPr>
          <w:p>
            <w:r/>
            <w:r>
              <w:rPr>
                <w:b/>
                <w:i/>
                <w:strike w:val="0"/>
                <w:color w:val="1155CC"/>
              </w:rPr>
              <w:t>Partial — see Section 9.2. Still open.</w:t>
            </w:r>
            <w:r>
              <w:rPr>
                <w:b w:val="0"/>
                <w:i w:val="0"/>
                <w:strike w:val="0"/>
              </w:rPr>
              <w:t xml:space="preserve"> </w:t>
            </w:r>
            <w:r>
              <w:rPr>
                <w:b w:val="0"/>
                <w:i/>
                <w:strike w:val="0"/>
                <w:color w:val="1155CC"/>
                <w:sz w:val="16"/>
              </w:rPr>
              <w:t xml:space="preserve"> [25 Jun FRD call]</w:t>
            </w:r>
          </w:p>
        </w:tc>
      </w:tr>
      <w:tr>
        <w:tc>
          <w:tcPr>
            <w:tcW w:type="dxa" w:w="1728"/>
          </w:tcPr>
          <w:p>
            <w:r/>
            <w:r>
              <w:rPr>
                <w:b w:val="0"/>
                <w:i w:val="0"/>
                <w:strike w:val="0"/>
              </w:rPr>
              <w:t>TI-01</w:t>
            </w:r>
          </w:p>
        </w:tc>
        <w:tc>
          <w:tcPr>
            <w:tcW w:type="dxa" w:w="1728"/>
          </w:tcPr>
          <w:p>
            <w:r/>
            <w:r>
              <w:rPr>
                <w:b w:val="0"/>
                <w:i w:val="0"/>
                <w:strike w:val="0"/>
              </w:rPr>
              <w:t>Technical</w:t>
            </w:r>
          </w:p>
        </w:tc>
        <w:tc>
          <w:tcPr>
            <w:tcW w:type="dxa" w:w="1728"/>
          </w:tcPr>
          <w:p>
            <w:r/>
            <w:r>
              <w:rPr>
                <w:b w:val="0"/>
                <w:i w:val="0"/>
                <w:strike w:val="0"/>
              </w:rPr>
              <w:t>Preferred cloud hosting provider?</w:t>
            </w:r>
          </w:p>
        </w:tc>
        <w:tc>
          <w:tcPr>
            <w:tcW w:type="dxa" w:w="1728"/>
          </w:tcPr>
          <w:p>
            <w:r/>
            <w:r>
              <w:rPr>
                <w:b w:val="0"/>
                <w:i w:val="0"/>
                <w:strike w:val="0"/>
              </w:rPr>
              <w:t>Yes</w:t>
            </w:r>
          </w:p>
        </w:tc>
        <w:tc>
          <w:tcPr>
            <w:tcW w:type="dxa" w:w="1728"/>
          </w:tcPr>
          <w:p>
            <w:r/>
            <w:r>
              <w:rPr>
                <w:b/>
                <w:i/>
                <w:strike w:val="0"/>
                <w:color w:val="C55A11"/>
              </w:rPr>
              <w:t>RESOLVED — see Section 13.2</w:t>
            </w:r>
            <w:r>
              <w:rPr>
                <w:b w:val="0"/>
                <w:i w:val="0"/>
                <w:strike w:val="0"/>
              </w:rPr>
              <w:t xml:space="preserve"> </w:t>
            </w:r>
            <w:r>
              <w:rPr>
                <w:b w:val="0"/>
                <w:i/>
                <w:strike w:val="0"/>
                <w:color w:val="C55A11"/>
                <w:sz w:val="16"/>
              </w:rPr>
              <w:t xml:space="preserve"> [Sosinna's Drive comment]</w:t>
            </w:r>
          </w:p>
        </w:tc>
      </w:tr>
      <w:tr>
        <w:tc>
          <w:tcPr>
            <w:tcW w:type="dxa" w:w="1728"/>
          </w:tcPr>
          <w:p>
            <w:r/>
            <w:r>
              <w:rPr>
                <w:b w:val="0"/>
                <w:i w:val="0"/>
                <w:strike w:val="0"/>
              </w:rPr>
              <w:t>TI-02</w:t>
            </w:r>
          </w:p>
        </w:tc>
        <w:tc>
          <w:tcPr>
            <w:tcW w:type="dxa" w:w="1728"/>
          </w:tcPr>
          <w:p>
            <w:r/>
            <w:r>
              <w:rPr>
                <w:b w:val="0"/>
                <w:i w:val="0"/>
                <w:strike w:val="0"/>
              </w:rPr>
              <w:t>Technical</w:t>
            </w:r>
          </w:p>
        </w:tc>
        <w:tc>
          <w:tcPr>
            <w:tcW w:type="dxa" w:w="1728"/>
          </w:tcPr>
          <w:p>
            <w:r/>
            <w:r>
              <w:rPr>
                <w:b w:val="0"/>
                <w:i w:val="0"/>
                <w:strike w:val="0"/>
              </w:rPr>
              <w:t>Required uptime SLA: 99.5% or 99.9%?</w:t>
            </w:r>
          </w:p>
        </w:tc>
        <w:tc>
          <w:tcPr>
            <w:tcW w:type="dxa" w:w="1728"/>
          </w:tcPr>
          <w:p>
            <w:r/>
            <w:r>
              <w:rPr>
                <w:b w:val="0"/>
                <w:i w:val="0"/>
                <w:strike w:val="0"/>
              </w:rPr>
              <w:t>Yes</w:t>
            </w:r>
          </w:p>
        </w:tc>
        <w:tc>
          <w:tcPr>
            <w:tcW w:type="dxa" w:w="1728"/>
          </w:tcPr>
          <w:p>
            <w:r/>
            <w:r>
              <w:rPr>
                <w:b/>
                <w:i/>
                <w:strike w:val="0"/>
                <w:color w:val="595959"/>
              </w:rPr>
              <w:t>Still open — estimation blocker</w:t>
            </w:r>
            <w:r>
              <w:rPr>
                <w:b w:val="0"/>
                <w:i w:val="0"/>
                <w:strike w:val="0"/>
              </w:rPr>
              <w:t xml:space="preserve"> </w:t>
            </w:r>
            <w:r>
              <w:rPr>
                <w:b w:val="0"/>
                <w:i/>
                <w:strike w:val="0"/>
                <w:color w:val="595959"/>
                <w:sz w:val="16"/>
              </w:rPr>
              <w:t xml:space="preserve"> [status note]</w:t>
            </w:r>
          </w:p>
        </w:tc>
      </w:tr>
      <w:tr>
        <w:tc>
          <w:tcPr>
            <w:tcW w:type="dxa" w:w="1728"/>
          </w:tcPr>
          <w:p>
            <w:r/>
            <w:r>
              <w:rPr>
                <w:b w:val="0"/>
                <w:i w:val="0"/>
                <w:strike w:val="0"/>
              </w:rPr>
              <w:t>TI-03</w:t>
            </w:r>
          </w:p>
        </w:tc>
        <w:tc>
          <w:tcPr>
            <w:tcW w:type="dxa" w:w="1728"/>
          </w:tcPr>
          <w:p>
            <w:r/>
            <w:r>
              <w:rPr>
                <w:b w:val="0"/>
                <w:i w:val="0"/>
                <w:strike w:val="0"/>
              </w:rPr>
              <w:t>Technical</w:t>
            </w:r>
          </w:p>
        </w:tc>
        <w:tc>
          <w:tcPr>
            <w:tcW w:type="dxa" w:w="1728"/>
          </w:tcPr>
          <w:p>
            <w:r/>
            <w:r>
              <w:rPr>
                <w:b w:val="0"/>
                <w:i w:val="0"/>
                <w:strike w:val="0"/>
              </w:rPr>
              <w:t>Security certifications required by clients?</w:t>
            </w:r>
          </w:p>
        </w:tc>
        <w:tc>
          <w:tcPr>
            <w:tcW w:type="dxa" w:w="1728"/>
          </w:tcPr>
          <w:p>
            <w:r/>
            <w:r>
              <w:rPr>
                <w:b w:val="0"/>
                <w:i w:val="0"/>
                <w:strike w:val="0"/>
              </w:rPr>
              <w:t>No</w:t>
            </w:r>
          </w:p>
        </w:tc>
        <w:tc>
          <w:tcPr>
            <w:tcW w:type="dxa" w:w="1728"/>
          </w:tcPr>
          <w:p>
            <w:r/>
            <w:r>
              <w:rPr>
                <w:b/>
                <w:i/>
                <w:strike w:val="0"/>
                <w:color w:val="595959"/>
              </w:rPr>
              <w:t>Open — no update</w:t>
            </w:r>
            <w:r>
              <w:rPr>
                <w:b w:val="0"/>
                <w:i w:val="0"/>
                <w:strike w:val="0"/>
              </w:rPr>
              <w:t xml:space="preserve"> </w:t>
            </w:r>
            <w:r>
              <w:rPr>
                <w:b w:val="0"/>
                <w:i/>
                <w:strike w:val="0"/>
                <w:color w:val="595959"/>
                <w:sz w:val="16"/>
              </w:rPr>
              <w:t xml:space="preserve"> [status note]</w:t>
            </w:r>
          </w:p>
        </w:tc>
      </w:tr>
      <w:tr>
        <w:tc>
          <w:tcPr>
            <w:tcW w:type="dxa" w:w="1728"/>
          </w:tcPr>
          <w:p>
            <w:r/>
            <w:r>
              <w:rPr>
                <w:b w:val="0"/>
                <w:i w:val="0"/>
                <w:strike w:val="0"/>
              </w:rPr>
              <w:t>TI-05</w:t>
            </w:r>
          </w:p>
        </w:tc>
        <w:tc>
          <w:tcPr>
            <w:tcW w:type="dxa" w:w="1728"/>
          </w:tcPr>
          <w:p>
            <w:r/>
            <w:r>
              <w:rPr>
                <w:b w:val="0"/>
                <w:i w:val="0"/>
                <w:strike w:val="0"/>
              </w:rPr>
              <w:t>Technical</w:t>
            </w:r>
          </w:p>
        </w:tc>
        <w:tc>
          <w:tcPr>
            <w:tcW w:type="dxa" w:w="1728"/>
          </w:tcPr>
          <w:p>
            <w:r/>
            <w:r>
              <w:rPr>
                <w:b w:val="0"/>
                <w:i w:val="0"/>
                <w:strike w:val="0"/>
              </w:rPr>
              <w:t>Public API: first version or later phase?</w:t>
            </w:r>
          </w:p>
        </w:tc>
        <w:tc>
          <w:tcPr>
            <w:tcW w:type="dxa" w:w="1728"/>
          </w:tcPr>
          <w:p>
            <w:r/>
            <w:r>
              <w:rPr>
                <w:b w:val="0"/>
                <w:i w:val="0"/>
                <w:strike w:val="0"/>
              </w:rPr>
              <w:t>Yes</w:t>
            </w:r>
          </w:p>
        </w:tc>
        <w:tc>
          <w:tcPr>
            <w:tcW w:type="dxa" w:w="1728"/>
          </w:tcPr>
          <w:p>
            <w:r/>
            <w:r>
              <w:rPr>
                <w:b/>
                <w:i/>
                <w:strike w:val="0"/>
                <w:color w:val="1155CC"/>
              </w:rPr>
              <w:t>Partial — see Section 13.2. Still open.</w:t>
            </w:r>
            <w:r>
              <w:rPr>
                <w:b w:val="0"/>
                <w:i w:val="0"/>
                <w:strike w:val="0"/>
              </w:rPr>
              <w:t xml:space="preserve"> </w:t>
            </w:r>
            <w:r>
              <w:rPr>
                <w:b w:val="0"/>
                <w:i/>
                <w:strike w:val="0"/>
                <w:color w:val="1155CC"/>
                <w:sz w:val="16"/>
              </w:rPr>
              <w:t xml:space="preserve"> [25 Jun FRD call]</w:t>
            </w:r>
          </w:p>
        </w:tc>
      </w:tr>
      <w:tr>
        <w:tc>
          <w:tcPr>
            <w:tcW w:type="dxa" w:w="1728"/>
          </w:tcPr>
          <w:p>
            <w:r/>
            <w:r>
              <w:rPr>
                <w:b w:val="0"/>
                <w:i w:val="0"/>
                <w:strike w:val="0"/>
              </w:rPr>
              <w:t>TI-06</w:t>
            </w:r>
          </w:p>
        </w:tc>
        <w:tc>
          <w:tcPr>
            <w:tcW w:type="dxa" w:w="1728"/>
          </w:tcPr>
          <w:p>
            <w:r/>
            <w:r>
              <w:rPr>
                <w:b w:val="0"/>
                <w:i w:val="0"/>
                <w:strike w:val="0"/>
              </w:rPr>
              <w:t>Technical</w:t>
            </w:r>
          </w:p>
        </w:tc>
        <w:tc>
          <w:tcPr>
            <w:tcW w:type="dxa" w:w="1728"/>
          </w:tcPr>
          <w:p>
            <w:r/>
            <w:r>
              <w:rPr>
                <w:b w:val="0"/>
                <w:i w:val="0"/>
                <w:strike w:val="0"/>
              </w:rPr>
              <w:t>Expected number of firms and concurrent users in Year 1?</w:t>
            </w:r>
          </w:p>
        </w:tc>
        <w:tc>
          <w:tcPr>
            <w:tcW w:type="dxa" w:w="1728"/>
          </w:tcPr>
          <w:p>
            <w:r/>
            <w:r>
              <w:rPr>
                <w:b w:val="0"/>
                <w:i w:val="0"/>
                <w:strike w:val="0"/>
              </w:rPr>
              <w:t>Yes</w:t>
            </w:r>
          </w:p>
        </w:tc>
        <w:tc>
          <w:tcPr>
            <w:tcW w:type="dxa" w:w="1728"/>
          </w:tcPr>
          <w:p>
            <w:r/>
            <w:r>
              <w:rPr>
                <w:b/>
                <w:i/>
                <w:strike w:val="0"/>
                <w:color w:val="1155CC"/>
              </w:rPr>
              <w:t>Partial — see Section 13.2. Still open.</w:t>
            </w:r>
            <w:r>
              <w:rPr>
                <w:b w:val="0"/>
                <w:i w:val="0"/>
                <w:strike w:val="0"/>
              </w:rPr>
              <w:t xml:space="preserve"> </w:t>
            </w:r>
            <w:r>
              <w:rPr>
                <w:b w:val="0"/>
                <w:i/>
                <w:strike w:val="0"/>
                <w:color w:val="1155CC"/>
                <w:sz w:val="16"/>
              </w:rPr>
              <w:t xml:space="preserve"> [25 Jun FRD call]</w:t>
            </w:r>
          </w:p>
        </w:tc>
      </w:tr>
      <w:tr>
        <w:tc>
          <w:tcPr>
            <w:tcW w:type="dxa" w:w="1728"/>
          </w:tcPr>
          <w:p>
            <w:r/>
            <w:r>
              <w:rPr>
                <w:b w:val="0"/>
                <w:i w:val="0"/>
                <w:strike w:val="0"/>
              </w:rPr>
              <w:t>CC-01</w:t>
            </w:r>
          </w:p>
        </w:tc>
        <w:tc>
          <w:tcPr>
            <w:tcW w:type="dxa" w:w="1728"/>
          </w:tcPr>
          <w:p>
            <w:r/>
            <w:r>
              <w:rPr>
                <w:b w:val="0"/>
                <w:i w:val="0"/>
                <w:strike w:val="0"/>
              </w:rPr>
              <w:t>Commercial</w:t>
            </w:r>
          </w:p>
        </w:tc>
        <w:tc>
          <w:tcPr>
            <w:tcW w:type="dxa" w:w="1728"/>
          </w:tcPr>
          <w:p>
            <w:r/>
            <w:r>
              <w:rPr>
                <w:b w:val="0"/>
                <w:i w:val="0"/>
                <w:strike w:val="0"/>
              </w:rPr>
              <w:t>Pricing model?</w:t>
            </w:r>
          </w:p>
        </w:tc>
        <w:tc>
          <w:tcPr>
            <w:tcW w:type="dxa" w:w="1728"/>
          </w:tcPr>
          <w:p>
            <w:r/>
            <w:r>
              <w:rPr>
                <w:b w:val="0"/>
                <w:i w:val="0"/>
                <w:strike w:val="0"/>
              </w:rPr>
              <w:t>Yes</w:t>
            </w:r>
          </w:p>
        </w:tc>
        <w:tc>
          <w:tcPr>
            <w:tcW w:type="dxa" w:w="1728"/>
          </w:tcPr>
          <w:p>
            <w:r/>
            <w:r>
              <w:rPr>
                <w:b/>
                <w:i/>
                <w:strike w:val="0"/>
                <w:color w:val="1155CC"/>
              </w:rPr>
              <w:t>Model confirmed — see Section 14. Exact figures still pending.</w:t>
            </w:r>
            <w:r>
              <w:rPr>
                <w:b w:val="0"/>
                <w:i w:val="0"/>
                <w:strike w:val="0"/>
              </w:rPr>
              <w:t xml:space="preserve"> </w:t>
            </w:r>
            <w:r>
              <w:rPr>
                <w:b w:val="0"/>
                <w:i/>
                <w:strike w:val="0"/>
                <w:color w:val="1155CC"/>
                <w:sz w:val="16"/>
              </w:rPr>
              <w:t xml:space="preserve"> [25 Jun FRD call]</w:t>
            </w:r>
          </w:p>
        </w:tc>
      </w:tr>
      <w:tr>
        <w:tc>
          <w:tcPr>
            <w:tcW w:type="dxa" w:w="1728"/>
          </w:tcPr>
          <w:p>
            <w:r/>
            <w:r>
              <w:rPr>
                <w:b w:val="0"/>
                <w:i w:val="0"/>
                <w:strike w:val="0"/>
              </w:rPr>
              <w:t>CC-02</w:t>
            </w:r>
          </w:p>
        </w:tc>
        <w:tc>
          <w:tcPr>
            <w:tcW w:type="dxa" w:w="1728"/>
          </w:tcPr>
          <w:p>
            <w:r/>
            <w:r>
              <w:rPr>
                <w:b w:val="0"/>
                <w:i w:val="0"/>
                <w:strike w:val="0"/>
              </w:rPr>
              <w:t>Commercial</w:t>
            </w:r>
          </w:p>
        </w:tc>
        <w:tc>
          <w:tcPr>
            <w:tcW w:type="dxa" w:w="1728"/>
          </w:tcPr>
          <w:p>
            <w:r/>
            <w:r>
              <w:rPr>
                <w:b w:val="0"/>
                <w:i w:val="0"/>
                <w:strike w:val="0"/>
              </w:rPr>
              <w:t>Platform branding?</w:t>
            </w:r>
          </w:p>
        </w:tc>
        <w:tc>
          <w:tcPr>
            <w:tcW w:type="dxa" w:w="1728"/>
          </w:tcPr>
          <w:p>
            <w:r/>
            <w:r>
              <w:rPr>
                <w:b w:val="0"/>
                <w:i w:val="0"/>
                <w:strike w:val="0"/>
              </w:rPr>
              <w:t>No</w:t>
            </w:r>
          </w:p>
        </w:tc>
        <w:tc>
          <w:tcPr>
            <w:tcW w:type="dxa" w:w="1728"/>
          </w:tcPr>
          <w:p>
            <w:r/>
            <w:r>
              <w:rPr>
                <w:b/>
                <w:i/>
                <w:strike w:val="0"/>
                <w:color w:val="595959"/>
              </w:rPr>
              <w:t>Open — no update</w:t>
            </w:r>
            <w:r>
              <w:rPr>
                <w:b w:val="0"/>
                <w:i w:val="0"/>
                <w:strike w:val="0"/>
              </w:rPr>
              <w:t xml:space="preserve"> </w:t>
            </w:r>
            <w:r>
              <w:rPr>
                <w:b w:val="0"/>
                <w:i/>
                <w:strike w:val="0"/>
                <w:color w:val="595959"/>
                <w:sz w:val="16"/>
              </w:rPr>
              <w:t xml:space="preserve"> [status note]</w:t>
            </w:r>
          </w:p>
        </w:tc>
      </w:tr>
      <w:tr>
        <w:tc>
          <w:tcPr>
            <w:tcW w:type="dxa" w:w="1728"/>
          </w:tcPr>
          <w:p>
            <w:r/>
            <w:r>
              <w:rPr>
                <w:b w:val="0"/>
                <w:i w:val="0"/>
                <w:strike w:val="0"/>
              </w:rPr>
              <w:t>CC-03</w:t>
            </w:r>
          </w:p>
        </w:tc>
        <w:tc>
          <w:tcPr>
            <w:tcW w:type="dxa" w:w="1728"/>
          </w:tcPr>
          <w:p>
            <w:r/>
            <w:r>
              <w:rPr>
                <w:b w:val="0"/>
                <w:i w:val="0"/>
                <w:strike w:val="0"/>
              </w:rPr>
              <w:t>Commercial</w:t>
            </w:r>
          </w:p>
        </w:tc>
        <w:tc>
          <w:tcPr>
            <w:tcW w:type="dxa" w:w="1728"/>
          </w:tcPr>
          <w:p>
            <w:r/>
            <w:r>
              <w:rPr>
                <w:b w:val="0"/>
                <w:i w:val="0"/>
                <w:strike w:val="0"/>
              </w:rPr>
              <w:t>IP ownership of regulatory content?</w:t>
            </w:r>
          </w:p>
        </w:tc>
        <w:tc>
          <w:tcPr>
            <w:tcW w:type="dxa" w:w="1728"/>
          </w:tcPr>
          <w:p>
            <w:r/>
            <w:r>
              <w:rPr>
                <w:b w:val="0"/>
                <w:i w:val="0"/>
                <w:strike w:val="0"/>
              </w:rPr>
              <w:t>Yes</w:t>
            </w:r>
          </w:p>
        </w:tc>
        <w:tc>
          <w:tcPr>
            <w:tcW w:type="dxa" w:w="1728"/>
          </w:tcPr>
          <w:p>
            <w:r/>
            <w:r>
              <w:rPr>
                <w:b/>
                <w:i/>
                <w:strike w:val="0"/>
                <w:color w:val="C55A11"/>
              </w:rPr>
              <w:t>RESOLVED — see Section 14</w:t>
            </w:r>
            <w:r>
              <w:rPr>
                <w:b w:val="0"/>
                <w:i w:val="0"/>
                <w:strike w:val="0"/>
              </w:rPr>
              <w:t xml:space="preserve"> </w:t>
            </w:r>
            <w:r>
              <w:rPr>
                <w:b w:val="0"/>
                <w:i/>
                <w:strike w:val="0"/>
                <w:color w:val="C55A11"/>
                <w:sz w:val="16"/>
              </w:rPr>
              <w:t xml:space="preserve"> [Sosinna's Drive comment]</w:t>
            </w:r>
          </w:p>
        </w:tc>
      </w:tr>
      <w:tr>
        <w:tc>
          <w:tcPr>
            <w:tcW w:type="dxa" w:w="1728"/>
          </w:tcPr>
          <w:p>
            <w:r/>
            <w:r>
              <w:rPr>
                <w:b w:val="0"/>
                <w:i w:val="0"/>
                <w:strike w:val="0"/>
              </w:rPr>
              <w:t>CC-04</w:t>
            </w:r>
          </w:p>
        </w:tc>
        <w:tc>
          <w:tcPr>
            <w:tcW w:type="dxa" w:w="1728"/>
          </w:tcPr>
          <w:p>
            <w:r/>
            <w:r>
              <w:rPr>
                <w:b w:val="0"/>
                <w:i w:val="0"/>
                <w:strike w:val="0"/>
              </w:rPr>
              <w:t>Commercial</w:t>
            </w:r>
          </w:p>
        </w:tc>
        <w:tc>
          <w:tcPr>
            <w:tcW w:type="dxa" w:w="1728"/>
          </w:tcPr>
          <w:p>
            <w:r/>
            <w:r>
              <w:rPr>
                <w:b w:val="0"/>
                <w:i w:val="0"/>
                <w:strike w:val="0"/>
              </w:rPr>
              <w:t>Engagement model?</w:t>
            </w:r>
          </w:p>
        </w:tc>
        <w:tc>
          <w:tcPr>
            <w:tcW w:type="dxa" w:w="1728"/>
          </w:tcPr>
          <w:p>
            <w:r/>
            <w:r>
              <w:rPr>
                <w:b w:val="0"/>
                <w:i w:val="0"/>
                <w:strike w:val="0"/>
              </w:rPr>
              <w:t>Yes</w:t>
            </w:r>
          </w:p>
        </w:tc>
        <w:tc>
          <w:tcPr>
            <w:tcW w:type="dxa" w:w="1728"/>
          </w:tcPr>
          <w:p>
            <w:r/>
            <w:r>
              <w:rPr>
                <w:b/>
                <w:i/>
                <w:strike w:val="0"/>
                <w:color w:val="C55A11"/>
              </w:rPr>
              <w:t>RESOLVED — see Section 14</w:t>
            </w:r>
            <w:r>
              <w:rPr>
                <w:b w:val="0"/>
                <w:i w:val="0"/>
                <w:strike w:val="0"/>
              </w:rPr>
              <w:t xml:space="preserve"> </w:t>
            </w:r>
            <w:r>
              <w:rPr>
                <w:b w:val="0"/>
                <w:i/>
                <w:strike w:val="0"/>
                <w:color w:val="C55A11"/>
                <w:sz w:val="16"/>
              </w:rPr>
              <w:t xml:space="preserve"> [Sosinna's Drive comment]</w:t>
            </w:r>
          </w:p>
        </w:tc>
      </w:tr>
      <w:tr>
        <w:tc>
          <w:tcPr>
            <w:tcW w:type="dxa" w:w="1728"/>
          </w:tcPr>
          <w:p>
            <w:r/>
            <w:r>
              <w:rPr>
                <w:b w:val="0"/>
                <w:i w:val="0"/>
                <w:strike w:val="0"/>
              </w:rPr>
              <w:t>CC-05</w:t>
            </w:r>
          </w:p>
        </w:tc>
        <w:tc>
          <w:tcPr>
            <w:tcW w:type="dxa" w:w="1728"/>
          </w:tcPr>
          <w:p>
            <w:r/>
            <w:r>
              <w:rPr>
                <w:b w:val="0"/>
                <w:i w:val="0"/>
                <w:strike w:val="0"/>
              </w:rPr>
              <w:t>Commercial</w:t>
            </w:r>
          </w:p>
        </w:tc>
        <w:tc>
          <w:tcPr>
            <w:tcW w:type="dxa" w:w="1728"/>
          </w:tcPr>
          <w:p>
            <w:r/>
            <w:r>
              <w:rPr>
                <w:b w:val="0"/>
                <w:i w:val="0"/>
                <w:strike w:val="0"/>
              </w:rPr>
              <w:t>Demo Day presentation approach?</w:t>
            </w:r>
          </w:p>
        </w:tc>
        <w:tc>
          <w:tcPr>
            <w:tcW w:type="dxa" w:w="1728"/>
          </w:tcPr>
          <w:p>
            <w:r/>
            <w:r>
              <w:rPr>
                <w:b w:val="0"/>
                <w:i w:val="0"/>
                <w:strike w:val="0"/>
              </w:rPr>
              <w:t>No</w:t>
            </w:r>
          </w:p>
        </w:tc>
        <w:tc>
          <w:tcPr>
            <w:tcW w:type="dxa" w:w="1728"/>
          </w:tcPr>
          <w:p>
            <w:r/>
            <w:r>
              <w:rPr>
                <w:b/>
                <w:i/>
                <w:strike w:val="0"/>
                <w:color w:val="595959"/>
              </w:rPr>
              <w:t>Open — no update</w:t>
            </w:r>
            <w:r>
              <w:rPr>
                <w:b w:val="0"/>
                <w:i w:val="0"/>
                <w:strike w:val="0"/>
              </w:rPr>
              <w:t xml:space="preserve"> </w:t>
            </w:r>
            <w:r>
              <w:rPr>
                <w:b w:val="0"/>
                <w:i/>
                <w:strike w:val="0"/>
                <w:color w:val="595959"/>
                <w:sz w:val="16"/>
              </w:rPr>
              <w:t xml:space="preserve"> [status note]</w:t>
            </w:r>
          </w:p>
        </w:tc>
      </w:tr>
      <w:tr>
        <w:tc>
          <w:tcPr>
            <w:tcW w:type="dxa" w:w="1728"/>
          </w:tcPr>
          <w:p>
            <w:r/>
            <w:r>
              <w:rPr>
                <w:b w:val="0"/>
                <w:i w:val="0"/>
                <w:strike w:val="0"/>
              </w:rPr>
              <w:t>CC-06</w:t>
            </w:r>
          </w:p>
        </w:tc>
        <w:tc>
          <w:tcPr>
            <w:tcW w:type="dxa" w:w="1728"/>
          </w:tcPr>
          <w:p>
            <w:r/>
            <w:r>
              <w:rPr>
                <w:b w:val="0"/>
                <w:i w:val="0"/>
                <w:strike w:val="0"/>
              </w:rPr>
              <w:t>Commercial</w:t>
            </w:r>
          </w:p>
        </w:tc>
        <w:tc>
          <w:tcPr>
            <w:tcW w:type="dxa" w:w="1728"/>
          </w:tcPr>
          <w:p>
            <w:r/>
            <w:r>
              <w:rPr>
                <w:b w:val="0"/>
                <w:i w:val="0"/>
                <w:strike w:val="0"/>
              </w:rPr>
              <w:t>Client contracting: reseller or direct?</w:t>
            </w:r>
          </w:p>
        </w:tc>
        <w:tc>
          <w:tcPr>
            <w:tcW w:type="dxa" w:w="1728"/>
          </w:tcPr>
          <w:p>
            <w:r/>
            <w:r>
              <w:rPr>
                <w:b w:val="0"/>
                <w:i w:val="0"/>
                <w:strike w:val="0"/>
              </w:rPr>
              <w:t>Yes</w:t>
            </w:r>
          </w:p>
        </w:tc>
        <w:tc>
          <w:tcPr>
            <w:tcW w:type="dxa" w:w="1728"/>
          </w:tcPr>
          <w:p>
            <w:r/>
            <w:r>
              <w:rPr>
                <w:b/>
                <w:i/>
                <w:strike w:val="0"/>
                <w:color w:val="C55A11"/>
              </w:rPr>
              <w:t>RESOLVED — see Section 14</w:t>
            </w:r>
            <w:r>
              <w:rPr>
                <w:b w:val="0"/>
                <w:i w:val="0"/>
                <w:strike w:val="0"/>
              </w:rPr>
              <w:t xml:space="preserve"> </w:t>
            </w:r>
            <w:r>
              <w:rPr>
                <w:b w:val="0"/>
                <w:i/>
                <w:strike w:val="0"/>
                <w:color w:val="C55A11"/>
                <w:sz w:val="16"/>
              </w:rPr>
              <w:t xml:space="preserve"> [Sosinna's Drive comment]</w:t>
            </w:r>
          </w:p>
        </w:tc>
      </w:tr>
      <w:tr>
        <w:tc>
          <w:tcPr>
            <w:tcW w:type="dxa" w:w="1728"/>
          </w:tcPr>
          <w:p>
            <w:r/>
            <w:r>
              <w:rPr>
                <w:b/>
                <w:i/>
                <w:strike w:val="0"/>
              </w:rPr>
              <w:t>FO-09</w:t>
            </w:r>
          </w:p>
        </w:tc>
        <w:tc>
          <w:tcPr>
            <w:tcW w:type="dxa" w:w="1728"/>
          </w:tcPr>
          <w:p>
            <w:r/>
            <w:r>
              <w:rPr>
                <w:b/>
                <w:i/>
                <w:strike w:val="0"/>
              </w:rPr>
              <w:t>Setup</w:t>
            </w:r>
          </w:p>
        </w:tc>
        <w:tc>
          <w:tcPr>
            <w:tcW w:type="dxa" w:w="1728"/>
          </w:tcPr>
          <w:p>
            <w:r/>
            <w:r>
              <w:rPr>
                <w:b/>
                <w:i/>
                <w:strike w:val="0"/>
              </w:rPr>
              <w:t>What format do the onboarding financial reports arrive in, and is automated service-line derivation from them feasible? Sample document required.</w:t>
            </w:r>
          </w:p>
        </w:tc>
        <w:tc>
          <w:tcPr>
            <w:tcW w:type="dxa" w:w="1728"/>
          </w:tcPr>
          <w:p>
            <w:r/>
            <w:r>
              <w:rPr>
                <w:b/>
                <w:i/>
                <w:strike w:val="0"/>
              </w:rPr>
              <w:t>Yes</w:t>
            </w:r>
          </w:p>
        </w:tc>
        <w:tc>
          <w:tcPr>
            <w:tcW w:type="dxa" w:w="1728"/>
          </w:tcPr>
          <w:p>
            <w:r/>
            <w:r>
              <w:rPr>
                <w:b/>
                <w:i/>
                <w:strike w:val="0"/>
                <w:color w:val="7030A0"/>
              </w:rPr>
              <w:t>New in v5.0 — see Section 5, FR-92</w:t>
            </w:r>
            <w:r>
              <w:rPr>
                <w:b w:val="0"/>
                <w:i w:val="0"/>
                <w:strike w:val="0"/>
              </w:rPr>
              <w:t xml:space="preserve"> </w:t>
            </w:r>
            <w:r>
              <w:rPr>
                <w:b w:val="0"/>
                <w:i/>
                <w:strike w:val="0"/>
                <w:color w:val="7030A0"/>
                <w:sz w:val="16"/>
              </w:rPr>
              <w:t xml:space="preserve"> [Aug 2026 client MOM]</w:t>
            </w:r>
          </w:p>
        </w:tc>
      </w:tr>
      <w:tr>
        <w:tc>
          <w:tcPr>
            <w:tcW w:type="dxa" w:w="1728"/>
          </w:tcPr>
          <w:p>
            <w:r/>
            <w:r>
              <w:rPr>
                <w:b/>
                <w:i/>
                <w:strike w:val="0"/>
              </w:rPr>
              <w:t>PR-01</w:t>
            </w:r>
          </w:p>
        </w:tc>
        <w:tc>
          <w:tcPr>
            <w:tcW w:type="dxa" w:w="1728"/>
          </w:tcPr>
          <w:p>
            <w:r/>
            <w:r>
              <w:rPr>
                <w:b/>
                <w:i/>
                <w:strike w:val="0"/>
              </w:rPr>
              <w:t>Priority</w:t>
            </w:r>
          </w:p>
        </w:tc>
        <w:tc>
          <w:tcPr>
            <w:tcW w:type="dxa" w:w="1728"/>
          </w:tcPr>
          <w:p>
            <w:r/>
            <w:r>
              <w:rPr>
                <w:b/>
                <w:i/>
                <w:strike w:val="0"/>
              </w:rPr>
              <w:t>Two priority levels (high/low) or three, to match the Finding severity scale?</w:t>
            </w:r>
          </w:p>
        </w:tc>
        <w:tc>
          <w:tcPr>
            <w:tcW w:type="dxa" w:w="1728"/>
          </w:tcPr>
          <w:p>
            <w:r/>
            <w:r>
              <w:rPr>
                <w:b/>
                <w:i/>
                <w:strike w:val="0"/>
              </w:rPr>
              <w:t>No</w:t>
            </w:r>
          </w:p>
        </w:tc>
        <w:tc>
          <w:tcPr>
            <w:tcW w:type="dxa" w:w="1728"/>
          </w:tcPr>
          <w:p>
            <w:r/>
            <w:r>
              <w:rPr>
                <w:b/>
                <w:i/>
                <w:strike w:val="0"/>
                <w:color w:val="7030A0"/>
              </w:rPr>
              <w:t>New in v5.0 — see Section 4.4</w:t>
            </w:r>
            <w:r>
              <w:rPr>
                <w:b w:val="0"/>
                <w:i w:val="0"/>
                <w:strike w:val="0"/>
              </w:rPr>
              <w:t xml:space="preserve"> </w:t>
            </w:r>
            <w:r>
              <w:rPr>
                <w:b w:val="0"/>
                <w:i/>
                <w:strike w:val="0"/>
                <w:color w:val="7030A0"/>
                <w:sz w:val="16"/>
              </w:rPr>
              <w:t xml:space="preserve"> [Aug 2026 client MOM]</w:t>
            </w:r>
          </w:p>
        </w:tc>
      </w:tr>
      <w:tr>
        <w:tc>
          <w:tcPr>
            <w:tcW w:type="dxa" w:w="1728"/>
          </w:tcPr>
          <w:p>
            <w:r/>
            <w:r>
              <w:rPr>
                <w:b/>
                <w:i/>
                <w:strike w:val="0"/>
              </w:rPr>
              <w:t>PR-02</w:t>
            </w:r>
          </w:p>
        </w:tc>
        <w:tc>
          <w:tcPr>
            <w:tcW w:type="dxa" w:w="1728"/>
          </w:tcPr>
          <w:p>
            <w:r/>
            <w:r>
              <w:rPr>
                <w:b/>
                <w:i/>
                <w:strike w:val="0"/>
              </w:rPr>
              <w:t>Priority</w:t>
            </w:r>
          </w:p>
        </w:tc>
        <w:tc>
          <w:tcPr>
            <w:tcW w:type="dxa" w:w="1728"/>
          </w:tcPr>
          <w:p>
            <w:r/>
            <w:r>
              <w:rPr>
                <w:b/>
                <w:i/>
                <w:strike w:val="0"/>
              </w:rPr>
              <w:t>Can a firm override the centrally-set priority of a test?</w:t>
            </w:r>
          </w:p>
        </w:tc>
        <w:tc>
          <w:tcPr>
            <w:tcW w:type="dxa" w:w="1728"/>
          </w:tcPr>
          <w:p>
            <w:r/>
            <w:r>
              <w:rPr>
                <w:b/>
                <w:i/>
                <w:strike w:val="0"/>
              </w:rPr>
              <w:t>No</w:t>
            </w:r>
          </w:p>
        </w:tc>
        <w:tc>
          <w:tcPr>
            <w:tcW w:type="dxa" w:w="1728"/>
          </w:tcPr>
          <w:p>
            <w:r/>
            <w:r>
              <w:rPr>
                <w:b/>
                <w:i/>
                <w:strike w:val="0"/>
                <w:color w:val="7030A0"/>
              </w:rPr>
              <w:t>New in v5.0 — see Section 4.4</w:t>
            </w:r>
            <w:r>
              <w:rPr>
                <w:b w:val="0"/>
                <w:i w:val="0"/>
                <w:strike w:val="0"/>
              </w:rPr>
              <w:t xml:space="preserve"> </w:t>
            </w:r>
            <w:r>
              <w:rPr>
                <w:b w:val="0"/>
                <w:i/>
                <w:strike w:val="0"/>
                <w:color w:val="7030A0"/>
                <w:sz w:val="16"/>
              </w:rPr>
              <w:t xml:space="preserve"> [Aug 2026 client MOM]</w:t>
            </w:r>
          </w:p>
        </w:tc>
      </w:tr>
      <w:tr>
        <w:tc>
          <w:tcPr>
            <w:tcW w:type="dxa" w:w="1728"/>
          </w:tcPr>
          <w:p>
            <w:r/>
            <w:r>
              <w:rPr>
                <w:b/>
                <w:i/>
                <w:strike w:val="0"/>
              </w:rPr>
              <w:t>PR-03</w:t>
            </w:r>
          </w:p>
        </w:tc>
        <w:tc>
          <w:tcPr>
            <w:tcW w:type="dxa" w:w="1728"/>
          </w:tcPr>
          <w:p>
            <w:r/>
            <w:r>
              <w:rPr>
                <w:b/>
                <w:i/>
                <w:strike w:val="0"/>
              </w:rPr>
              <w:t>Priority</w:t>
            </w:r>
          </w:p>
        </w:tc>
        <w:tc>
          <w:tcPr>
            <w:tcW w:type="dxa" w:w="1728"/>
          </w:tcPr>
          <w:p>
            <w:r/>
            <w:r>
              <w:rPr>
                <w:b/>
                <w:i/>
                <w:strike w:val="0"/>
              </w:rPr>
              <w:t>Is priority informational only, or does it gate behaviour (assignment order, report generation)?</w:t>
            </w:r>
          </w:p>
        </w:tc>
        <w:tc>
          <w:tcPr>
            <w:tcW w:type="dxa" w:w="1728"/>
          </w:tcPr>
          <w:p>
            <w:r/>
            <w:r>
              <w:rPr>
                <w:b/>
                <w:i/>
                <w:strike w:val="0"/>
              </w:rPr>
              <w:t>Yes</w:t>
            </w:r>
          </w:p>
        </w:tc>
        <w:tc>
          <w:tcPr>
            <w:tcW w:type="dxa" w:w="1728"/>
          </w:tcPr>
          <w:p>
            <w:r/>
            <w:r>
              <w:rPr>
                <w:b/>
                <w:i/>
                <w:strike w:val="0"/>
                <w:color w:val="7030A0"/>
              </w:rPr>
              <w:t>New in v5.0 — see Section 4.4</w:t>
            </w:r>
            <w:r>
              <w:rPr>
                <w:b w:val="0"/>
                <w:i w:val="0"/>
                <w:strike w:val="0"/>
              </w:rPr>
              <w:t xml:space="preserve"> </w:t>
            </w:r>
            <w:r>
              <w:rPr>
                <w:b w:val="0"/>
                <w:i/>
                <w:strike w:val="0"/>
                <w:color w:val="7030A0"/>
                <w:sz w:val="16"/>
              </w:rPr>
              <w:t xml:space="preserve"> [Aug 2026 client MOM]</w:t>
            </w:r>
          </w:p>
        </w:tc>
      </w:tr>
      <w:tr>
        <w:tc>
          <w:tcPr>
            <w:tcW w:type="dxa" w:w="1728"/>
          </w:tcPr>
          <w:p>
            <w:r/>
            <w:r>
              <w:rPr>
                <w:b/>
                <w:i/>
                <w:strike w:val="0"/>
              </w:rPr>
              <w:t>TS-01</w:t>
            </w:r>
          </w:p>
        </w:tc>
        <w:tc>
          <w:tcPr>
            <w:tcW w:type="dxa" w:w="1728"/>
          </w:tcPr>
          <w:p>
            <w:r/>
            <w:r>
              <w:rPr>
                <w:b/>
                <w:i/>
                <w:strike w:val="0"/>
              </w:rPr>
              <w:t>Testing</w:t>
            </w:r>
          </w:p>
        </w:tc>
        <w:tc>
          <w:tcPr>
            <w:tcW w:type="dxa" w:w="1728"/>
          </w:tcPr>
          <w:p>
            <w:r/>
            <w:r>
              <w:rPr>
                <w:b/>
                <w:i/>
                <w:strike w:val="0"/>
              </w:rPr>
              <w:t>What happens to a pool item whose period ends unassigned — carry forward, overdue, or missed-obligation record?</w:t>
            </w:r>
          </w:p>
        </w:tc>
        <w:tc>
          <w:tcPr>
            <w:tcW w:type="dxa" w:w="1728"/>
          </w:tcPr>
          <w:p>
            <w:r/>
            <w:r>
              <w:rPr>
                <w:b/>
                <w:i/>
                <w:strike w:val="0"/>
              </w:rPr>
              <w:t>Yes</w:t>
            </w:r>
          </w:p>
        </w:tc>
        <w:tc>
          <w:tcPr>
            <w:tcW w:type="dxa" w:w="1728"/>
          </w:tcPr>
          <w:p>
            <w:r/>
            <w:r>
              <w:rPr>
                <w:b/>
                <w:i/>
                <w:strike w:val="0"/>
                <w:color w:val="7030A0"/>
              </w:rPr>
              <w:t>New in v5.0 — see Section 7.2; resolve with GAP-01</w:t>
            </w:r>
            <w:r>
              <w:rPr>
                <w:b w:val="0"/>
                <w:i w:val="0"/>
                <w:strike w:val="0"/>
              </w:rPr>
              <w:t xml:space="preserve"> </w:t>
            </w:r>
            <w:r>
              <w:rPr>
                <w:b w:val="0"/>
                <w:i/>
                <w:strike w:val="0"/>
                <w:color w:val="7030A0"/>
                <w:sz w:val="16"/>
              </w:rPr>
              <w:t xml:space="preserve"> [Aug 2026 client MOM]</w:t>
            </w:r>
          </w:p>
        </w:tc>
      </w:tr>
      <w:tr>
        <w:tc>
          <w:tcPr>
            <w:tcW w:type="dxa" w:w="1728"/>
          </w:tcPr>
          <w:p>
            <w:r/>
            <w:r>
              <w:rPr>
                <w:b/>
                <w:i/>
                <w:strike w:val="0"/>
              </w:rPr>
              <w:t>TS-02</w:t>
            </w:r>
          </w:p>
        </w:tc>
        <w:tc>
          <w:tcPr>
            <w:tcW w:type="dxa" w:w="1728"/>
          </w:tcPr>
          <w:p>
            <w:r/>
            <w:r>
              <w:rPr>
                <w:b/>
                <w:i/>
                <w:strike w:val="0"/>
              </w:rPr>
              <w:t>Testing</w:t>
            </w:r>
          </w:p>
        </w:tc>
        <w:tc>
          <w:tcPr>
            <w:tcW w:type="dxa" w:w="1728"/>
          </w:tcPr>
          <w:p>
            <w:r/>
            <w:r>
              <w:rPr>
                <w:b/>
                <w:i/>
                <w:strike w:val="0"/>
              </w:rPr>
              <w:t>Does the platform propose a default scope period, or does the CCO enter both dates?</w:t>
            </w:r>
          </w:p>
        </w:tc>
        <w:tc>
          <w:tcPr>
            <w:tcW w:type="dxa" w:w="1728"/>
          </w:tcPr>
          <w:p>
            <w:r/>
            <w:r>
              <w:rPr>
                <w:b/>
                <w:i/>
                <w:strike w:val="0"/>
              </w:rPr>
              <w:t>No</w:t>
            </w:r>
          </w:p>
        </w:tc>
        <w:tc>
          <w:tcPr>
            <w:tcW w:type="dxa" w:w="1728"/>
          </w:tcPr>
          <w:p>
            <w:r/>
            <w:r>
              <w:rPr>
                <w:b/>
                <w:i/>
                <w:strike w:val="0"/>
                <w:color w:val="7030A0"/>
              </w:rPr>
              <w:t>New in v5.0 — see Section 7.2</w:t>
            </w:r>
            <w:r>
              <w:rPr>
                <w:b w:val="0"/>
                <w:i w:val="0"/>
                <w:strike w:val="0"/>
              </w:rPr>
              <w:t xml:space="preserve"> </w:t>
            </w:r>
            <w:r>
              <w:rPr>
                <w:b w:val="0"/>
                <w:i/>
                <w:strike w:val="0"/>
                <w:color w:val="7030A0"/>
                <w:sz w:val="16"/>
              </w:rPr>
              <w:t xml:space="preserve"> [Aug 2026 client MOM]</w:t>
            </w:r>
          </w:p>
        </w:tc>
      </w:tr>
      <w:tr>
        <w:tc>
          <w:tcPr>
            <w:tcW w:type="dxa" w:w="1728"/>
          </w:tcPr>
          <w:p>
            <w:r/>
            <w:r>
              <w:rPr>
                <w:b/>
                <w:i/>
                <w:strike w:val="0"/>
              </w:rPr>
              <w:t>TS-03</w:t>
            </w:r>
          </w:p>
        </w:tc>
        <w:tc>
          <w:tcPr>
            <w:tcW w:type="dxa" w:w="1728"/>
          </w:tcPr>
          <w:p>
            <w:r/>
            <w:r>
              <w:rPr>
                <w:b/>
                <w:i/>
                <w:strike w:val="0"/>
              </w:rPr>
              <w:t>Testing</w:t>
            </w:r>
          </w:p>
        </w:tc>
        <w:tc>
          <w:tcPr>
            <w:tcW w:type="dxa" w:w="1728"/>
          </w:tcPr>
          <w:p>
            <w:r/>
            <w:r>
              <w:rPr>
                <w:b/>
                <w:i/>
                <w:strike w:val="0"/>
              </w:rPr>
              <w:t>Evidence dated outside the scope period — warn, block, or record?</w:t>
            </w:r>
          </w:p>
        </w:tc>
        <w:tc>
          <w:tcPr>
            <w:tcW w:type="dxa" w:w="1728"/>
          </w:tcPr>
          <w:p>
            <w:r/>
            <w:r>
              <w:rPr>
                <w:b/>
                <w:i/>
                <w:strike w:val="0"/>
              </w:rPr>
              <w:t>No</w:t>
            </w:r>
          </w:p>
        </w:tc>
        <w:tc>
          <w:tcPr>
            <w:tcW w:type="dxa" w:w="1728"/>
          </w:tcPr>
          <w:p>
            <w:r/>
            <w:r>
              <w:rPr>
                <w:b/>
                <w:i/>
                <w:strike w:val="0"/>
                <w:color w:val="7030A0"/>
              </w:rPr>
              <w:t>New in v5.0 — see Section 7.2</w:t>
            </w:r>
            <w:r>
              <w:rPr>
                <w:b w:val="0"/>
                <w:i w:val="0"/>
                <w:strike w:val="0"/>
              </w:rPr>
              <w:t xml:space="preserve"> </w:t>
            </w:r>
            <w:r>
              <w:rPr>
                <w:b w:val="0"/>
                <w:i/>
                <w:strike w:val="0"/>
                <w:color w:val="7030A0"/>
                <w:sz w:val="16"/>
              </w:rPr>
              <w:t xml:space="preserve"> [Aug 2026 client MOM]</w:t>
            </w:r>
          </w:p>
        </w:tc>
      </w:tr>
      <w:tr>
        <w:tc>
          <w:tcPr>
            <w:tcW w:type="dxa" w:w="1728"/>
          </w:tcPr>
          <w:p>
            <w:r/>
            <w:r>
              <w:rPr>
                <w:b/>
                <w:i/>
                <w:strike w:val="0"/>
              </w:rPr>
              <w:t>TS-04</w:t>
            </w:r>
          </w:p>
        </w:tc>
        <w:tc>
          <w:tcPr>
            <w:tcW w:type="dxa" w:w="1728"/>
          </w:tcPr>
          <w:p>
            <w:r/>
            <w:r>
              <w:rPr>
                <w:b/>
                <w:i/>
                <w:strike w:val="0"/>
              </w:rPr>
              <w:t>Testing</w:t>
            </w:r>
          </w:p>
        </w:tc>
        <w:tc>
          <w:tcPr>
            <w:tcW w:type="dxa" w:w="1728"/>
          </w:tcPr>
          <w:p>
            <w:r/>
            <w:r>
              <w:rPr>
                <w:b/>
                <w:i/>
                <w:strike w:val="0"/>
              </w:rPr>
              <w:t>Does a business owner get visibility of the test they are tagged to, or only their request list?</w:t>
            </w:r>
          </w:p>
        </w:tc>
        <w:tc>
          <w:tcPr>
            <w:tcW w:type="dxa" w:w="1728"/>
          </w:tcPr>
          <w:p>
            <w:r/>
            <w:r>
              <w:rPr>
                <w:b/>
                <w:i/>
                <w:strike w:val="0"/>
              </w:rPr>
              <w:t>No</w:t>
            </w:r>
          </w:p>
        </w:tc>
        <w:tc>
          <w:tcPr>
            <w:tcW w:type="dxa" w:w="1728"/>
          </w:tcPr>
          <w:p>
            <w:r/>
            <w:r>
              <w:rPr>
                <w:b/>
                <w:i/>
                <w:strike w:val="0"/>
                <w:color w:val="CC00CC"/>
              </w:rPr>
              <w:t>RESOLVED 14 Aug 2026 — the business owner reaches a dashboard from the announcement letter link and sees the test plus all their request items. See Section 7.4, FR-133</w:t>
            </w:r>
            <w:r>
              <w:rPr>
                <w:b w:val="0"/>
                <w:i w:val="0"/>
                <w:strike w:val="0"/>
              </w:rPr>
              <w:t xml:space="preserve"> </w:t>
            </w:r>
            <w:r>
              <w:rPr>
                <w:b w:val="0"/>
                <w:i/>
                <w:strike w:val="0"/>
                <w:color w:val="CC00CC"/>
                <w:sz w:val="16"/>
              </w:rPr>
              <w:t xml:space="preserve"> [14 Aug 2026 MOM]</w:t>
            </w:r>
          </w:p>
        </w:tc>
      </w:tr>
      <w:tr>
        <w:tc>
          <w:tcPr>
            <w:tcW w:type="dxa" w:w="1728"/>
          </w:tcPr>
          <w:p>
            <w:r/>
            <w:r>
              <w:rPr>
                <w:b/>
                <w:i/>
                <w:strike w:val="0"/>
              </w:rPr>
              <w:t>EV-01</w:t>
            </w:r>
          </w:p>
        </w:tc>
        <w:tc>
          <w:tcPr>
            <w:tcW w:type="dxa" w:w="1728"/>
          </w:tcPr>
          <w:p>
            <w:r/>
            <w:r>
              <w:rPr>
                <w:b/>
                <w:i/>
                <w:strike w:val="0"/>
              </w:rPr>
              <w:t>Evidence</w:t>
            </w:r>
          </w:p>
        </w:tc>
        <w:tc>
          <w:tcPr>
            <w:tcW w:type="dxa" w:w="1728"/>
          </w:tcPr>
          <w:p>
            <w:r/>
            <w:r>
              <w:rPr>
                <w:b/>
                <w:i/>
                <w:strike w:val="0"/>
              </w:rPr>
              <w:t>What accuracy threshold applies to the AI document-match check, and how is it verified at UAT?</w:t>
            </w:r>
          </w:p>
        </w:tc>
        <w:tc>
          <w:tcPr>
            <w:tcW w:type="dxa" w:w="1728"/>
          </w:tcPr>
          <w:p>
            <w:r/>
            <w:r>
              <w:rPr>
                <w:b/>
                <w:i/>
                <w:strike w:val="0"/>
              </w:rPr>
              <w:t>Yes</w:t>
            </w:r>
          </w:p>
        </w:tc>
        <w:tc>
          <w:tcPr>
            <w:tcW w:type="dxa" w:w="1728"/>
          </w:tcPr>
          <w:p>
            <w:r/>
            <w:r>
              <w:rPr>
                <w:b/>
                <w:i/>
                <w:strike w:val="0"/>
                <w:color w:val="7030A0"/>
              </w:rPr>
              <w:t>New in v5.0 — see Section 7.4. Do not assume the Section 6.2 85% figure carries over.</w:t>
            </w:r>
            <w:r>
              <w:rPr>
                <w:b w:val="0"/>
                <w:i w:val="0"/>
                <w:strike w:val="0"/>
              </w:rPr>
              <w:t xml:space="preserve"> </w:t>
            </w:r>
            <w:r>
              <w:rPr>
                <w:b w:val="0"/>
                <w:i/>
                <w:strike w:val="0"/>
                <w:color w:val="7030A0"/>
                <w:sz w:val="16"/>
              </w:rPr>
              <w:t xml:space="preserve"> [Aug 2026 client MOM]</w:t>
            </w:r>
          </w:p>
        </w:tc>
      </w:tr>
      <w:tr>
        <w:tc>
          <w:tcPr>
            <w:tcW w:type="dxa" w:w="1728"/>
          </w:tcPr>
          <w:p>
            <w:r/>
            <w:r>
              <w:rPr>
                <w:b/>
                <w:i/>
                <w:strike w:val="0"/>
              </w:rPr>
              <w:t>EV-02</w:t>
            </w:r>
          </w:p>
        </w:tc>
        <w:tc>
          <w:tcPr>
            <w:tcW w:type="dxa" w:w="1728"/>
          </w:tcPr>
          <w:p>
            <w:r/>
            <w:r>
              <w:rPr>
                <w:b/>
                <w:i/>
                <w:strike w:val="0"/>
              </w:rPr>
              <w:t>Evidence</w:t>
            </w:r>
          </w:p>
        </w:tc>
        <w:tc>
          <w:tcPr>
            <w:tcW w:type="dxa" w:w="1728"/>
          </w:tcPr>
          <w:p>
            <w:r/>
            <w:r>
              <w:rPr>
                <w:b/>
                <w:i/>
                <w:strike w:val="0"/>
              </w:rPr>
              <w:t>What defines a "critical control" for the purpose of mandatory human verification — the DORA Critical/Important classification, the SA-10 priority, or a separate list?</w:t>
            </w:r>
          </w:p>
        </w:tc>
        <w:tc>
          <w:tcPr>
            <w:tcW w:type="dxa" w:w="1728"/>
          </w:tcPr>
          <w:p>
            <w:r/>
            <w:r>
              <w:rPr>
                <w:b/>
                <w:i/>
                <w:strike w:val="0"/>
              </w:rPr>
              <w:t>Yes</w:t>
            </w:r>
          </w:p>
        </w:tc>
        <w:tc>
          <w:tcPr>
            <w:tcW w:type="dxa" w:w="1728"/>
          </w:tcPr>
          <w:p>
            <w:r/>
            <w:r>
              <w:rPr>
                <w:b/>
                <w:i/>
                <w:strike w:val="0"/>
                <w:color w:val="7030A0"/>
              </w:rPr>
              <w:t>New in v5.0 — see Section 7.4</w:t>
            </w:r>
            <w:r>
              <w:rPr>
                <w:b w:val="0"/>
                <w:i w:val="0"/>
                <w:strike w:val="0"/>
              </w:rPr>
              <w:t xml:space="preserve"> </w:t>
            </w:r>
            <w:r>
              <w:rPr>
                <w:b w:val="0"/>
                <w:i/>
                <w:strike w:val="0"/>
                <w:color w:val="7030A0"/>
                <w:sz w:val="16"/>
              </w:rPr>
              <w:t xml:space="preserve"> [Aug 2026 client MOM]</w:t>
            </w:r>
          </w:p>
        </w:tc>
      </w:tr>
      <w:tr>
        <w:tc>
          <w:tcPr>
            <w:tcW w:type="dxa" w:w="1728"/>
          </w:tcPr>
          <w:p>
            <w:r/>
            <w:r>
              <w:rPr>
                <w:b/>
                <w:i/>
                <w:strike w:val="0"/>
              </w:rPr>
              <w:t>EV-03</w:t>
            </w:r>
          </w:p>
        </w:tc>
        <w:tc>
          <w:tcPr>
            <w:tcW w:type="dxa" w:w="1728"/>
          </w:tcPr>
          <w:p>
            <w:r/>
            <w:r>
              <w:rPr>
                <w:b/>
                <w:i/>
                <w:strike w:val="0"/>
              </w:rPr>
              <w:t>Evidence</w:t>
            </w:r>
          </w:p>
        </w:tc>
        <w:tc>
          <w:tcPr>
            <w:tcW w:type="dxa" w:w="1728"/>
          </w:tcPr>
          <w:p>
            <w:r/>
            <w:r>
              <w:rPr>
                <w:b/>
                <w:i/>
                <w:strike w:val="0"/>
              </w:rPr>
              <w:t>How does a business unit owner without a platform login upload evidence — new login-bearing role, or scoped expiring upload link?</w:t>
            </w:r>
          </w:p>
        </w:tc>
        <w:tc>
          <w:tcPr>
            <w:tcW w:type="dxa" w:w="1728"/>
          </w:tcPr>
          <w:p>
            <w:r/>
            <w:r>
              <w:rPr>
                <w:b/>
                <w:i/>
                <w:strike w:val="0"/>
              </w:rPr>
              <w:t>Yes</w:t>
            </w:r>
          </w:p>
        </w:tc>
        <w:tc>
          <w:tcPr>
            <w:tcW w:type="dxa" w:w="1728"/>
          </w:tcPr>
          <w:p>
            <w:r/>
            <w:r>
              <w:rPr>
                <w:b/>
                <w:i/>
                <w:strike w:val="0"/>
                <w:color w:val="CC00CC"/>
              </w:rPr>
              <w:t>Partial — 14 Aug 2026 confirmed the surface: a dashboard reached from the announcement letter link (FR-133). The authentication mechanism behind that link is still undecided. Still an estimation blocker.</w:t>
            </w:r>
            <w:r>
              <w:rPr>
                <w:b w:val="0"/>
                <w:i w:val="0"/>
                <w:strike w:val="0"/>
              </w:rPr>
              <w:t xml:space="preserve"> </w:t>
            </w:r>
            <w:r>
              <w:rPr>
                <w:b w:val="0"/>
                <w:i/>
                <w:strike w:val="0"/>
                <w:color w:val="CC00CC"/>
                <w:sz w:val="16"/>
              </w:rPr>
              <w:t xml:space="preserve"> [14 Aug 2026 MOM]</w:t>
            </w:r>
          </w:p>
        </w:tc>
      </w:tr>
      <w:tr>
        <w:tc>
          <w:tcPr>
            <w:tcW w:type="dxa" w:w="1728"/>
          </w:tcPr>
          <w:p>
            <w:r/>
            <w:r>
              <w:rPr>
                <w:b/>
                <w:i/>
                <w:strike w:val="0"/>
              </w:rPr>
              <w:t>EV-04</w:t>
            </w:r>
          </w:p>
        </w:tc>
        <w:tc>
          <w:tcPr>
            <w:tcW w:type="dxa" w:w="1728"/>
          </w:tcPr>
          <w:p>
            <w:r/>
            <w:r>
              <w:rPr>
                <w:b/>
                <w:i/>
                <w:strike w:val="0"/>
              </w:rPr>
              <w:t>Evidence</w:t>
            </w:r>
          </w:p>
        </w:tc>
        <w:tc>
          <w:tcPr>
            <w:tcW w:type="dxa" w:w="1728"/>
          </w:tcPr>
          <w:p>
            <w:r/>
            <w:r>
              <w:rPr>
                <w:b/>
                <w:i/>
                <w:strike w:val="0"/>
              </w:rPr>
              <w:t>Who sets the due date on a request item — platform default per test type, or the CCO at issue?</w:t>
            </w:r>
          </w:p>
        </w:tc>
        <w:tc>
          <w:tcPr>
            <w:tcW w:type="dxa" w:w="1728"/>
          </w:tcPr>
          <w:p>
            <w:r/>
            <w:r>
              <w:rPr>
                <w:b/>
                <w:i/>
                <w:strike w:val="0"/>
              </w:rPr>
              <w:t>No</w:t>
            </w:r>
          </w:p>
        </w:tc>
        <w:tc>
          <w:tcPr>
            <w:tcW w:type="dxa" w:w="1728"/>
          </w:tcPr>
          <w:p>
            <w:r/>
            <w:r>
              <w:rPr>
                <w:b/>
                <w:i/>
                <w:strike w:val="0"/>
                <w:color w:val="008080"/>
              </w:rPr>
              <w:t>RESOLVED 11 Aug 2026 — two-week default, CCO-adjustable, deviations recorded. See Section 7.4, FR-109</w:t>
            </w:r>
            <w:r>
              <w:rPr>
                <w:b w:val="0"/>
                <w:i w:val="0"/>
                <w:strike w:val="0"/>
              </w:rPr>
              <w:t xml:space="preserve"> </w:t>
            </w:r>
            <w:r>
              <w:rPr>
                <w:b w:val="0"/>
                <w:i/>
                <w:strike w:val="0"/>
                <w:color w:val="008080"/>
                <w:sz w:val="16"/>
              </w:rPr>
              <w:t xml:space="preserve"> [11 Aug 2026 MOM]</w:t>
            </w:r>
          </w:p>
        </w:tc>
      </w:tr>
      <w:tr>
        <w:tc>
          <w:tcPr>
            <w:tcW w:type="dxa" w:w="1728"/>
          </w:tcPr>
          <w:p>
            <w:r/>
            <w:r>
              <w:rPr>
                <w:b/>
                <w:i/>
                <w:strike w:val="0"/>
              </w:rPr>
              <w:t>EV-05</w:t>
            </w:r>
          </w:p>
        </w:tc>
        <w:tc>
          <w:tcPr>
            <w:tcW w:type="dxa" w:w="1728"/>
          </w:tcPr>
          <w:p>
            <w:r/>
            <w:r>
              <w:rPr>
                <w:b/>
                <w:i/>
                <w:strike w:val="0"/>
              </w:rPr>
              <w:t>Evidence</w:t>
            </w:r>
          </w:p>
        </w:tc>
        <w:tc>
          <w:tcPr>
            <w:tcW w:type="dxa" w:w="1728"/>
          </w:tcPr>
          <w:p>
            <w:r/>
            <w:r>
              <w:rPr>
                <w:b/>
                <w:i/>
                <w:strike w:val="0"/>
              </w:rPr>
              <w:t>Is the announcement letter a fixed template, per-firm configurable, or free text?</w:t>
            </w:r>
          </w:p>
        </w:tc>
        <w:tc>
          <w:tcPr>
            <w:tcW w:type="dxa" w:w="1728"/>
          </w:tcPr>
          <w:p>
            <w:r/>
            <w:r>
              <w:rPr>
                <w:b/>
                <w:i/>
                <w:strike w:val="0"/>
              </w:rPr>
              <w:t>No</w:t>
            </w:r>
          </w:p>
        </w:tc>
        <w:tc>
          <w:tcPr>
            <w:tcW w:type="dxa" w:w="1728"/>
          </w:tcPr>
          <w:p>
            <w:r/>
            <w:r>
              <w:rPr>
                <w:b/>
                <w:i/>
                <w:strike w:val="0"/>
                <w:color w:val="7030A0"/>
              </w:rPr>
              <w:t>New in v5.0 — see Section 7.4</w:t>
            </w:r>
            <w:r>
              <w:rPr>
                <w:b w:val="0"/>
                <w:i w:val="0"/>
                <w:strike w:val="0"/>
              </w:rPr>
              <w:t xml:space="preserve"> </w:t>
            </w:r>
            <w:r>
              <w:rPr>
                <w:b w:val="0"/>
                <w:i/>
                <w:strike w:val="0"/>
                <w:color w:val="7030A0"/>
                <w:sz w:val="16"/>
              </w:rPr>
              <w:t xml:space="preserve"> [Aug 2026 client MOM]</w:t>
            </w:r>
          </w:p>
        </w:tc>
      </w:tr>
      <w:tr>
        <w:tc>
          <w:tcPr>
            <w:tcW w:type="dxa" w:w="1728"/>
          </w:tcPr>
          <w:p>
            <w:r/>
            <w:r>
              <w:rPr>
                <w:b/>
                <w:i/>
                <w:strike w:val="0"/>
              </w:rPr>
              <w:t>EV-06</w:t>
            </w:r>
          </w:p>
        </w:tc>
        <w:tc>
          <w:tcPr>
            <w:tcW w:type="dxa" w:w="1728"/>
          </w:tcPr>
          <w:p>
            <w:r/>
            <w:r>
              <w:rPr>
                <w:b/>
                <w:i/>
                <w:strike w:val="0"/>
              </w:rPr>
              <w:t>Evidence</w:t>
            </w:r>
          </w:p>
        </w:tc>
        <w:tc>
          <w:tcPr>
            <w:tcW w:type="dxa" w:w="1728"/>
          </w:tcPr>
          <w:p>
            <w:r/>
            <w:r>
              <w:rPr>
                <w:b/>
                <w:i/>
                <w:strike w:val="0"/>
              </w:rPr>
              <w:t>Does persistent evidence-collection delay automatically raise a Finding, or stay a management metric?</w:t>
            </w:r>
          </w:p>
        </w:tc>
        <w:tc>
          <w:tcPr>
            <w:tcW w:type="dxa" w:w="1728"/>
          </w:tcPr>
          <w:p>
            <w:r/>
            <w:r>
              <w:rPr>
                <w:b/>
                <w:i/>
                <w:strike w:val="0"/>
              </w:rPr>
              <w:t>No</w:t>
            </w:r>
          </w:p>
        </w:tc>
        <w:tc>
          <w:tcPr>
            <w:tcW w:type="dxa" w:w="1728"/>
          </w:tcPr>
          <w:p>
            <w:r/>
            <w:r>
              <w:rPr>
                <w:b/>
                <w:i/>
                <w:strike w:val="0"/>
                <w:color w:val="7030A0"/>
              </w:rPr>
              <w:t>New in v5.0 — see Section 7.4</w:t>
            </w:r>
            <w:r>
              <w:rPr>
                <w:b w:val="0"/>
                <w:i w:val="0"/>
                <w:strike w:val="0"/>
              </w:rPr>
              <w:t xml:space="preserve"> </w:t>
            </w:r>
            <w:r>
              <w:rPr>
                <w:b w:val="0"/>
                <w:i/>
                <w:strike w:val="0"/>
                <w:color w:val="7030A0"/>
                <w:sz w:val="16"/>
              </w:rPr>
              <w:t xml:space="preserve"> [Aug 2026 client MOM]</w:t>
            </w:r>
          </w:p>
        </w:tc>
      </w:tr>
      <w:tr>
        <w:tc>
          <w:tcPr>
            <w:tcW w:type="dxa" w:w="1728"/>
          </w:tcPr>
          <w:p>
            <w:r/>
            <w:r>
              <w:rPr>
                <w:b/>
                <w:i/>
                <w:strike w:val="0"/>
              </w:rPr>
              <w:t>TS-05</w:t>
            </w:r>
          </w:p>
        </w:tc>
        <w:tc>
          <w:tcPr>
            <w:tcW w:type="dxa" w:w="1728"/>
          </w:tcPr>
          <w:p>
            <w:r/>
            <w:r>
              <w:rPr>
                <w:b/>
                <w:i/>
                <w:strike w:val="0"/>
              </w:rPr>
              <w:t>Testing</w:t>
            </w:r>
          </w:p>
        </w:tc>
        <w:tc>
          <w:tcPr>
            <w:tcW w:type="dxa" w:w="1728"/>
          </w:tcPr>
          <w:p>
            <w:r/>
            <w:r>
              <w:rPr>
                <w:b/>
                <w:i/>
                <w:strike w:val="0"/>
              </w:rPr>
              <w:t>Under article fan-out, who records the formal test result — a nominated lead among the testers, the CCO, or one result per article rolled up?</w:t>
            </w:r>
          </w:p>
        </w:tc>
        <w:tc>
          <w:tcPr>
            <w:tcW w:type="dxa" w:w="1728"/>
          </w:tcPr>
          <w:p>
            <w:r/>
            <w:r>
              <w:rPr>
                <w:b/>
                <w:i/>
                <w:strike w:val="0"/>
              </w:rPr>
              <w:t>Yes</w:t>
            </w:r>
          </w:p>
        </w:tc>
        <w:tc>
          <w:tcPr>
            <w:tcW w:type="dxa" w:w="1728"/>
          </w:tcPr>
          <w:p>
            <w:r/>
            <w:r>
              <w:rPr>
                <w:b/>
                <w:i/>
                <w:strike w:val="0"/>
                <w:color w:val="008080"/>
              </w:rPr>
              <w:t>New in v6.0 — see Section 7.2, FR-106; resolve with GAP-15</w:t>
            </w:r>
            <w:r>
              <w:rPr>
                <w:b w:val="0"/>
                <w:i w:val="0"/>
                <w:strike w:val="0"/>
              </w:rPr>
              <w:t xml:space="preserve"> </w:t>
            </w:r>
            <w:r>
              <w:rPr>
                <w:b w:val="0"/>
                <w:i/>
                <w:strike w:val="0"/>
                <w:color w:val="008080"/>
                <w:sz w:val="16"/>
              </w:rPr>
              <w:t xml:space="preserve"> [11 Aug 2026 MOM]</w:t>
            </w:r>
          </w:p>
        </w:tc>
      </w:tr>
      <w:tr>
        <w:tc>
          <w:tcPr>
            <w:tcW w:type="dxa" w:w="1728"/>
          </w:tcPr>
          <w:p>
            <w:r/>
            <w:r>
              <w:rPr>
                <w:b/>
                <w:i/>
                <w:strike w:val="0"/>
              </w:rPr>
              <w:t>TS-06</w:t>
            </w:r>
          </w:p>
        </w:tc>
        <w:tc>
          <w:tcPr>
            <w:tcW w:type="dxa" w:w="1728"/>
          </w:tcPr>
          <w:p>
            <w:r/>
            <w:r>
              <w:rPr>
                <w:b/>
                <w:i/>
                <w:strike w:val="0"/>
              </w:rPr>
              <w:t>Testing</w:t>
            </w:r>
          </w:p>
        </w:tc>
        <w:tc>
          <w:tcPr>
            <w:tcW w:type="dxa" w:w="1728"/>
          </w:tcPr>
          <w:p>
            <w:r/>
            <w:r>
              <w:rPr>
                <w:b/>
                <w:i/>
                <w:strike w:val="0"/>
              </w:rPr>
              <w:t>Two testers on adjacent articles of one test each raise a finding — one finding or two? Affects repeat-finding detection and risk rating.</w:t>
            </w:r>
          </w:p>
        </w:tc>
        <w:tc>
          <w:tcPr>
            <w:tcW w:type="dxa" w:w="1728"/>
          </w:tcPr>
          <w:p>
            <w:r/>
            <w:r>
              <w:rPr>
                <w:b/>
                <w:i/>
                <w:strike w:val="0"/>
              </w:rPr>
              <w:t>No</w:t>
            </w:r>
          </w:p>
        </w:tc>
        <w:tc>
          <w:tcPr>
            <w:tcW w:type="dxa" w:w="1728"/>
          </w:tcPr>
          <w:p>
            <w:r/>
            <w:r>
              <w:rPr>
                <w:b/>
                <w:i/>
                <w:strike w:val="0"/>
                <w:color w:val="008080"/>
              </w:rPr>
              <w:t>New in v6.0 — see Section 7.2</w:t>
            </w:r>
            <w:r>
              <w:rPr>
                <w:b w:val="0"/>
                <w:i w:val="0"/>
                <w:strike w:val="0"/>
              </w:rPr>
              <w:t xml:space="preserve"> </w:t>
            </w:r>
            <w:r>
              <w:rPr>
                <w:b w:val="0"/>
                <w:i/>
                <w:strike w:val="0"/>
                <w:color w:val="008080"/>
                <w:sz w:val="16"/>
              </w:rPr>
              <w:t xml:space="preserve"> [11 Aug 2026 MOM]</w:t>
            </w:r>
          </w:p>
        </w:tc>
      </w:tr>
      <w:tr>
        <w:tc>
          <w:tcPr>
            <w:tcW w:type="dxa" w:w="1728"/>
          </w:tcPr>
          <w:p>
            <w:r/>
            <w:r>
              <w:rPr>
                <w:b/>
                <w:i/>
                <w:strike w:val="0"/>
              </w:rPr>
              <w:t>TS-07</w:t>
            </w:r>
          </w:p>
        </w:tc>
        <w:tc>
          <w:tcPr>
            <w:tcW w:type="dxa" w:w="1728"/>
          </w:tcPr>
          <w:p>
            <w:r/>
            <w:r>
              <w:rPr>
                <w:b/>
                <w:i/>
                <w:strike w:val="0"/>
              </w:rPr>
              <w:t>Testing</w:t>
            </w:r>
          </w:p>
        </w:tc>
        <w:tc>
          <w:tcPr>
            <w:tcW w:type="dxa" w:w="1728"/>
          </w:tcPr>
          <w:p>
            <w:r/>
            <w:r>
              <w:rPr>
                <w:b/>
                <w:i/>
                <w:strike w:val="0"/>
              </w:rPr>
              <w:t>Is every Requirement ID mapped down to its constituent articles? Article scoping and fan-out both depend on it.</w:t>
            </w:r>
          </w:p>
        </w:tc>
        <w:tc>
          <w:tcPr>
            <w:tcW w:type="dxa" w:w="1728"/>
          </w:tcPr>
          <w:p>
            <w:r/>
            <w:r>
              <w:rPr>
                <w:b/>
                <w:i/>
                <w:strike w:val="0"/>
              </w:rPr>
              <w:t>Yes</w:t>
            </w:r>
          </w:p>
        </w:tc>
        <w:tc>
          <w:tcPr>
            <w:tcW w:type="dxa" w:w="1728"/>
          </w:tcPr>
          <w:p>
            <w:r/>
            <w:r>
              <w:rPr>
                <w:b/>
                <w:i/>
                <w:strike w:val="0"/>
                <w:color w:val="008080"/>
              </w:rPr>
              <w:t>New in v6.0 — see Section 7.2</w:t>
            </w:r>
            <w:r>
              <w:rPr>
                <w:b w:val="0"/>
                <w:i w:val="0"/>
                <w:strike w:val="0"/>
              </w:rPr>
              <w:t xml:space="preserve"> </w:t>
            </w:r>
            <w:r>
              <w:rPr>
                <w:b w:val="0"/>
                <w:i/>
                <w:strike w:val="0"/>
                <w:color w:val="008080"/>
                <w:sz w:val="16"/>
              </w:rPr>
              <w:t xml:space="preserve"> [11 Aug 2026 MOM]</w:t>
            </w:r>
          </w:p>
        </w:tc>
      </w:tr>
      <w:tr>
        <w:tc>
          <w:tcPr>
            <w:tcW w:type="dxa" w:w="1728"/>
          </w:tcPr>
          <w:p>
            <w:r/>
            <w:r>
              <w:rPr>
                <w:b/>
                <w:i/>
                <w:strike w:val="0"/>
              </w:rPr>
              <w:t>EV-07</w:t>
            </w:r>
          </w:p>
        </w:tc>
        <w:tc>
          <w:tcPr>
            <w:tcW w:type="dxa" w:w="1728"/>
          </w:tcPr>
          <w:p>
            <w:r/>
            <w:r>
              <w:rPr>
                <w:b/>
                <w:i/>
                <w:strike w:val="0"/>
              </w:rPr>
              <w:t>Evidence</w:t>
            </w:r>
          </w:p>
        </w:tc>
        <w:tc>
          <w:tcPr>
            <w:tcW w:type="dxa" w:w="1728"/>
          </w:tcPr>
          <w:p>
            <w:r/>
            <w:r>
              <w:rPr>
                <w:b/>
                <w:i/>
                <w:strike w:val="0"/>
              </w:rPr>
              <w:t>Is the follow-up request portal in scope? The client asked for a development-effort assessment before deciding.</w:t>
            </w:r>
          </w:p>
        </w:tc>
        <w:tc>
          <w:tcPr>
            <w:tcW w:type="dxa" w:w="1728"/>
          </w:tcPr>
          <w:p>
            <w:r/>
            <w:r>
              <w:rPr>
                <w:b/>
                <w:i/>
                <w:strike w:val="0"/>
              </w:rPr>
              <w:t>Yes</w:t>
            </w:r>
          </w:p>
        </w:tc>
        <w:tc>
          <w:tcPr>
            <w:tcW w:type="dxa" w:w="1728"/>
          </w:tcPr>
          <w:p>
            <w:r/>
            <w:r>
              <w:rPr>
                <w:b/>
                <w:i/>
                <w:strike w:val="0"/>
                <w:color w:val="008080"/>
              </w:rPr>
              <w:t>New in v6.0 — see Section 7.4, FR-111. Scope decision, not a design question</w:t>
            </w:r>
            <w:r>
              <w:rPr>
                <w:b w:val="0"/>
                <w:i w:val="0"/>
                <w:strike w:val="0"/>
              </w:rPr>
              <w:t xml:space="preserve"> </w:t>
            </w:r>
            <w:r>
              <w:rPr>
                <w:b w:val="0"/>
                <w:i/>
                <w:strike w:val="0"/>
                <w:color w:val="008080"/>
                <w:sz w:val="16"/>
              </w:rPr>
              <w:t xml:space="preserve"> [11 Aug 2026 MOM]</w:t>
            </w:r>
          </w:p>
        </w:tc>
      </w:tr>
      <w:tr>
        <w:tc>
          <w:tcPr>
            <w:tcW w:type="dxa" w:w="1728"/>
          </w:tcPr>
          <w:p>
            <w:r/>
            <w:r>
              <w:rPr>
                <w:b/>
                <w:i/>
                <w:strike w:val="0"/>
              </w:rPr>
              <w:t>EV-08</w:t>
            </w:r>
          </w:p>
        </w:tc>
        <w:tc>
          <w:tcPr>
            <w:tcW w:type="dxa" w:w="1728"/>
          </w:tcPr>
          <w:p>
            <w:r/>
            <w:r>
              <w:rPr>
                <w:b/>
                <w:i/>
                <w:strike w:val="0"/>
              </w:rPr>
              <w:t>Evidence</w:t>
            </w:r>
          </w:p>
        </w:tc>
        <w:tc>
          <w:tcPr>
            <w:tcW w:type="dxa" w:w="1728"/>
          </w:tcPr>
          <w:p>
            <w:r/>
            <w:r>
              <w:rPr>
                <w:b/>
                <w:i/>
                <w:strike w:val="0"/>
              </w:rPr>
              <w:t>What accuracy threshold applies to the FR-112 policy-to-regulation gap identification, and how is it verified at UAT?</w:t>
            </w:r>
          </w:p>
        </w:tc>
        <w:tc>
          <w:tcPr>
            <w:tcW w:type="dxa" w:w="1728"/>
          </w:tcPr>
          <w:p>
            <w:r/>
            <w:r>
              <w:rPr>
                <w:b/>
                <w:i/>
                <w:strike w:val="0"/>
              </w:rPr>
              <w:t>Yes</w:t>
            </w:r>
          </w:p>
        </w:tc>
        <w:tc>
          <w:tcPr>
            <w:tcW w:type="dxa" w:w="1728"/>
          </w:tcPr>
          <w:p>
            <w:r/>
            <w:r>
              <w:rPr>
                <w:b/>
                <w:i/>
                <w:strike w:val="0"/>
                <w:color w:val="008080"/>
              </w:rPr>
              <w:t>New in v6.0 — see Section 7.5. As with EV-01, the Section 6.2 85% figure does not automatically carry over</w:t>
            </w:r>
            <w:r>
              <w:rPr>
                <w:b w:val="0"/>
                <w:i w:val="0"/>
                <w:strike w:val="0"/>
              </w:rPr>
              <w:t xml:space="preserve"> </w:t>
            </w:r>
            <w:r>
              <w:rPr>
                <w:b w:val="0"/>
                <w:i/>
                <w:strike w:val="0"/>
                <w:color w:val="008080"/>
                <w:sz w:val="16"/>
              </w:rPr>
              <w:t xml:space="preserve"> [11 Aug 2026 MOM]</w:t>
            </w:r>
          </w:p>
        </w:tc>
      </w:tr>
      <w:tr>
        <w:tc>
          <w:tcPr>
            <w:tcW w:type="dxa" w:w="1728"/>
          </w:tcPr>
          <w:p>
            <w:r/>
            <w:r>
              <w:rPr>
                <w:b/>
                <w:i/>
                <w:strike w:val="0"/>
              </w:rPr>
              <w:t>UI-01</w:t>
            </w:r>
          </w:p>
        </w:tc>
        <w:tc>
          <w:tcPr>
            <w:tcW w:type="dxa" w:w="1728"/>
          </w:tcPr>
          <w:p>
            <w:r/>
            <w:r>
              <w:rPr>
                <w:b/>
                <w:i/>
                <w:strike w:val="0"/>
              </w:rPr>
              <w:t>Design</w:t>
            </w:r>
          </w:p>
        </w:tc>
        <w:tc>
          <w:tcPr>
            <w:tcW w:type="dxa" w:w="1728"/>
          </w:tcPr>
          <w:p>
            <w:r/>
            <w:r>
              <w:rPr>
                <w:b/>
                <w:i/>
                <w:strike w:val="0"/>
              </w:rPr>
              <w:t>Are the wireframes reviewed on 11 Aug frozen as the design baseline, or still open to revision during UI design?</w:t>
            </w:r>
          </w:p>
        </w:tc>
        <w:tc>
          <w:tcPr>
            <w:tcW w:type="dxa" w:w="1728"/>
          </w:tcPr>
          <w:p>
            <w:r/>
            <w:r>
              <w:rPr>
                <w:b/>
                <w:i/>
                <w:strike w:val="0"/>
              </w:rPr>
              <w:t>No</w:t>
            </w:r>
          </w:p>
        </w:tc>
        <w:tc>
          <w:tcPr>
            <w:tcW w:type="dxa" w:w="1728"/>
          </w:tcPr>
          <w:p>
            <w:r/>
            <w:r>
              <w:rPr>
                <w:b/>
                <w:i/>
                <w:strike w:val="0"/>
                <w:color w:val="008080"/>
              </w:rPr>
              <w:t>New in v6.0 — see Section 9.1</w:t>
            </w:r>
            <w:r>
              <w:rPr>
                <w:b w:val="0"/>
                <w:i w:val="0"/>
                <w:strike w:val="0"/>
              </w:rPr>
              <w:t xml:space="preserve"> </w:t>
            </w:r>
            <w:r>
              <w:rPr>
                <w:b w:val="0"/>
                <w:i/>
                <w:strike w:val="0"/>
                <w:color w:val="008080"/>
                <w:sz w:val="16"/>
              </w:rPr>
              <w:t xml:space="preserve"> [11 Aug 2026 MOM]</w:t>
            </w:r>
          </w:p>
        </w:tc>
      </w:tr>
      <w:tr>
        <w:tc>
          <w:tcPr>
            <w:tcW w:type="dxa" w:w="1728"/>
          </w:tcPr>
          <w:p>
            <w:r/>
            <w:r>
              <w:rPr>
                <w:b/>
                <w:i/>
                <w:strike w:val="0"/>
              </w:rPr>
              <w:t>UI-02</w:t>
            </w:r>
          </w:p>
        </w:tc>
        <w:tc>
          <w:tcPr>
            <w:tcW w:type="dxa" w:w="1728"/>
          </w:tcPr>
          <w:p>
            <w:r/>
            <w:r>
              <w:rPr>
                <w:b/>
                <w:i/>
                <w:strike w:val="0"/>
              </w:rPr>
              <w:t>Design</w:t>
            </w:r>
          </w:p>
        </w:tc>
        <w:tc>
          <w:tcPr>
            <w:tcW w:type="dxa" w:w="1728"/>
          </w:tcPr>
          <w:p>
            <w:r/>
            <w:r>
              <w:rPr>
                <w:b/>
                <w:i/>
                <w:strike w:val="0"/>
              </w:rPr>
              <w:t>Is the calendar view writable (drag to reschedule) or read-only?</w:t>
            </w:r>
          </w:p>
        </w:tc>
        <w:tc>
          <w:tcPr>
            <w:tcW w:type="dxa" w:w="1728"/>
          </w:tcPr>
          <w:p>
            <w:r/>
            <w:r>
              <w:rPr>
                <w:b/>
                <w:i/>
                <w:strike w:val="0"/>
              </w:rPr>
              <w:t>No</w:t>
            </w:r>
          </w:p>
        </w:tc>
        <w:tc>
          <w:tcPr>
            <w:tcW w:type="dxa" w:w="1728"/>
          </w:tcPr>
          <w:p>
            <w:r/>
            <w:r>
              <w:rPr>
                <w:b/>
                <w:i/>
                <w:strike w:val="0"/>
                <w:color w:val="008080"/>
              </w:rPr>
              <w:t>New in v6.0 — see Section 9.1, FR-114</w:t>
            </w:r>
            <w:r>
              <w:rPr>
                <w:b w:val="0"/>
                <w:i w:val="0"/>
                <w:strike w:val="0"/>
              </w:rPr>
              <w:t xml:space="preserve"> </w:t>
            </w:r>
            <w:r>
              <w:rPr>
                <w:b w:val="0"/>
                <w:i/>
                <w:strike w:val="0"/>
                <w:color w:val="008080"/>
                <w:sz w:val="16"/>
              </w:rPr>
              <w:t xml:space="preserve"> [11 Aug 2026 MOM]</w:t>
            </w:r>
          </w:p>
        </w:tc>
      </w:tr>
      <w:tr>
        <w:tc>
          <w:tcPr>
            <w:tcW w:type="dxa" w:w="1728"/>
          </w:tcPr>
          <w:p>
            <w:r/>
            <w:r>
              <w:rPr>
                <w:b/>
                <w:i/>
                <w:strike w:val="0"/>
              </w:rPr>
              <w:t>ON-01</w:t>
            </w:r>
          </w:p>
        </w:tc>
        <w:tc>
          <w:tcPr>
            <w:tcW w:type="dxa" w:w="1728"/>
          </w:tcPr>
          <w:p>
            <w:r/>
            <w:r>
              <w:rPr>
                <w:b/>
                <w:i/>
                <w:strike w:val="0"/>
              </w:rPr>
              <w:t>Onboarding</w:t>
            </w:r>
          </w:p>
        </w:tc>
        <w:tc>
          <w:tcPr>
            <w:tcW w:type="dxa" w:w="1728"/>
          </w:tcPr>
          <w:p>
            <w:r/>
            <w:r>
              <w:rPr>
                <w:b/>
                <w:i/>
                <w:strike w:val="0"/>
              </w:rPr>
              <w:t>Who is the merchant of record when a firm pays through the platform — Synergy or SayOne? Who invoices, handles VAT, and issues refunds? CC-06 makes Synergy the direct biller.</w:t>
            </w:r>
          </w:p>
        </w:tc>
        <w:tc>
          <w:tcPr>
            <w:tcW w:type="dxa" w:w="1728"/>
          </w:tcPr>
          <w:p>
            <w:r/>
            <w:r>
              <w:rPr>
                <w:b/>
                <w:i/>
                <w:strike w:val="0"/>
              </w:rPr>
              <w:t>Yes</w:t>
            </w:r>
          </w:p>
        </w:tc>
        <w:tc>
          <w:tcPr>
            <w:tcW w:type="dxa" w:w="1728"/>
          </w:tcPr>
          <w:p>
            <w:r/>
            <w:r>
              <w:rPr>
                <w:b/>
                <w:i/>
                <w:strike w:val="0"/>
                <w:color w:val="843C0C"/>
              </w:rPr>
              <w:t>New in v7.0 — see Section 5.7 and Section 14, CC-06. Contract question, blocks the payment estimate</w:t>
            </w:r>
            <w:r>
              <w:rPr>
                <w:b w:val="0"/>
                <w:i w:val="0"/>
                <w:strike w:val="0"/>
              </w:rPr>
              <w:t xml:space="preserve"> </w:t>
            </w:r>
            <w:r>
              <w:rPr>
                <w:b w:val="0"/>
                <w:i/>
                <w:strike w:val="0"/>
                <w:color w:val="843C0C"/>
                <w:sz w:val="16"/>
              </w:rPr>
              <w:t xml:space="preserve"> [Aug 2026 onboarding flow]</w:t>
            </w:r>
          </w:p>
        </w:tc>
      </w:tr>
      <w:tr>
        <w:tc>
          <w:tcPr>
            <w:tcW w:type="dxa" w:w="1728"/>
          </w:tcPr>
          <w:p>
            <w:r/>
            <w:r>
              <w:rPr>
                <w:b/>
                <w:i/>
                <w:strike w:val="0"/>
              </w:rPr>
              <w:t>ON-02</w:t>
            </w:r>
          </w:p>
        </w:tc>
        <w:tc>
          <w:tcPr>
            <w:tcW w:type="dxa" w:w="1728"/>
          </w:tcPr>
          <w:p>
            <w:r/>
            <w:r>
              <w:rPr>
                <w:b/>
                <w:i/>
                <w:strike w:val="0"/>
              </w:rPr>
              <w:t>Onboarding</w:t>
            </w:r>
          </w:p>
        </w:tc>
        <w:tc>
          <w:tcPr>
            <w:tcW w:type="dxa" w:w="1728"/>
          </w:tcPr>
          <w:p>
            <w:r/>
            <w:r>
              <w:rPr>
                <w:b/>
                <w:i/>
                <w:strike w:val="0"/>
              </w:rPr>
              <w:t>Is the onboarding payment a one-off unlock or the first instalment of a subscription the platform manages? What happens on a failed renewal — does a regulated firm lose access to its own evidence?</w:t>
            </w:r>
          </w:p>
        </w:tc>
        <w:tc>
          <w:tcPr>
            <w:tcW w:type="dxa" w:w="1728"/>
          </w:tcPr>
          <w:p>
            <w:r/>
            <w:r>
              <w:rPr>
                <w:b/>
                <w:i/>
                <w:strike w:val="0"/>
              </w:rPr>
              <w:t>Yes</w:t>
            </w:r>
          </w:p>
        </w:tc>
        <w:tc>
          <w:tcPr>
            <w:tcW w:type="dxa" w:w="1728"/>
          </w:tcPr>
          <w:p>
            <w:r/>
            <w:r>
              <w:rPr>
                <w:b/>
                <w:i/>
                <w:strike w:val="0"/>
                <w:color w:val="843C0C"/>
              </w:rPr>
              <w:t>New in v7.0 — see Section 5.7</w:t>
            </w:r>
            <w:r>
              <w:rPr>
                <w:b w:val="0"/>
                <w:i w:val="0"/>
                <w:strike w:val="0"/>
              </w:rPr>
              <w:t xml:space="preserve"> </w:t>
            </w:r>
            <w:r>
              <w:rPr>
                <w:b w:val="0"/>
                <w:i/>
                <w:strike w:val="0"/>
                <w:color w:val="843C0C"/>
                <w:sz w:val="16"/>
              </w:rPr>
              <w:t xml:space="preserve"> [Aug 2026 onboarding flow]</w:t>
            </w:r>
          </w:p>
        </w:tc>
      </w:tr>
      <w:tr>
        <w:tc>
          <w:tcPr>
            <w:tcW w:type="dxa" w:w="1728"/>
          </w:tcPr>
          <w:p>
            <w:r/>
            <w:r>
              <w:rPr>
                <w:b/>
                <w:i/>
                <w:strike w:val="0"/>
              </w:rPr>
              <w:t>ON-03</w:t>
            </w:r>
          </w:p>
        </w:tc>
        <w:tc>
          <w:tcPr>
            <w:tcW w:type="dxa" w:w="1728"/>
          </w:tcPr>
          <w:p>
            <w:r/>
            <w:r>
              <w:rPr>
                <w:b/>
                <w:i/>
                <w:strike w:val="0"/>
              </w:rPr>
              <w:t>Onboarding</w:t>
            </w:r>
          </w:p>
        </w:tc>
        <w:tc>
          <w:tcPr>
            <w:tcW w:type="dxa" w:w="1728"/>
          </w:tcPr>
          <w:p>
            <w:r/>
            <w:r>
              <w:rPr>
                <w:b/>
                <w:i/>
                <w:strike w:val="0"/>
              </w:rPr>
              <w:t>Which payment provider and currencies? Card, SEPA transfer, or invoice-and-transfer? An invoice model means no in-platform checkout and a much smaller build.</w:t>
            </w:r>
          </w:p>
        </w:tc>
        <w:tc>
          <w:tcPr>
            <w:tcW w:type="dxa" w:w="1728"/>
          </w:tcPr>
          <w:p>
            <w:r/>
            <w:r>
              <w:rPr>
                <w:b/>
                <w:i/>
                <w:strike w:val="0"/>
              </w:rPr>
              <w:t>Yes</w:t>
            </w:r>
          </w:p>
        </w:tc>
        <w:tc>
          <w:tcPr>
            <w:tcW w:type="dxa" w:w="1728"/>
          </w:tcPr>
          <w:p>
            <w:r/>
            <w:r>
              <w:rPr>
                <w:b/>
                <w:i/>
                <w:strike w:val="0"/>
                <w:color w:val="843C0C"/>
              </w:rPr>
              <w:t>New in v7.0 — see Section 5.7 and NFR-12</w:t>
            </w:r>
            <w:r>
              <w:rPr>
                <w:b w:val="0"/>
                <w:i w:val="0"/>
                <w:strike w:val="0"/>
              </w:rPr>
              <w:t xml:space="preserve"> </w:t>
            </w:r>
            <w:r>
              <w:rPr>
                <w:b w:val="0"/>
                <w:i/>
                <w:strike w:val="0"/>
                <w:color w:val="843C0C"/>
                <w:sz w:val="16"/>
              </w:rPr>
              <w:t xml:space="preserve"> [Aug 2026 onboarding flow]</w:t>
            </w:r>
          </w:p>
        </w:tc>
      </w:tr>
      <w:tr>
        <w:tc>
          <w:tcPr>
            <w:tcW w:type="dxa" w:w="1728"/>
          </w:tcPr>
          <w:p>
            <w:r/>
            <w:r>
              <w:rPr>
                <w:b/>
                <w:i/>
                <w:strike w:val="0"/>
              </w:rPr>
              <w:t>ON-04</w:t>
            </w:r>
          </w:p>
        </w:tc>
        <w:tc>
          <w:tcPr>
            <w:tcW w:type="dxa" w:w="1728"/>
          </w:tcPr>
          <w:p>
            <w:r/>
            <w:r>
              <w:rPr>
                <w:b/>
                <w:i/>
                <w:strike w:val="0"/>
              </w:rPr>
              <w:t>Onboarding</w:t>
            </w:r>
          </w:p>
        </w:tc>
        <w:tc>
          <w:tcPr>
            <w:tcW w:type="dxa" w:w="1728"/>
          </w:tcPr>
          <w:p>
            <w:r/>
            <w:r>
              <w:rPr>
                <w:b/>
                <w:i/>
                <w:strike w:val="0"/>
              </w:rPr>
              <w:t>Default expiry on an onboarding link, and can a lapsed firm be re-invited automatically or only by Sosinna's team?</w:t>
            </w:r>
          </w:p>
        </w:tc>
        <w:tc>
          <w:tcPr>
            <w:tcW w:type="dxa" w:w="1728"/>
          </w:tcPr>
          <w:p>
            <w:r/>
            <w:r>
              <w:rPr>
                <w:b/>
                <w:i/>
                <w:strike w:val="0"/>
              </w:rPr>
              <w:t>No</w:t>
            </w:r>
          </w:p>
        </w:tc>
        <w:tc>
          <w:tcPr>
            <w:tcW w:type="dxa" w:w="1728"/>
          </w:tcPr>
          <w:p>
            <w:r/>
            <w:r>
              <w:rPr>
                <w:b/>
                <w:i/>
                <w:strike w:val="0"/>
                <w:color w:val="843C0C"/>
              </w:rPr>
              <w:t>New in v7.0 — see Section 5.4, SA-21</w:t>
            </w:r>
            <w:r>
              <w:rPr>
                <w:b w:val="0"/>
                <w:i w:val="0"/>
                <w:strike w:val="0"/>
              </w:rPr>
              <w:t xml:space="preserve"> </w:t>
            </w:r>
            <w:r>
              <w:rPr>
                <w:b w:val="0"/>
                <w:i/>
                <w:strike w:val="0"/>
                <w:color w:val="843C0C"/>
                <w:sz w:val="16"/>
              </w:rPr>
              <w:t xml:space="preserve"> [Aug 2026 onboarding flow]</w:t>
            </w:r>
          </w:p>
        </w:tc>
      </w:tr>
      <w:tr>
        <w:tc>
          <w:tcPr>
            <w:tcW w:type="dxa" w:w="1728"/>
          </w:tcPr>
          <w:p>
            <w:r/>
            <w:r>
              <w:rPr>
                <w:b/>
                <w:i/>
                <w:strike w:val="0"/>
              </w:rPr>
              <w:t>ON-05</w:t>
            </w:r>
          </w:p>
        </w:tc>
        <w:tc>
          <w:tcPr>
            <w:tcW w:type="dxa" w:w="1728"/>
          </w:tcPr>
          <w:p>
            <w:r/>
            <w:r>
              <w:rPr>
                <w:b/>
                <w:i/>
                <w:strike w:val="0"/>
              </w:rPr>
              <w:t>Onboarding</w:t>
            </w:r>
          </w:p>
        </w:tc>
        <w:tc>
          <w:tcPr>
            <w:tcW w:type="dxa" w:w="1728"/>
          </w:tcPr>
          <w:p>
            <w:r/>
            <w:r>
              <w:rPr>
                <w:b/>
                <w:i/>
                <w:strike w:val="0"/>
              </w:rPr>
              <w:t>Can a firm complete onboarding with acknowledged call-tree or reporting-manager gaps, or is a complete chain mandatory before payment?</w:t>
            </w:r>
          </w:p>
        </w:tc>
        <w:tc>
          <w:tcPr>
            <w:tcW w:type="dxa" w:w="1728"/>
          </w:tcPr>
          <w:p>
            <w:r/>
            <w:r>
              <w:rPr>
                <w:b/>
                <w:i/>
                <w:strike w:val="0"/>
              </w:rPr>
              <w:t>No</w:t>
            </w:r>
          </w:p>
        </w:tc>
        <w:tc>
          <w:tcPr>
            <w:tcW w:type="dxa" w:w="1728"/>
          </w:tcPr>
          <w:p>
            <w:r/>
            <w:r>
              <w:rPr>
                <w:b/>
                <w:i/>
                <w:strike w:val="0"/>
                <w:color w:val="843C0C"/>
              </w:rPr>
              <w:t>New in v7.0 — see Section 5.6, FR-122</w:t>
            </w:r>
            <w:r>
              <w:rPr>
                <w:b w:val="0"/>
                <w:i w:val="0"/>
                <w:strike w:val="0"/>
              </w:rPr>
              <w:t xml:space="preserve"> </w:t>
            </w:r>
            <w:r>
              <w:rPr>
                <w:b w:val="0"/>
                <w:i/>
                <w:strike w:val="0"/>
                <w:color w:val="843C0C"/>
                <w:sz w:val="16"/>
              </w:rPr>
              <w:t xml:space="preserve"> [Aug 2026 onboarding flow]</w:t>
            </w:r>
          </w:p>
        </w:tc>
      </w:tr>
      <w:tr>
        <w:tc>
          <w:tcPr>
            <w:tcW w:type="dxa" w:w="1728"/>
          </w:tcPr>
          <w:p>
            <w:r/>
            <w:r>
              <w:rPr>
                <w:b/>
                <w:i/>
                <w:strike w:val="0"/>
              </w:rPr>
              <w:t>ON-06</w:t>
            </w:r>
          </w:p>
        </w:tc>
        <w:tc>
          <w:tcPr>
            <w:tcW w:type="dxa" w:w="1728"/>
          </w:tcPr>
          <w:p>
            <w:r/>
            <w:r>
              <w:rPr>
                <w:b/>
                <w:i/>
                <w:strike w:val="0"/>
              </w:rPr>
              <w:t>Onboarding</w:t>
            </w:r>
          </w:p>
        </w:tc>
        <w:tc>
          <w:tcPr>
            <w:tcW w:type="dxa" w:w="1728"/>
          </w:tcPr>
          <w:p>
            <w:r/>
            <w:r>
              <w:rPr>
                <w:b/>
                <w:i/>
                <w:strike w:val="0"/>
              </w:rPr>
              <w:t>Must the firm load its entire headcount before it can pay, or only compliance-relevant staff with the rest added later?</w:t>
            </w:r>
          </w:p>
        </w:tc>
        <w:tc>
          <w:tcPr>
            <w:tcW w:type="dxa" w:w="1728"/>
          </w:tcPr>
          <w:p>
            <w:r/>
            <w:r>
              <w:rPr>
                <w:b/>
                <w:i/>
                <w:strike w:val="0"/>
              </w:rPr>
              <w:t>No</w:t>
            </w:r>
          </w:p>
        </w:tc>
        <w:tc>
          <w:tcPr>
            <w:tcW w:type="dxa" w:w="1728"/>
          </w:tcPr>
          <w:p>
            <w:r/>
            <w:r>
              <w:rPr>
                <w:b/>
                <w:i/>
                <w:strike w:val="0"/>
                <w:color w:val="843C0C"/>
              </w:rPr>
              <w:t>New in v7.0 — see Section 5.6</w:t>
            </w:r>
            <w:r>
              <w:rPr>
                <w:b w:val="0"/>
                <w:i w:val="0"/>
                <w:strike w:val="0"/>
              </w:rPr>
              <w:t xml:space="preserve"> </w:t>
            </w:r>
            <w:r>
              <w:rPr>
                <w:b w:val="0"/>
                <w:i/>
                <w:strike w:val="0"/>
                <w:color w:val="843C0C"/>
                <w:sz w:val="16"/>
              </w:rPr>
              <w:t xml:space="preserve"> [Aug 2026 onboarding flow]</w:t>
            </w:r>
          </w:p>
        </w:tc>
      </w:tr>
      <w:tr>
        <w:tc>
          <w:tcPr>
            <w:tcW w:type="dxa" w:w="1728"/>
          </w:tcPr>
          <w:p>
            <w:r/>
            <w:r>
              <w:rPr>
                <w:b/>
                <w:i/>
                <w:strike w:val="0"/>
              </w:rPr>
              <w:t>ON-07</w:t>
            </w:r>
          </w:p>
        </w:tc>
        <w:tc>
          <w:tcPr>
            <w:tcW w:type="dxa" w:w="1728"/>
          </w:tcPr>
          <w:p>
            <w:r/>
            <w:r>
              <w:rPr>
                <w:b/>
                <w:i/>
                <w:strike w:val="0"/>
              </w:rPr>
              <w:t>Onboarding</w:t>
            </w:r>
          </w:p>
        </w:tc>
        <w:tc>
          <w:tcPr>
            <w:tcW w:type="dxa" w:w="1728"/>
          </w:tcPr>
          <w:p>
            <w:r/>
            <w:r>
              <w:rPr>
                <w:b/>
                <w:i/>
                <w:strike w:val="0"/>
              </w:rPr>
              <w:t>Does the marketing site post enquiries into the platform through an API, or does Sosinna's team re-key them? Depends on MKT-04.</w:t>
            </w:r>
          </w:p>
        </w:tc>
        <w:tc>
          <w:tcPr>
            <w:tcW w:type="dxa" w:w="1728"/>
          </w:tcPr>
          <w:p>
            <w:r/>
            <w:r>
              <w:rPr>
                <w:b/>
                <w:i/>
                <w:strike w:val="0"/>
              </w:rPr>
              <w:t>No</w:t>
            </w:r>
          </w:p>
        </w:tc>
        <w:tc>
          <w:tcPr>
            <w:tcW w:type="dxa" w:w="1728"/>
          </w:tcPr>
          <w:p>
            <w:r/>
            <w:r>
              <w:rPr>
                <w:b/>
                <w:i/>
                <w:strike w:val="0"/>
                <w:color w:val="843C0C"/>
              </w:rPr>
              <w:t>New in v7.0 — see Section 5.2, SA-16</w:t>
            </w:r>
            <w:r>
              <w:rPr>
                <w:b w:val="0"/>
                <w:i w:val="0"/>
                <w:strike w:val="0"/>
              </w:rPr>
              <w:t xml:space="preserve"> </w:t>
            </w:r>
            <w:r>
              <w:rPr>
                <w:b w:val="0"/>
                <w:i/>
                <w:strike w:val="0"/>
                <w:color w:val="843C0C"/>
                <w:sz w:val="16"/>
              </w:rPr>
              <w:t xml:space="preserve"> [Aug 2026 onboarding flow]</w:t>
            </w:r>
          </w:p>
        </w:tc>
      </w:tr>
      <w:tr>
        <w:tc>
          <w:tcPr>
            <w:tcW w:type="dxa" w:w="1728"/>
          </w:tcPr>
          <w:p>
            <w:r/>
            <w:r>
              <w:rPr>
                <w:b/>
                <w:i/>
                <w:strike w:val="0"/>
              </w:rPr>
              <w:t>ON-08</w:t>
            </w:r>
          </w:p>
        </w:tc>
        <w:tc>
          <w:tcPr>
            <w:tcW w:type="dxa" w:w="1728"/>
          </w:tcPr>
          <w:p>
            <w:r/>
            <w:r>
              <w:rPr>
                <w:b/>
                <w:i/>
                <w:strike w:val="0"/>
              </w:rPr>
              <w:t>Onboarding</w:t>
            </w:r>
          </w:p>
        </w:tc>
        <w:tc>
          <w:tcPr>
            <w:tcW w:type="dxa" w:w="1728"/>
          </w:tcPr>
          <w:p>
            <w:r/>
            <w:r>
              <w:rPr>
                <w:b/>
                <w:i/>
                <w:strike w:val="0"/>
              </w:rPr>
              <w:t>What is the retention rule for dead enquiries and abandoned onboardings? They hold licence numbers, financial reports and staff names for firms that never became clients.</w:t>
            </w:r>
          </w:p>
        </w:tc>
        <w:tc>
          <w:tcPr>
            <w:tcW w:type="dxa" w:w="1728"/>
          </w:tcPr>
          <w:p>
            <w:r/>
            <w:r>
              <w:rPr>
                <w:b/>
                <w:i/>
                <w:strike w:val="0"/>
              </w:rPr>
              <w:t>No</w:t>
            </w:r>
          </w:p>
        </w:tc>
        <w:tc>
          <w:tcPr>
            <w:tcW w:type="dxa" w:w="1728"/>
          </w:tcPr>
          <w:p>
            <w:r/>
            <w:r>
              <w:rPr>
                <w:b/>
                <w:i/>
                <w:strike w:val="0"/>
                <w:color w:val="843C0C"/>
              </w:rPr>
              <w:t>New in v7.0 — see Section 2 and Section 5.8. GDPR minimisation pulls against the never-delete rule</w:t>
            </w:r>
            <w:r>
              <w:rPr>
                <w:b w:val="0"/>
                <w:i w:val="0"/>
                <w:strike w:val="0"/>
              </w:rPr>
              <w:t xml:space="preserve"> </w:t>
            </w:r>
            <w:r>
              <w:rPr>
                <w:b w:val="0"/>
                <w:i/>
                <w:strike w:val="0"/>
                <w:color w:val="843C0C"/>
                <w:sz w:val="16"/>
              </w:rPr>
              <w:t xml:space="preserve"> [Aug 2026 onboarding flow]</w:t>
            </w:r>
          </w:p>
        </w:tc>
      </w:tr>
      <w:tr>
        <w:tc>
          <w:tcPr>
            <w:tcW w:type="dxa" w:w="1728"/>
          </w:tcPr>
          <w:p>
            <w:r/>
            <w:r>
              <w:rPr>
                <w:b/>
                <w:i/>
                <w:strike w:val="0"/>
              </w:rPr>
              <w:t>UM-01</w:t>
            </w:r>
          </w:p>
        </w:tc>
        <w:tc>
          <w:tcPr>
            <w:tcW w:type="dxa" w:w="1728"/>
          </w:tcPr>
          <w:p>
            <w:r/>
            <w:r>
              <w:rPr>
                <w:b/>
                <w:i/>
                <w:strike w:val="0"/>
              </w:rPr>
              <w:t>Roles</w:t>
            </w:r>
          </w:p>
        </w:tc>
        <w:tc>
          <w:tcPr>
            <w:tcW w:type="dxa" w:w="1728"/>
          </w:tcPr>
          <w:p>
            <w:r/>
            <w:r>
              <w:rPr>
                <w:b/>
                <w:i/>
                <w:strike w:val="0"/>
              </w:rPr>
              <w:t>Is the "Firm Admin" role required for org chart changes the existing Firm Super Admin system role under another name, or a distinct ninth system role?</w:t>
            </w:r>
          </w:p>
        </w:tc>
        <w:tc>
          <w:tcPr>
            <w:tcW w:type="dxa" w:w="1728"/>
          </w:tcPr>
          <w:p>
            <w:r/>
            <w:r>
              <w:rPr>
                <w:b/>
                <w:i/>
                <w:strike w:val="0"/>
              </w:rPr>
              <w:t>No</w:t>
            </w:r>
          </w:p>
        </w:tc>
        <w:tc>
          <w:tcPr>
            <w:tcW w:type="dxa" w:w="1728"/>
          </w:tcPr>
          <w:p>
            <w:r/>
            <w:r>
              <w:rPr>
                <w:b/>
                <w:i/>
                <w:strike w:val="0"/>
                <w:color w:val="CC00CC"/>
              </w:rPr>
              <w:t>New in v8.0 — see Section 10.2, FR-139. This document assumes Firm Super Admin</w:t>
            </w:r>
            <w:r>
              <w:rPr>
                <w:b w:val="0"/>
                <w:i w:val="0"/>
                <w:strike w:val="0"/>
              </w:rPr>
              <w:t xml:space="preserve"> </w:t>
            </w:r>
            <w:r>
              <w:rPr>
                <w:b w:val="0"/>
                <w:i/>
                <w:strike w:val="0"/>
                <w:color w:val="CC00CC"/>
                <w:sz w:val="16"/>
              </w:rPr>
              <w:t xml:space="preserve"> [14 Aug 2026 MOM]</w:t>
            </w:r>
          </w:p>
        </w:tc>
      </w:tr>
      <w:tr>
        <w:tc>
          <w:tcPr>
            <w:tcW w:type="dxa" w:w="1728"/>
          </w:tcPr>
          <w:p>
            <w:r/>
            <w:r>
              <w:rPr>
                <w:b/>
                <w:i/>
                <w:strike w:val="0"/>
              </w:rPr>
              <w:t>BR-01</w:t>
            </w:r>
          </w:p>
        </w:tc>
        <w:tc>
          <w:tcPr>
            <w:tcW w:type="dxa" w:w="1728"/>
          </w:tcPr>
          <w:p>
            <w:r/>
            <w:r>
              <w:rPr>
                <w:b/>
                <w:i/>
                <w:strike w:val="0"/>
              </w:rPr>
              <w:t>Branding</w:t>
            </w:r>
          </w:p>
        </w:tc>
        <w:tc>
          <w:tcPr>
            <w:tcW w:type="dxa" w:w="1728"/>
          </w:tcPr>
          <w:p>
            <w:r/>
            <w:r>
              <w:rPr>
                <w:b/>
                <w:i/>
                <w:strike w:val="0"/>
              </w:rPr>
              <w:t>Exact colour codes for the blue and white logo and website — to be finalised in the next discussion.</w:t>
            </w:r>
          </w:p>
        </w:tc>
        <w:tc>
          <w:tcPr>
            <w:tcW w:type="dxa" w:w="1728"/>
          </w:tcPr>
          <w:p>
            <w:r/>
            <w:r>
              <w:rPr>
                <w:b/>
                <w:i/>
                <w:strike w:val="0"/>
              </w:rPr>
              <w:t>No</w:t>
            </w:r>
          </w:p>
        </w:tc>
        <w:tc>
          <w:tcPr>
            <w:tcW w:type="dxa" w:w="1728"/>
          </w:tcPr>
          <w:p>
            <w:r/>
            <w:r>
              <w:rPr>
                <w:b/>
                <w:i/>
                <w:strike w:val="0"/>
                <w:color w:val="CC00CC"/>
              </w:rPr>
              <w:t>New in v8.0 — see Section 14, CC-02. Palette decided, values pending</w:t>
            </w:r>
            <w:r>
              <w:rPr>
                <w:b w:val="0"/>
                <w:i w:val="0"/>
                <w:strike w:val="0"/>
              </w:rPr>
              <w:t xml:space="preserve"> </w:t>
            </w:r>
            <w:r>
              <w:rPr>
                <w:b w:val="0"/>
                <w:i/>
                <w:strike w:val="0"/>
                <w:color w:val="CC00CC"/>
                <w:sz w:val="16"/>
              </w:rPr>
              <w:t xml:space="preserve"> [14 Aug 2026 MOM]</w:t>
            </w:r>
          </w:p>
        </w:tc>
      </w:tr>
      <w:tr>
        <w:tc>
          <w:tcPr>
            <w:tcW w:type="dxa" w:w="1728"/>
          </w:tcPr>
          <w:p>
            <w:r/>
            <w:r>
              <w:rPr>
                <w:b/>
                <w:i/>
                <w:strike w:val="0"/>
              </w:rPr>
              <w:t>NF-01</w:t>
            </w:r>
          </w:p>
        </w:tc>
        <w:tc>
          <w:tcPr>
            <w:tcW w:type="dxa" w:w="1728"/>
          </w:tcPr>
          <w:p>
            <w:r/>
            <w:r>
              <w:rPr>
                <w:b/>
                <w:i/>
                <w:strike w:val="0"/>
              </w:rPr>
              <w:t>News feed</w:t>
            </w:r>
          </w:p>
        </w:tc>
        <w:tc>
          <w:tcPr>
            <w:tcW w:type="dxa" w:w="1728"/>
          </w:tcPr>
          <w:p>
            <w:r/>
            <w:r>
              <w:rPr>
                <w:b/>
                <w:i/>
                <w:strike w:val="0"/>
              </w:rPr>
              <w:t>Do vendor AML sources such as NICE Actimize offer an RSS feed or licensed API, and does their content licensing permit redisplay? The MVP constraint forbids HTML scraping.</w:t>
            </w:r>
          </w:p>
        </w:tc>
        <w:tc>
          <w:tcPr>
            <w:tcW w:type="dxa" w:w="1728"/>
          </w:tcPr>
          <w:p>
            <w:r/>
            <w:r>
              <w:rPr>
                <w:b/>
                <w:i/>
                <w:strike w:val="0"/>
              </w:rPr>
              <w:t>No</w:t>
            </w:r>
          </w:p>
        </w:tc>
        <w:tc>
          <w:tcPr>
            <w:tcW w:type="dxa" w:w="1728"/>
          </w:tcPr>
          <w:p>
            <w:r/>
            <w:r>
              <w:rPr>
                <w:b/>
                <w:i/>
                <w:strike w:val="0"/>
                <w:color w:val="CC00CC"/>
              </w:rPr>
              <w:t>New in v8.0 — see Section 9.1, FR-138. Resolve with RE-05</w:t>
            </w:r>
            <w:r>
              <w:rPr>
                <w:b w:val="0"/>
                <w:i w:val="0"/>
                <w:strike w:val="0"/>
              </w:rPr>
              <w:t xml:space="preserve"> </w:t>
            </w:r>
            <w:r>
              <w:rPr>
                <w:b w:val="0"/>
                <w:i/>
                <w:strike w:val="0"/>
                <w:color w:val="CC00CC"/>
                <w:sz w:val="16"/>
              </w:rPr>
              <w:t xml:space="preserve"> [14 Aug 2026 MOM]</w:t>
            </w:r>
          </w:p>
        </w:tc>
      </w:tr>
      <w:tr>
        <w:tc>
          <w:tcPr>
            <w:tcW w:type="dxa" w:w="1728"/>
          </w:tcPr>
          <w:p>
            <w:r/>
            <w:r>
              <w:rPr>
                <w:b/>
                <w:i/>
                <w:strike w:val="0"/>
              </w:rPr>
              <w:t>AD-01</w:t>
            </w:r>
          </w:p>
        </w:tc>
        <w:tc>
          <w:tcPr>
            <w:tcW w:type="dxa" w:w="1728"/>
          </w:tcPr>
          <w:p>
            <w:r/>
            <w:r>
              <w:rPr>
                <w:b/>
                <w:i/>
                <w:strike w:val="0"/>
              </w:rPr>
              <w:t>Portal</w:t>
            </w:r>
          </w:p>
        </w:tc>
        <w:tc>
          <w:tcPr>
            <w:tcW w:type="dxa" w:w="1728"/>
          </w:tcPr>
          <w:p>
            <w:r/>
            <w:r>
              <w:rPr>
                <w:b/>
                <w:i/>
                <w:strike w:val="0"/>
              </w:rPr>
              <w:t>Which associate-admin actions require Sosinna's final confirmation — every publish and qualification, or only designated gates?</w:t>
            </w:r>
          </w:p>
        </w:tc>
        <w:tc>
          <w:tcPr>
            <w:tcW w:type="dxa" w:w="1728"/>
          </w:tcPr>
          <w:p>
            <w:r/>
            <w:r>
              <w:rPr>
                <w:b/>
                <w:i/>
                <w:strike w:val="0"/>
              </w:rPr>
              <w:t>No</w:t>
            </w:r>
          </w:p>
        </w:tc>
        <w:tc>
          <w:tcPr>
            <w:tcW w:type="dxa" w:w="1728"/>
          </w:tcPr>
          <w:p>
            <w:r/>
            <w:r>
              <w:rPr>
                <w:b/>
                <w:i/>
                <w:strike w:val="0"/>
                <w:color w:val="CC00CC"/>
              </w:rPr>
              <w:t>New in v8.0 — see Section 4.6, SA-24</w:t>
            </w:r>
            <w:r>
              <w:rPr>
                <w:b w:val="0"/>
                <w:i w:val="0"/>
                <w:strike w:val="0"/>
              </w:rPr>
              <w:t xml:space="preserve"> </w:t>
            </w:r>
            <w:r>
              <w:rPr>
                <w:b w:val="0"/>
                <w:i/>
                <w:strike w:val="0"/>
                <w:color w:val="CC00CC"/>
                <w:sz w:val="16"/>
              </w:rPr>
              <w:t xml:space="preserve"> [14 Aug 2026 MOM]</w:t>
            </w:r>
          </w:p>
        </w:tc>
      </w:tr>
    </w:tbl>
    <w:tbl>
      <w:tblPr>
        <w:tblStyle w:val="TableGrid"/>
        <w:tblW w:type="auto" w:w="0"/>
        <w:tblLook w:firstColumn="1" w:firstRow="1" w:lastColumn="0" w:lastRow="0" w:noHBand="0" w:noVBand="1" w:val="04A0"/>
      </w:tblPr>
      <w:tblGrid>
        <w:gridCol w:w="8640"/>
      </w:tblGrid>
      <w:tr>
        <w:tc>
          <w:tcPr>
            <w:tcW w:type="dxa" w:w="8640"/>
            <w:shd w:val="clear" w:fill="EDEDED"/>
          </w:tcPr>
          <w:p>
            <w:r>
              <w:rPr>
                <w:b/>
                <w:i w:val="0"/>
                <w:strike w:val="0"/>
              </w:rPr>
              <w:t>DEVELOPER NOTE</w:t>
            </w:r>
            <w:r>
              <w:rPr>
                <w:b w:val="0"/>
                <w:i w:val="0"/>
                <w:strike w:val="0"/>
              </w:rPr>
              <w:t xml:space="preserve"> </w:t>
            </w:r>
            <w:r>
              <w:rPr>
                <w:b w:val="0"/>
                <w:i/>
                <w:strike w:val="0"/>
              </w:rPr>
              <w:t>(grey)</w:t>
            </w:r>
          </w:p>
          <w:p>
            <w:r>
              <w:rPr>
                <w:b/>
                <w:i w:val="0"/>
                <w:strike w:val="0"/>
              </w:rPr>
              <w:t>📌 Note</w:t>
            </w:r>
          </w:p>
          <w:p>
            <w:pPr>
              <w:pStyle w:val="ListBullet"/>
            </w:pPr>
            <w:r>
              <w:rPr>
                <w:b w:val="0"/>
                <w:i w:val="0"/>
                <w:strike w:val="0"/>
              </w:rPr>
              <w:t>Four of the six original 'needed before estimation' items are still open after the July round: RE-01, RE-04, TI-02, and (with only partial movement) TI-05 / TI-06 / RE-05. CC-01's model is confirmed but the number isn't — worth deciding whether that's enough to estimate against or whether it still blocks a final number.</w:t>
            </w:r>
          </w:p>
          <w:p>
            <w:pPr>
              <w:pStyle w:val="ListBullet"/>
            </w:pPr>
            <w:r>
              <w:rPr>
                <w:b/>
                <w:i/>
                <w:strike w:val="0"/>
                <w:color w:val="7030A0"/>
              </w:rPr>
              <w:t>v5.0 adds six new estimation-blocking items: FO-09, PR-03, TS-01, EV-01, EV-02, EV-03. Five of the six sit in the two features the August meeting introduced — the records-request workflow and the AI document check. Both are new scope, so this is expected, but it means the estimate cannot be finalised on the v4.0 answers alone. Recommend a single working session covering FO-09 + the EV block, and folding TS-01 into the GAP-01 scheduler session.</w:t>
            </w:r>
            <w:r>
              <w:rPr>
                <w:b w:val="0"/>
                <w:i w:val="0"/>
                <w:strike w:val="0"/>
              </w:rPr>
              <w:t xml:space="preserve"> </w:t>
            </w:r>
            <w:r>
              <w:rPr>
                <w:b w:val="0"/>
                <w:i/>
                <w:strike w:val="0"/>
                <w:color w:val="7030A0"/>
                <w:sz w:val="16"/>
              </w:rPr>
              <w:t xml:space="preserve"> [Aug 2026 client MOM]</w:t>
            </w:r>
          </w:p>
          <w:p>
            <w:pPr>
              <w:pStyle w:val="ListBullet"/>
            </w:pPr>
            <w:r>
              <w:rPr>
                <w:b/>
                <w:i/>
                <w:strike w:val="0"/>
                <w:color w:val="008080"/>
              </w:rPr>
              <w:t>v6.0 adds four more estimation blockers — TS-05, TS-07, EV-07, EV-08 — and closes one (EV-04). Running total of open estimation blockers: RE-01, RE-04, RE-05, TI-02, TI-05, TI-06, FO-09, PR-03, TS-01, TS-05, TS-07, EV-01, EV-02, EV-03, EV-07, EV-08.</w:t>
            </w:r>
            <w:r>
              <w:rPr>
                <w:b w:val="0"/>
                <w:i w:val="0"/>
                <w:strike w:val="0"/>
              </w:rPr>
              <w:t xml:space="preserve"> </w:t>
            </w:r>
            <w:r>
              <w:rPr>
                <w:b w:val="0"/>
                <w:i/>
                <w:strike w:val="0"/>
                <w:color w:val="008080"/>
                <w:sz w:val="16"/>
              </w:rPr>
              <w:t xml:space="preserve"> [11 Aug 2026 MOM]</w:t>
            </w:r>
          </w:p>
          <w:p>
            <w:pPr>
              <w:pStyle w:val="ListBullet"/>
            </w:pPr>
            <w:r>
              <w:rPr>
                <w:b/>
                <w:i/>
                <w:strike w:val="0"/>
                <w:color w:val="008080"/>
              </w:rPr>
              <w:t>EV-07 is different in kind from the rest: it is not a question the client owes SayOne an answer to, it is an effort assessment SayOne owes the client. It should be produced and returned rather than waited on.</w:t>
            </w:r>
            <w:r>
              <w:rPr>
                <w:b w:val="0"/>
                <w:i w:val="0"/>
                <w:strike w:val="0"/>
              </w:rPr>
              <w:t xml:space="preserve"> </w:t>
            </w:r>
            <w:r>
              <w:rPr>
                <w:b w:val="0"/>
                <w:i/>
                <w:strike w:val="0"/>
                <w:color w:val="008080"/>
                <w:sz w:val="16"/>
              </w:rPr>
              <w:t xml:space="preserve"> [11 Aug 2026 MOM]</w:t>
            </w:r>
          </w:p>
          <w:p>
            <w:pPr>
              <w:pStyle w:val="ListBullet"/>
            </w:pPr>
            <w:r>
              <w:rPr>
                <w:b/>
                <w:i/>
                <w:strike w:val="0"/>
                <w:color w:val="008080"/>
              </w:rPr>
              <w:t>TS-07 is the cheapest to close and the most structural — article-level decomposition of every Requirement ID underpins FR-105, FR-106 and FR-112. Answer it first; it may make TS-05 and TS-06 easier to decide.</w:t>
            </w:r>
            <w:r>
              <w:rPr>
                <w:b w:val="0"/>
                <w:i w:val="0"/>
                <w:strike w:val="0"/>
              </w:rPr>
              <w:t xml:space="preserve"> </w:t>
            </w:r>
            <w:r>
              <w:rPr>
                <w:b w:val="0"/>
                <w:i/>
                <w:strike w:val="0"/>
                <w:color w:val="008080"/>
                <w:sz w:val="16"/>
              </w:rPr>
              <w:t xml:space="preserve"> [11 Aug 2026 MOM]</w:t>
            </w:r>
          </w:p>
          <w:p>
            <w:pPr>
              <w:pStyle w:val="ListBullet"/>
            </w:pPr>
            <w:r>
              <w:rPr>
                <w:b/>
                <w:i/>
                <w:strike w:val="0"/>
                <w:color w:val="843C0C"/>
              </w:rPr>
              <w:t>v7.0 adds three more estimation blockers, all in the payment step: ON-01, ON-02 and ON-03. They are a single conversation, not three — decide the commercial model (who collects, whether it recurs, by what instrument) and all three close together. Until they do, Section 5.7 cannot be estimated at all, because an invoice-and-bank-transfer model and a recurring card subscription differ by an order of magnitude in build. Everything else in the onboarding flow — enquiries, the link, the wizard, the call tree review — is estimable today.</w:t>
            </w:r>
            <w:r>
              <w:rPr>
                <w:b w:val="0"/>
                <w:i w:val="0"/>
                <w:strike w:val="0"/>
              </w:rPr>
              <w:t xml:space="preserve"> </w:t>
            </w:r>
            <w:r>
              <w:rPr>
                <w:b w:val="0"/>
                <w:i/>
                <w:strike w:val="0"/>
                <w:color w:val="843C0C"/>
                <w:sz w:val="16"/>
              </w:rPr>
              <w:t xml:space="preserve"> [Aug 2026 onboarding flow]</w:t>
            </w:r>
          </w:p>
          <w:p>
            <w:pPr>
              <w:pStyle w:val="ListBullet"/>
            </w:pPr>
            <w:r>
              <w:rPr>
                <w:b/>
                <w:i/>
                <w:strike w:val="0"/>
                <w:color w:val="CC00CC"/>
              </w:rPr>
              <w:t>v8.0 adds four open questions (UM-01, BR-01, NF-01, AD-01) — none of them estimation blockers — and closes TS-04. EV-03 moves to partial: the business owner's surface is now defined (FR-133) but the authentication behind it is not, so EV-03 stays on the blocker list. NF-01 is really a concrete instance of RE-05 and should be resolved in the same session. Running total of open estimation blockers is unchanged from v7.0.</w:t>
            </w:r>
            <w:r>
              <w:rPr>
                <w:b w:val="0"/>
                <w:i w:val="0"/>
                <w:strike w:val="0"/>
              </w:rPr>
              <w:t xml:space="preserve"> </w:t>
            </w:r>
            <w:r>
              <w:rPr>
                <w:b w:val="0"/>
                <w:i/>
                <w:strike w:val="0"/>
                <w:color w:val="CC00CC"/>
                <w:sz w:val="16"/>
              </w:rPr>
              <w:t xml:space="preserve"> [14 Aug 2026 MOM]</w:t>
            </w:r>
          </w:p>
        </w:tc>
      </w:tr>
    </w:tbl>
    <w:p>
      <w:pPr>
        <w:pStyle w:val="Heading1"/>
      </w:pPr>
      <w:r>
        <w:t>16. Gaps to Resolve Before Project Execution</w:t>
      </w:r>
    </w:p>
    <w:p>
      <w:r>
        <w:rPr>
          <w:b w:val="0"/>
          <w:i w:val="0"/>
          <w:strike w:val="0"/>
        </w:rPr>
        <w:t>The items below are not open questions about whether a feature is needed — all of them are features the platform will build. They are workflow design gaps: points in the product where we know what the outcome should be, but the exact sequence of steps, the exact rules, or the exact user experience has not yet been fully defined. They were identified through a cross-document audit of the RED v2.0, Narrative v3, and PRD v3.0.</w:t>
      </w:r>
    </w:p>
    <w:p>
      <w:r>
        <w:rPr>
          <w:b w:val="0"/>
          <w:i w:val="0"/>
          <w:strike w:val="0"/>
        </w:rPr>
        <w:t>None of these are blockers for producing a project estimate — the estimator can size these features based on their known complexity. However, every item in this list must be resolved and documented before the development sprint that covers the relevant feature begins.</w:t>
      </w:r>
    </w:p>
    <w:tbl>
      <w:tblPr>
        <w:tblStyle w:val="TableGrid"/>
        <w:tblW w:type="auto" w:w="0"/>
        <w:tblLook w:firstColumn="1" w:firstRow="1" w:lastColumn="0" w:lastRow="0" w:noHBand="0" w:noVBand="1" w:val="04A0"/>
      </w:tblPr>
      <w:tblGrid>
        <w:gridCol w:w="8640"/>
      </w:tblGrid>
      <w:tr>
        <w:tc>
          <w:tcPr>
            <w:tcW w:type="dxa" w:w="8640"/>
            <w:shd w:val="clear" w:fill="EDEDED"/>
          </w:tcPr>
          <w:p>
            <w:r>
              <w:rPr>
                <w:b/>
                <w:i w:val="0"/>
                <w:strike w:val="0"/>
              </w:rPr>
              <w:t>DEVELOPER NOTE</w:t>
            </w:r>
            <w:r>
              <w:rPr>
                <w:b w:val="0"/>
                <w:i w:val="0"/>
                <w:strike w:val="0"/>
              </w:rPr>
              <w:t xml:space="preserve"> </w:t>
            </w:r>
            <w:r>
              <w:rPr>
                <w:b w:val="0"/>
                <w:i/>
                <w:strike w:val="0"/>
              </w:rPr>
              <w:t>(grey)</w:t>
            </w:r>
          </w:p>
          <w:p>
            <w:r>
              <w:rPr>
                <w:b/>
                <w:i w:val="0"/>
                <w:strike w:val="0"/>
              </w:rPr>
              <w:t>📌 Note</w:t>
            </w:r>
          </w:p>
          <w:p>
            <w:pPr>
              <w:pStyle w:val="ListBullet"/>
            </w:pPr>
            <w:r>
              <w:rPr>
                <w:b w:val="0"/>
                <w:i w:val="0"/>
                <w:strike w:val="0"/>
              </w:rPr>
              <w:t>Items marked with ⚠ have a direct impact on a workflow that touches multiple roles or multiple modules. These should be prioritised for resolution.</w:t>
            </w:r>
          </w:p>
          <w:p>
            <w:pPr>
              <w:pStyle w:val="ListBullet"/>
            </w:pPr>
            <w:r>
              <w:rPr>
                <w:b w:val="0"/>
                <w:i w:val="0"/>
                <w:strike w:val="0"/>
              </w:rPr>
              <w:t>Items marked with ✏ are smaller UX or edge-case decisions that can be resolved in a short working session.</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r>
            <w:r>
              <w:rPr>
                <w:b/>
                <w:i w:val="0"/>
                <w:strike w:val="0"/>
                <w:color w:val="FFFFFF"/>
              </w:rPr>
              <w:t>Ref</w:t>
            </w:r>
          </w:p>
        </w:tc>
        <w:tc>
          <w:tcPr>
            <w:tcW w:type="dxa" w:w="2160"/>
            <w:shd w:val="clear" w:fill="1F4E79"/>
          </w:tcPr>
          <w:p>
            <w:r>
              <w:rPr>
                <w:b/>
                <w:color w:val="FFFFFF"/>
              </w:rPr>
            </w:r>
            <w:r>
              <w:rPr>
                <w:b/>
                <w:i w:val="0"/>
                <w:strike w:val="0"/>
                <w:color w:val="FFFFFF"/>
              </w:rPr>
              <w:t>Module</w:t>
            </w:r>
          </w:p>
        </w:tc>
        <w:tc>
          <w:tcPr>
            <w:tcW w:type="dxa" w:w="2160"/>
            <w:shd w:val="clear" w:fill="1F4E79"/>
          </w:tcPr>
          <w:p>
            <w:r>
              <w:rPr>
                <w:b/>
                <w:color w:val="FFFFFF"/>
              </w:rPr>
            </w:r>
            <w:r>
              <w:rPr>
                <w:b/>
                <w:i w:val="0"/>
                <w:strike w:val="0"/>
                <w:color w:val="FFFFFF"/>
              </w:rPr>
              <w:t>Gap</w:t>
            </w:r>
          </w:p>
        </w:tc>
        <w:tc>
          <w:tcPr>
            <w:tcW w:type="dxa" w:w="2160"/>
            <w:shd w:val="clear" w:fill="1F4E79"/>
          </w:tcPr>
          <w:p>
            <w:r>
              <w:rPr>
                <w:b/>
                <w:color w:val="FFFFFF"/>
              </w:rPr>
            </w:r>
            <w:r>
              <w:rPr>
                <w:b/>
                <w:i w:val="0"/>
                <w:strike w:val="0"/>
                <w:color w:val="FFFFFF"/>
              </w:rPr>
              <w:t>Status (updated 12 Aug 2026)</w:t>
            </w:r>
          </w:p>
        </w:tc>
      </w:tr>
      <w:tr>
        <w:tc>
          <w:tcPr>
            <w:tcW w:type="dxa" w:w="2160"/>
          </w:tcPr>
          <w:p>
            <w:r/>
            <w:r>
              <w:rPr>
                <w:b w:val="0"/>
                <w:i w:val="0"/>
                <w:strike w:val="0"/>
              </w:rPr>
              <w:t>GAP-01</w:t>
            </w:r>
          </w:p>
        </w:tc>
        <w:tc>
          <w:tcPr>
            <w:tcW w:type="dxa" w:w="2160"/>
          </w:tcPr>
          <w:p>
            <w:r/>
            <w:r>
              <w:rPr>
                <w:b w:val="0"/>
                <w:i w:val="0"/>
                <w:strike w:val="0"/>
              </w:rPr>
              <w:t>Testing — Scheduling</w:t>
            </w:r>
          </w:p>
        </w:tc>
        <w:tc>
          <w:tcPr>
            <w:tcW w:type="dxa" w:w="2160"/>
          </w:tcPr>
          <w:p>
            <w:r/>
            <w:r>
              <w:rPr>
                <w:b w:val="0"/>
                <w:i w:val="0"/>
                <w:strike w:val="0"/>
              </w:rPr>
              <w:t xml:space="preserve">⚠ The calendar shows when tests are due, but the exact anchor-date logic (calendar quarter vs. 90 days from onboarding; mid-quarter onboarding handling; missed-test shifting) is not yet defined. </w:t>
            </w:r>
            <w:r>
              <w:br/>
            </w:r>
            <w:r>
              <w:rPr>
                <w:b w:val="0"/>
                <w:i w:val="0"/>
                <w:strike w:val="0"/>
              </w:rPr>
              <w:t xml:space="preserve"> </w:t>
            </w:r>
            <w:r>
              <w:rPr>
                <w:b/>
                <w:i w:val="0"/>
                <w:strike w:val="0"/>
              </w:rPr>
              <w:t>💬 Partial answer:</w:t>
            </w:r>
            <w:r>
              <w:rPr>
                <w:b w:val="0"/>
                <w:i w:val="0"/>
                <w:strike w:val="0"/>
              </w:rPr>
              <w:t xml:space="preserve"> </w:t>
            </w:r>
            <w:r>
              <w:rPr>
                <w:b w:val="0"/>
                <w:i/>
                <w:strike w:val="0"/>
                <w:color w:val="C55A11"/>
              </w:rPr>
              <w:t>Sosinna's guidance is that each test area should be covered within the year, with firms free to prioritise sequencing based on their own risk controls. The specific anchor-date mechanics are still undefined.</w:t>
            </w:r>
            <w:r>
              <w:rPr>
                <w:b w:val="0"/>
                <w:i w:val="0"/>
                <w:strike w:val="0"/>
              </w:rPr>
              <w:t xml:space="preserve"> </w:t>
            </w:r>
            <w:r>
              <w:rPr>
                <w:b w:val="0"/>
                <w:i/>
                <w:strike w:val="0"/>
                <w:color w:val="C55A11"/>
                <w:sz w:val="16"/>
              </w:rPr>
              <w:t xml:space="preserve"> [Sosinna's Drive comment]</w:t>
            </w:r>
            <w:r>
              <w:rPr>
                <w:b w:val="0"/>
                <w:i w:val="0"/>
                <w:strike w:val="0"/>
              </w:rPr>
              <w:t xml:space="preserve"> </w:t>
            </w:r>
            <w:r>
              <w:br/>
            </w:r>
            <w:r>
              <w:rPr>
                <w:b w:val="0"/>
                <w:i w:val="0"/>
                <w:strike w:val="0"/>
              </w:rPr>
              <w:t xml:space="preserve"> </w:t>
            </w:r>
            <w:r>
              <w:rPr>
                <w:b/>
                <w:i/>
                <w:strike w:val="0"/>
                <w:color w:val="7030A0"/>
              </w:rPr>
              <w:t xml:space="preserve">v5.0 update: the pool model (FR-78) removes most of this gap. There is no auto-generated dated entry to anchor, so calendar-quarter vs. 90-days-from-onboarding no longer needs deciding — the CCO sets dates at assignment via the FR-80 scope period. What remains is the period an item is </w:t>
            </w:r>
            <w:r>
              <w:rPr>
                <w:b/>
                <w:i/>
                <w:strike w:val="0"/>
                <w:color w:val="7030A0"/>
              </w:rPr>
              <w:t>owed</w:t>
            </w:r>
            <w:r>
              <w:rPr>
                <w:b/>
                <w:i/>
                <w:strike w:val="0"/>
                <w:color w:val="7030A0"/>
              </w:rPr>
              <w:t xml:space="preserve"> for, which is what TS-01 asks about.</w:t>
            </w:r>
            <w:r>
              <w:rPr>
                <w:b w:val="0"/>
                <w:i w:val="0"/>
                <w:strike w:val="0"/>
              </w:rPr>
              <w:t xml:space="preserve"> </w:t>
            </w:r>
            <w:r>
              <w:rPr>
                <w:b w:val="0"/>
                <w:i/>
                <w:strike w:val="0"/>
                <w:color w:val="7030A0"/>
                <w:sz w:val="16"/>
              </w:rPr>
              <w:t xml:space="preserve"> [Aug 2026 client MOM]</w:t>
            </w:r>
          </w:p>
        </w:tc>
        <w:tc>
          <w:tcPr>
            <w:tcW w:type="dxa" w:w="2160"/>
          </w:tcPr>
          <w:p>
            <w:r/>
            <w:r>
              <w:rPr>
                <w:b/>
                <w:i/>
                <w:strike w:val="0"/>
                <w:color w:val="7030A0"/>
              </w:rPr>
              <w:t>Largely superseded by the pool model — residual question is TS-01</w:t>
            </w:r>
            <w:r>
              <w:rPr>
                <w:b w:val="0"/>
                <w:i w:val="0"/>
                <w:strike w:val="0"/>
              </w:rPr>
              <w:t xml:space="preserve"> </w:t>
            </w:r>
            <w:r>
              <w:rPr>
                <w:b w:val="0"/>
                <w:i/>
                <w:strike w:val="0"/>
                <w:color w:val="7030A0"/>
                <w:sz w:val="16"/>
              </w:rPr>
              <w:t xml:space="preserve"> [Aug 2026 client MOM]</w:t>
            </w:r>
          </w:p>
        </w:tc>
      </w:tr>
      <w:tr>
        <w:tc>
          <w:tcPr>
            <w:tcW w:type="dxa" w:w="2160"/>
          </w:tcPr>
          <w:p>
            <w:r/>
            <w:r>
              <w:rPr>
                <w:b w:val="0"/>
                <w:i w:val="0"/>
                <w:strike w:val="0"/>
              </w:rPr>
              <w:t>GAP-02</w:t>
            </w:r>
          </w:p>
        </w:tc>
        <w:tc>
          <w:tcPr>
            <w:tcW w:type="dxa" w:w="2160"/>
          </w:tcPr>
          <w:p>
            <w:r/>
            <w:r>
              <w:rPr>
                <w:b w:val="0"/>
                <w:i w:val="0"/>
                <w:strike w:val="0"/>
              </w:rPr>
              <w:t>Testing — Scheduling</w:t>
            </w:r>
          </w:p>
        </w:tc>
        <w:tc>
          <w:tcPr>
            <w:tcW w:type="dxa" w:w="2160"/>
          </w:tcPr>
          <w:p>
            <w:r/>
            <w:r>
              <w:rPr>
                <w:b w:val="0"/>
                <w:i w:val="0"/>
                <w:strike w:val="0"/>
              </w:rPr>
              <w:t xml:space="preserve">✏ RES-01 (annual pen test + quarterly vulnerability scan) and BCP-01 (annual BCP drill + semi-annual DR failover) have split frequencies — one ID, two obligations. </w:t>
            </w:r>
            <w:r>
              <w:br/>
            </w:r>
            <w:r>
              <w:rPr>
                <w:b w:val="0"/>
                <w:i w:val="0"/>
                <w:strike w:val="0"/>
              </w:rPr>
              <w:t xml:space="preserve"> </w:t>
            </w:r>
            <w:r>
              <w:rPr>
                <w:b/>
                <w:i w:val="0"/>
                <w:strike w:val="0"/>
              </w:rPr>
              <w:t>💬 RESOLVED:</w:t>
            </w:r>
            <w:r>
              <w:rPr>
                <w:b w:val="0"/>
                <w:i w:val="0"/>
                <w:strike w:val="0"/>
              </w:rPr>
              <w:t xml:space="preserve"> </w:t>
            </w:r>
            <w:r>
              <w:rPr>
                <w:b w:val="0"/>
                <w:i/>
                <w:strike w:val="0"/>
                <w:color w:val="C55A11"/>
              </w:rPr>
              <w:t>treat as different/separate test entries, grouped by ID family (RES-xx = resilience, BCP-xx = business continuity, AML-xx = anti-money laundering, etc.). The scheduler tells the tester which recurrence (annual vs. quarterly) is currently due.</w:t>
            </w:r>
            <w:r>
              <w:rPr>
                <w:b w:val="0"/>
                <w:i w:val="0"/>
                <w:strike w:val="0"/>
              </w:rPr>
              <w:t xml:space="preserve"> </w:t>
            </w:r>
            <w:r>
              <w:rPr>
                <w:b w:val="0"/>
                <w:i/>
                <w:strike w:val="0"/>
                <w:color w:val="C55A11"/>
                <w:sz w:val="16"/>
              </w:rPr>
              <w:t xml:space="preserve"> [Sosinna's Drive comment]</w:t>
            </w:r>
          </w:p>
        </w:tc>
        <w:tc>
          <w:tcPr>
            <w:tcW w:type="dxa" w:w="2160"/>
          </w:tcPr>
          <w:p>
            <w:r/>
            <w:r>
              <w:rPr>
                <w:b w:val="0"/>
                <w:i w:val="0"/>
                <w:strike w:val="0"/>
              </w:rPr>
              <w:t>Resolved</w:t>
            </w:r>
          </w:p>
        </w:tc>
      </w:tr>
      <w:tr>
        <w:tc>
          <w:tcPr>
            <w:tcW w:type="dxa" w:w="2160"/>
          </w:tcPr>
          <w:p>
            <w:r/>
            <w:r>
              <w:rPr>
                <w:b w:val="0"/>
                <w:i w:val="0"/>
                <w:strike w:val="0"/>
              </w:rPr>
              <w:t>GAP-03</w:t>
            </w:r>
          </w:p>
        </w:tc>
        <w:tc>
          <w:tcPr>
            <w:tcW w:type="dxa" w:w="2160"/>
          </w:tcPr>
          <w:p>
            <w:r/>
            <w:r>
              <w:rPr>
                <w:b w:val="0"/>
                <w:i w:val="0"/>
                <w:strike w:val="0"/>
              </w:rPr>
              <w:t>Testing — Scheduling</w:t>
            </w:r>
          </w:p>
        </w:tc>
        <w:tc>
          <w:tcPr>
            <w:tcW w:type="dxa" w:w="2160"/>
          </w:tcPr>
          <w:p>
            <w:r/>
            <w:r>
              <w:rPr>
                <w:b w:val="0"/>
                <w:i w:val="0"/>
                <w:strike w:val="0"/>
              </w:rPr>
              <w:t>✏ RES-02 (advanced resilience testing) applies only to 'significant firms' under DORA. How is significance determined — manual Super Admin flag, or platform-calculated?</w:t>
            </w:r>
          </w:p>
        </w:tc>
        <w:tc>
          <w:tcPr>
            <w:tcW w:type="dxa" w:w="2160"/>
          </w:tcPr>
          <w:p>
            <w:r/>
            <w:r>
              <w:rPr>
                <w:b w:val="0"/>
                <w:i w:val="0"/>
                <w:strike w:val="0"/>
              </w:rPr>
              <w:t>Still open</w:t>
            </w:r>
          </w:p>
        </w:tc>
      </w:tr>
      <w:tr>
        <w:tc>
          <w:tcPr>
            <w:tcW w:type="dxa" w:w="2160"/>
          </w:tcPr>
          <w:p>
            <w:r/>
            <w:r>
              <w:rPr>
                <w:b w:val="0"/>
                <w:i w:val="0"/>
                <w:strike w:val="0"/>
              </w:rPr>
              <w:t>GAP-04</w:t>
            </w:r>
          </w:p>
        </w:tc>
        <w:tc>
          <w:tcPr>
            <w:tcW w:type="dxa" w:w="2160"/>
          </w:tcPr>
          <w:p>
            <w:r/>
            <w:r>
              <w:rPr>
                <w:b w:val="0"/>
                <w:i w:val="0"/>
                <w:strike w:val="0"/>
              </w:rPr>
              <w:t>Testing — Execution</w:t>
            </w:r>
          </w:p>
        </w:tc>
        <w:tc>
          <w:tcPr>
            <w:tcW w:type="dxa" w:w="2160"/>
          </w:tcPr>
          <w:p>
            <w:r/>
            <w:r>
              <w:rPr>
                <w:b w:val="0"/>
                <w:i w:val="0"/>
                <w:strike w:val="0"/>
              </w:rPr>
              <w:t xml:space="preserve">⚠ Does a due test auto-move to 'Ongoing', or does the CCO manually open each testing period? </w:t>
            </w:r>
            <w:r>
              <w:br/>
            </w:r>
            <w:r>
              <w:rPr>
                <w:b w:val="0"/>
                <w:i w:val="0"/>
                <w:strike w:val="0"/>
              </w:rPr>
              <w:t xml:space="preserve"> </w:t>
            </w:r>
            <w:r>
              <w:rPr>
                <w:b/>
                <w:i w:val="0"/>
                <w:strike w:val="0"/>
              </w:rPr>
              <w:t>💬 Mostly resolved:</w:t>
            </w:r>
            <w:r>
              <w:rPr>
                <w:b w:val="0"/>
                <w:i w:val="0"/>
                <w:strike w:val="0"/>
              </w:rPr>
              <w:t xml:space="preserve"> </w:t>
            </w:r>
            <w:r>
              <w:rPr>
                <w:b w:val="0"/>
                <w:i/>
                <w:strike w:val="0"/>
                <w:color w:val="C55A11"/>
              </w:rPr>
              <w:t>there should be a CCO-facing calendar to schedule tests manually — supports the manual-trigger side. New: if a required test isn't scheduled at all, the platform should alert (added to Section 12).</w:t>
            </w:r>
            <w:r>
              <w:rPr>
                <w:b w:val="0"/>
                <w:i w:val="0"/>
                <w:strike w:val="0"/>
              </w:rPr>
              <w:t xml:space="preserve"> </w:t>
            </w:r>
            <w:r>
              <w:rPr>
                <w:b w:val="0"/>
                <w:i/>
                <w:strike w:val="0"/>
                <w:color w:val="C55A11"/>
                <w:sz w:val="16"/>
              </w:rPr>
              <w:t xml:space="preserve"> [Sosinna's Drive comment]</w:t>
            </w:r>
            <w:r>
              <w:rPr>
                <w:b w:val="0"/>
                <w:i w:val="0"/>
                <w:strike w:val="0"/>
              </w:rPr>
              <w:t xml:space="preserve"> </w:t>
            </w:r>
            <w:r>
              <w:br/>
            </w:r>
            <w:r>
              <w:rPr>
                <w:b w:val="0"/>
                <w:i w:val="0"/>
                <w:strike w:val="0"/>
              </w:rPr>
              <w:t xml:space="preserve"> </w:t>
            </w:r>
            <w:r>
              <w:rPr>
                <w:b/>
                <w:i/>
                <w:strike w:val="0"/>
                <w:color w:val="7030A0"/>
              </w:rPr>
              <w:t>v5.0 RESOLVED: nothing auto-moves to Ongoing. An item leaves the pool only when the CCO assigns it to a tester with a scope period (FR-78, FR-79, FR-80). The unassigned-pool alert in Section 12 covers the neglect case.</w:t>
            </w:r>
            <w:r>
              <w:rPr>
                <w:b w:val="0"/>
                <w:i w:val="0"/>
                <w:strike w:val="0"/>
              </w:rPr>
              <w:t xml:space="preserve"> </w:t>
            </w:r>
            <w:r>
              <w:rPr>
                <w:b w:val="0"/>
                <w:i/>
                <w:strike w:val="0"/>
                <w:color w:val="7030A0"/>
                <w:sz w:val="16"/>
              </w:rPr>
              <w:t xml:space="preserve"> [Aug 2026 client MOM]</w:t>
            </w:r>
          </w:p>
        </w:tc>
        <w:tc>
          <w:tcPr>
            <w:tcW w:type="dxa" w:w="2160"/>
          </w:tcPr>
          <w:p>
            <w:r/>
            <w:r>
              <w:rPr>
                <w:b/>
                <w:i/>
                <w:strike w:val="0"/>
                <w:color w:val="7030A0"/>
              </w:rPr>
              <w:t>Resolved</w:t>
            </w:r>
            <w:r>
              <w:rPr>
                <w:b w:val="0"/>
                <w:i w:val="0"/>
                <w:strike w:val="0"/>
              </w:rPr>
              <w:t xml:space="preserve"> </w:t>
            </w:r>
            <w:r>
              <w:rPr>
                <w:b w:val="0"/>
                <w:i/>
                <w:strike w:val="0"/>
                <w:color w:val="7030A0"/>
                <w:sz w:val="16"/>
              </w:rPr>
              <w:t xml:space="preserve"> [Aug 2026 client MOM]</w:t>
            </w:r>
          </w:p>
        </w:tc>
      </w:tr>
      <w:tr>
        <w:tc>
          <w:tcPr>
            <w:tcW w:type="dxa" w:w="2160"/>
          </w:tcPr>
          <w:p>
            <w:r/>
            <w:r>
              <w:rPr>
                <w:b w:val="0"/>
                <w:i w:val="0"/>
                <w:strike w:val="0"/>
              </w:rPr>
              <w:t>GAP-05</w:t>
            </w:r>
          </w:p>
        </w:tc>
        <w:tc>
          <w:tcPr>
            <w:tcW w:type="dxa" w:w="2160"/>
          </w:tcPr>
          <w:p>
            <w:r/>
            <w:r>
              <w:rPr>
                <w:b w:val="0"/>
                <w:i w:val="0"/>
                <w:strike w:val="0"/>
              </w:rPr>
              <w:t>Testing — Execution</w:t>
            </w:r>
          </w:p>
        </w:tc>
        <w:tc>
          <w:tcPr>
            <w:tcW w:type="dxa" w:w="2160"/>
          </w:tcPr>
          <w:p>
            <w:r/>
            <w:r>
              <w:rPr>
                <w:b w:val="0"/>
                <w:i w:val="0"/>
                <w:strike w:val="0"/>
              </w:rPr>
              <w:t xml:space="preserve">✏ Can other team members see an in-progress test, or is it locked to the Lead Tester until submitted? </w:t>
            </w:r>
            <w:r>
              <w:br/>
            </w:r>
            <w:r>
              <w:rPr>
                <w:b w:val="0"/>
                <w:i w:val="0"/>
                <w:strike w:val="0"/>
              </w:rPr>
              <w:t xml:space="preserve"> </w:t>
            </w:r>
            <w:r>
              <w:rPr>
                <w:b/>
                <w:i w:val="0"/>
                <w:strike w:val="0"/>
              </w:rPr>
              <w:t>💬 RESOLVED:</w:t>
            </w:r>
            <w:r>
              <w:rPr>
                <w:b w:val="0"/>
                <w:i w:val="0"/>
                <w:strike w:val="0"/>
              </w:rPr>
              <w:t xml:space="preserve"> </w:t>
            </w:r>
            <w:r>
              <w:rPr>
                <w:b w:val="0"/>
                <w:i/>
                <w:strike w:val="0"/>
                <w:color w:val="C55A11"/>
              </w:rPr>
              <w:t>accessible to those assigned; each new contribution versions the record and is tagged to the contributor. Non-assigned users get view-only, and only senior personnel with entitlements can view at all.</w:t>
            </w:r>
            <w:r>
              <w:rPr>
                <w:b w:val="0"/>
                <w:i w:val="0"/>
                <w:strike w:val="0"/>
              </w:rPr>
              <w:t xml:space="preserve"> </w:t>
            </w:r>
            <w:r>
              <w:rPr>
                <w:b w:val="0"/>
                <w:i/>
                <w:strike w:val="0"/>
                <w:color w:val="C55A11"/>
                <w:sz w:val="16"/>
              </w:rPr>
              <w:t xml:space="preserve"> [Sosinna's Drive comment]</w:t>
            </w:r>
          </w:p>
        </w:tc>
        <w:tc>
          <w:tcPr>
            <w:tcW w:type="dxa" w:w="2160"/>
          </w:tcPr>
          <w:p>
            <w:r/>
            <w:r>
              <w:rPr>
                <w:b w:val="0"/>
                <w:i w:val="0"/>
                <w:strike w:val="0"/>
              </w:rPr>
              <w:t>Resolved</w:t>
            </w:r>
          </w:p>
        </w:tc>
      </w:tr>
      <w:tr>
        <w:tc>
          <w:tcPr>
            <w:tcW w:type="dxa" w:w="2160"/>
          </w:tcPr>
          <w:p>
            <w:r/>
            <w:r>
              <w:rPr>
                <w:b w:val="0"/>
                <w:i w:val="0"/>
                <w:strike w:val="0"/>
              </w:rPr>
              <w:t>GAP-06</w:t>
            </w:r>
          </w:p>
        </w:tc>
        <w:tc>
          <w:tcPr>
            <w:tcW w:type="dxa" w:w="2160"/>
          </w:tcPr>
          <w:p>
            <w:r/>
            <w:r>
              <w:rPr>
                <w:b w:val="0"/>
                <w:i w:val="0"/>
                <w:strike w:val="0"/>
              </w:rPr>
              <w:t>Testing — Remediation</w:t>
            </w:r>
          </w:p>
        </w:tc>
        <w:tc>
          <w:tcPr>
            <w:tcW w:type="dxa" w:w="2160"/>
          </w:tcPr>
          <w:p>
            <w:r/>
            <w:r>
              <w:rPr>
                <w:b w:val="0"/>
                <w:i w:val="0"/>
                <w:strike w:val="0"/>
              </w:rPr>
              <w:t xml:space="preserve">⚠ Who drafts the remediation plan (Lead Tester or CCO)? Can a Remediation Owner be assigned before CCO approval? Can the CCO edit the plan during review? </w:t>
            </w:r>
            <w:r>
              <w:br/>
            </w:r>
            <w:r>
              <w:rPr>
                <w:b w:val="0"/>
                <w:i w:val="0"/>
                <w:strike w:val="0"/>
              </w:rPr>
              <w:t xml:space="preserve"> </w:t>
            </w:r>
            <w:r>
              <w:rPr>
                <w:b/>
                <w:i w:val="0"/>
                <w:strike w:val="0"/>
              </w:rPr>
              <w:t>💬 Mostly resolved:</w:t>
            </w:r>
            <w:r>
              <w:rPr>
                <w:b w:val="0"/>
                <w:i w:val="0"/>
                <w:strike w:val="0"/>
              </w:rPr>
              <w:t xml:space="preserve"> </w:t>
            </w:r>
            <w:r>
              <w:rPr>
                <w:b w:val="0"/>
                <w:i/>
                <w:strike w:val="0"/>
                <w:color w:val="C55A11"/>
              </w:rPr>
              <w:t>findings are communicated to control owners and management first; once consensus is reached, the plan is documented with a timeline. An owner and approver are assigned — the firm can assign a responsible group, and the CCO plus one or two others must approve. Still open: whether a Remediation Owner can be assigned pre-CCO-approval, and what happens to that assignment if the CCO rejects the test.</w:t>
            </w:r>
            <w:r>
              <w:rPr>
                <w:b w:val="0"/>
                <w:i w:val="0"/>
                <w:strike w:val="0"/>
              </w:rPr>
              <w:t xml:space="preserve"> </w:t>
            </w:r>
            <w:r>
              <w:rPr>
                <w:b w:val="0"/>
                <w:i/>
                <w:strike w:val="0"/>
                <w:color w:val="C55A11"/>
                <w:sz w:val="16"/>
              </w:rPr>
              <w:t xml:space="preserve"> [Sosinna's Drive comment]</w:t>
            </w:r>
            <w:r>
              <w:rPr>
                <w:b w:val="0"/>
                <w:i w:val="0"/>
                <w:strike w:val="0"/>
              </w:rPr>
              <w:t xml:space="preserve"> </w:t>
            </w:r>
            <w:r>
              <w:br/>
            </w:r>
            <w:r>
              <w:rPr>
                <w:b w:val="0"/>
                <w:i w:val="0"/>
                <w:strike w:val="0"/>
              </w:rPr>
              <w:t xml:space="preserve"> </w:t>
            </w:r>
            <w:r>
              <w:rPr>
                <w:b/>
                <w:i/>
                <w:strike w:val="0"/>
                <w:color w:val="CC00CC"/>
              </w:rPr>
              <w:t>v8.0 update: FR-136 answers the "who assigns" part — only the CCO can assign a remediation owner, and assignment is one of the CCO's three review outcomes, which also settles the pre-approval question (assignment happens at review, not before). What FR-136 opens instead is the test-level vs. per-milestone ownership model — see GAP-21.</w:t>
            </w:r>
            <w:r>
              <w:rPr>
                <w:b w:val="0"/>
                <w:i w:val="0"/>
                <w:strike w:val="0"/>
              </w:rPr>
              <w:t xml:space="preserve"> </w:t>
            </w:r>
            <w:r>
              <w:rPr>
                <w:b w:val="0"/>
                <w:i/>
                <w:strike w:val="0"/>
                <w:color w:val="CC00CC"/>
                <w:sz w:val="16"/>
              </w:rPr>
              <w:t xml:space="preserve"> [14 Aug 2026 MOM]</w:t>
            </w:r>
          </w:p>
        </w:tc>
        <w:tc>
          <w:tcPr>
            <w:tcW w:type="dxa" w:w="2160"/>
          </w:tcPr>
          <w:p>
            <w:r/>
            <w:r>
              <w:rPr>
                <w:b/>
                <w:i/>
                <w:strike w:val="0"/>
                <w:color w:val="CC00CC"/>
              </w:rPr>
              <w:t>Mostly resolved — remainder folded into GAP-21</w:t>
            </w:r>
            <w:r>
              <w:rPr>
                <w:b w:val="0"/>
                <w:i w:val="0"/>
                <w:strike w:val="0"/>
              </w:rPr>
              <w:t xml:space="preserve"> </w:t>
            </w:r>
            <w:r>
              <w:rPr>
                <w:b w:val="0"/>
                <w:i/>
                <w:strike w:val="0"/>
                <w:color w:val="CC00CC"/>
                <w:sz w:val="16"/>
              </w:rPr>
              <w:t xml:space="preserve"> [14 Aug 2026 MOM]</w:t>
            </w:r>
          </w:p>
        </w:tc>
      </w:tr>
      <w:tr>
        <w:tc>
          <w:tcPr>
            <w:tcW w:type="dxa" w:w="2160"/>
          </w:tcPr>
          <w:p>
            <w:r/>
            <w:r>
              <w:rPr>
                <w:b w:val="0"/>
                <w:i w:val="0"/>
                <w:strike w:val="0"/>
              </w:rPr>
              <w:t>GAP-07</w:t>
            </w:r>
          </w:p>
        </w:tc>
        <w:tc>
          <w:tcPr>
            <w:tcW w:type="dxa" w:w="2160"/>
          </w:tcPr>
          <w:p>
            <w:r/>
            <w:r>
              <w:rPr>
                <w:b w:val="0"/>
                <w:i w:val="0"/>
                <w:strike w:val="0"/>
              </w:rPr>
              <w:t>Testing — Remediation</w:t>
            </w:r>
          </w:p>
        </w:tc>
        <w:tc>
          <w:tcPr>
            <w:tcW w:type="dxa" w:w="2160"/>
          </w:tcPr>
          <w:p>
            <w:r/>
            <w:r>
              <w:rPr>
                <w:b w:val="0"/>
                <w:i w:val="0"/>
                <w:strike w:val="0"/>
              </w:rPr>
              <w:t xml:space="preserve">✏ Does the Remediation Owner see the full Finding and risk rating, or only their own task? </w:t>
            </w:r>
            <w:r>
              <w:br/>
            </w:r>
            <w:r>
              <w:rPr>
                <w:b w:val="0"/>
                <w:i w:val="0"/>
                <w:strike w:val="0"/>
              </w:rPr>
              <w:t xml:space="preserve"> </w:t>
            </w:r>
            <w:r>
              <w:rPr>
                <w:b/>
                <w:i w:val="0"/>
                <w:strike w:val="0"/>
              </w:rPr>
              <w:t>💬 RESOLVED (widens FR-52 — see flag in Section 9.1):</w:t>
            </w:r>
            <w:r>
              <w:rPr>
                <w:b w:val="0"/>
                <w:i w:val="0"/>
                <w:strike w:val="0"/>
              </w:rPr>
              <w:t xml:space="preserve"> </w:t>
            </w:r>
            <w:r>
              <w:rPr>
                <w:b w:val="0"/>
                <w:i/>
                <w:strike w:val="0"/>
                <w:color w:val="C55A11"/>
              </w:rPr>
              <w:t>view access to everything, not just their own item. Audit trail maintained in case records are deleted. Evidence of completion must be provided back to testers for validation.</w:t>
            </w:r>
            <w:r>
              <w:rPr>
                <w:b w:val="0"/>
                <w:i w:val="0"/>
                <w:strike w:val="0"/>
              </w:rPr>
              <w:t xml:space="preserve"> </w:t>
            </w:r>
            <w:r>
              <w:rPr>
                <w:b w:val="0"/>
                <w:i/>
                <w:strike w:val="0"/>
                <w:color w:val="C55A11"/>
                <w:sz w:val="16"/>
              </w:rPr>
              <w:t xml:space="preserve"> [Sosinna's Drive comment]</w:t>
            </w:r>
          </w:p>
        </w:tc>
        <w:tc>
          <w:tcPr>
            <w:tcW w:type="dxa" w:w="2160"/>
          </w:tcPr>
          <w:p>
            <w:r/>
            <w:r>
              <w:rPr>
                <w:b w:val="0"/>
                <w:i w:val="0"/>
                <w:strike w:val="0"/>
              </w:rPr>
              <w:t>Resolved — but creates a contradiction, see Section 9.1</w:t>
            </w:r>
          </w:p>
        </w:tc>
      </w:tr>
      <w:tr>
        <w:tc>
          <w:tcPr>
            <w:tcW w:type="dxa" w:w="2160"/>
          </w:tcPr>
          <w:p>
            <w:r/>
            <w:r>
              <w:rPr>
                <w:b w:val="0"/>
                <w:i w:val="0"/>
                <w:strike w:val="0"/>
              </w:rPr>
              <w:t>GAP-08</w:t>
            </w:r>
          </w:p>
        </w:tc>
        <w:tc>
          <w:tcPr>
            <w:tcW w:type="dxa" w:w="2160"/>
          </w:tcPr>
          <w:p>
            <w:r/>
            <w:r>
              <w:rPr>
                <w:b w:val="0"/>
                <w:i w:val="0"/>
                <w:strike w:val="0"/>
              </w:rPr>
              <w:t>Testing — Remediation</w:t>
            </w:r>
          </w:p>
        </w:tc>
        <w:tc>
          <w:tcPr>
            <w:tcW w:type="dxa" w:w="2160"/>
          </w:tcPr>
          <w:p>
            <w:r/>
            <w:r>
              <w:rPr>
                <w:b w:val="0"/>
                <w:i w:val="0"/>
                <w:strike w:val="0"/>
              </w:rPr>
              <w:t xml:space="preserve">✏ Is there a formal extension request flow for missed deadlines, and what happens if a Remediation Owner is deactivated mid-task? </w:t>
            </w:r>
            <w:r>
              <w:br/>
            </w:r>
            <w:r>
              <w:rPr>
                <w:b w:val="0"/>
                <w:i w:val="0"/>
                <w:strike w:val="0"/>
              </w:rPr>
              <w:t xml:space="preserve"> </w:t>
            </w:r>
            <w:r>
              <w:rPr>
                <w:b/>
                <w:i w:val="0"/>
                <w:strike w:val="0"/>
              </w:rPr>
              <w:t>💬 RESOLVED:</w:t>
            </w:r>
            <w:r>
              <w:rPr>
                <w:b w:val="0"/>
                <w:i w:val="0"/>
                <w:strike w:val="0"/>
              </w:rPr>
              <w:t xml:space="preserve"> </w:t>
            </w:r>
            <w:r>
              <w:rPr>
                <w:b w:val="0"/>
                <w:i/>
                <w:strike w:val="0"/>
                <w:color w:val="C55A11"/>
              </w:rPr>
              <w:t>missed deadline requires documentation and can be manually extended by the CCO or one other Senior role, with a forced written justification field. Missed deadlines trigger reassignment of the owner/task.</w:t>
            </w:r>
            <w:r>
              <w:rPr>
                <w:b w:val="0"/>
                <w:i w:val="0"/>
                <w:strike w:val="0"/>
              </w:rPr>
              <w:t xml:space="preserve"> </w:t>
            </w:r>
            <w:r>
              <w:rPr>
                <w:b w:val="0"/>
                <w:i/>
                <w:strike w:val="0"/>
                <w:color w:val="C55A11"/>
                <w:sz w:val="16"/>
              </w:rPr>
              <w:t xml:space="preserve"> [Sosinna's Drive comment]</w:t>
            </w:r>
          </w:p>
        </w:tc>
        <w:tc>
          <w:tcPr>
            <w:tcW w:type="dxa" w:w="2160"/>
          </w:tcPr>
          <w:p>
            <w:r/>
            <w:r>
              <w:rPr>
                <w:b w:val="0"/>
                <w:i w:val="0"/>
                <w:strike w:val="0"/>
              </w:rPr>
              <w:t>Resolved</w:t>
            </w:r>
          </w:p>
        </w:tc>
      </w:tr>
      <w:tr>
        <w:tc>
          <w:tcPr>
            <w:tcW w:type="dxa" w:w="2160"/>
          </w:tcPr>
          <w:p>
            <w:r/>
            <w:r>
              <w:rPr>
                <w:b w:val="0"/>
                <w:i w:val="0"/>
                <w:strike w:val="0"/>
              </w:rPr>
              <w:t>GAP-09</w:t>
            </w:r>
          </w:p>
        </w:tc>
        <w:tc>
          <w:tcPr>
            <w:tcW w:type="dxa" w:w="2160"/>
          </w:tcPr>
          <w:p>
            <w:r/>
            <w:r>
              <w:rPr>
                <w:b w:val="0"/>
                <w:i w:val="0"/>
                <w:strike w:val="0"/>
              </w:rPr>
              <w:t>WSP</w:t>
            </w:r>
          </w:p>
        </w:tc>
        <w:tc>
          <w:tcPr>
            <w:tcW w:type="dxa" w:w="2160"/>
          </w:tcPr>
          <w:p>
            <w:r/>
            <w:r>
              <w:rPr>
                <w:b w:val="0"/>
                <w:i w:val="0"/>
                <w:strike w:val="0"/>
              </w:rPr>
              <w:t xml:space="preserve">✏ Who can initiate a mapping override — CCO only, or any Compliance Officer with CCO approval? </w:t>
            </w:r>
            <w:r>
              <w:br/>
            </w:r>
            <w:r>
              <w:rPr>
                <w:b w:val="0"/>
                <w:i w:val="0"/>
                <w:strike w:val="0"/>
              </w:rPr>
              <w:t xml:space="preserve"> </w:t>
            </w:r>
            <w:r>
              <w:rPr>
                <w:b/>
                <w:i w:val="0"/>
                <w:strike w:val="0"/>
              </w:rPr>
              <w:t>💬 Partial answer:</w:t>
            </w:r>
            <w:r>
              <w:rPr>
                <w:b w:val="0"/>
                <w:i w:val="0"/>
                <w:strike w:val="0"/>
              </w:rPr>
              <w:t xml:space="preserve"> </w:t>
            </w:r>
            <w:r>
              <w:rPr>
                <w:b w:val="0"/>
                <w:i/>
                <w:strike w:val="0"/>
                <w:color w:val="C55A11"/>
              </w:rPr>
              <w:t>mapping should re-run automatically on a new WSP upload; manual overrides are allowed but must carry a visible manual-change tag. Doesn't specify who is allowed to initiate an override.</w:t>
            </w:r>
            <w:r>
              <w:rPr>
                <w:b w:val="0"/>
                <w:i w:val="0"/>
                <w:strike w:val="0"/>
              </w:rPr>
              <w:t xml:space="preserve"> </w:t>
            </w:r>
            <w:r>
              <w:rPr>
                <w:b w:val="0"/>
                <w:i/>
                <w:strike w:val="0"/>
                <w:color w:val="C55A11"/>
                <w:sz w:val="16"/>
              </w:rPr>
              <w:t xml:space="preserve"> [Sosinna's Drive comment]</w:t>
            </w:r>
          </w:p>
        </w:tc>
        <w:tc>
          <w:tcPr>
            <w:tcW w:type="dxa" w:w="2160"/>
          </w:tcPr>
          <w:p>
            <w:r/>
            <w:r>
              <w:rPr>
                <w:b w:val="0"/>
                <w:i w:val="0"/>
                <w:strike w:val="0"/>
              </w:rPr>
              <w:t>Still partially open</w:t>
            </w:r>
          </w:p>
        </w:tc>
      </w:tr>
      <w:tr>
        <w:tc>
          <w:tcPr>
            <w:tcW w:type="dxa" w:w="2160"/>
          </w:tcPr>
          <w:p>
            <w:r/>
            <w:r>
              <w:rPr>
                <w:b w:val="0"/>
                <w:i w:val="0"/>
                <w:strike w:val="0"/>
              </w:rPr>
              <w:t>GAP-10</w:t>
            </w:r>
          </w:p>
        </w:tc>
        <w:tc>
          <w:tcPr>
            <w:tcW w:type="dxa" w:w="2160"/>
          </w:tcPr>
          <w:p>
            <w:r/>
            <w:r>
              <w:rPr>
                <w:b w:val="0"/>
                <w:i w:val="0"/>
                <w:strike w:val="0"/>
              </w:rPr>
              <w:t>Regulatory Updates</w:t>
            </w:r>
          </w:p>
        </w:tc>
        <w:tc>
          <w:tcPr>
            <w:tcW w:type="dxa" w:w="2160"/>
          </w:tcPr>
          <w:p>
            <w:r/>
            <w:r>
              <w:rPr>
                <w:b w:val="0"/>
                <w:i w:val="0"/>
                <w:strike w:val="0"/>
              </w:rPr>
              <w:t>✏ When a regulation update is published mid-test, does the Lead Tester see a dismissable banner or a persistent notice? Does the system record which rule version the test was run under?</w:t>
            </w:r>
          </w:p>
        </w:tc>
        <w:tc>
          <w:tcPr>
            <w:tcW w:type="dxa" w:w="2160"/>
          </w:tcPr>
          <w:p>
            <w:r/>
            <w:r>
              <w:rPr>
                <w:b w:val="0"/>
                <w:i w:val="0"/>
                <w:strike w:val="0"/>
              </w:rPr>
              <w:t>Still open</w:t>
            </w:r>
          </w:p>
        </w:tc>
      </w:tr>
      <w:tr>
        <w:tc>
          <w:tcPr>
            <w:tcW w:type="dxa" w:w="2160"/>
          </w:tcPr>
          <w:p>
            <w:r/>
            <w:r>
              <w:rPr>
                <w:b w:val="0"/>
                <w:i w:val="0"/>
                <w:strike w:val="0"/>
              </w:rPr>
              <w:t>GAP-11</w:t>
            </w:r>
          </w:p>
        </w:tc>
        <w:tc>
          <w:tcPr>
            <w:tcW w:type="dxa" w:w="2160"/>
          </w:tcPr>
          <w:p>
            <w:r/>
            <w:r>
              <w:rPr>
                <w:b w:val="0"/>
                <w:i w:val="0"/>
                <w:strike w:val="0"/>
              </w:rPr>
              <w:t>User Management</w:t>
            </w:r>
          </w:p>
        </w:tc>
        <w:tc>
          <w:tcPr>
            <w:tcW w:type="dxa" w:w="2160"/>
          </w:tcPr>
          <w:p>
            <w:r/>
            <w:r>
              <w:rPr>
                <w:b w:val="0"/>
                <w:i w:val="0"/>
                <w:strike w:val="0"/>
              </w:rPr>
              <w:t xml:space="preserve">✏ When a user is deactivated, does the platform prompt the CCO to reassign their open items, or leave reassignment as a manual task? </w:t>
            </w:r>
            <w:r>
              <w:br/>
            </w:r>
            <w:r>
              <w:rPr>
                <w:b w:val="0"/>
                <w:i w:val="0"/>
                <w:strike w:val="0"/>
              </w:rPr>
              <w:t xml:space="preserve"> </w:t>
            </w:r>
            <w:r>
              <w:rPr>
                <w:b/>
                <w:i w:val="0"/>
                <w:strike w:val="0"/>
              </w:rPr>
              <w:t>💬 Partial answer:</w:t>
            </w:r>
            <w:r>
              <w:rPr>
                <w:b w:val="0"/>
                <w:i w:val="0"/>
                <w:strike w:val="0"/>
              </w:rPr>
              <w:t xml:space="preserve"> </w:t>
            </w:r>
            <w:r>
              <w:rPr>
                <w:b w:val="0"/>
                <w:i/>
                <w:strike w:val="0"/>
                <w:color w:val="C55A11"/>
              </w:rPr>
              <w:t>any reassignment must be documented with reasoning (e.g. termination, transfer) and kept in an immutable audit trail. Doesn't specify whether the platform force-prompts reassignment or leaves it manual.</w:t>
            </w:r>
            <w:r>
              <w:rPr>
                <w:b w:val="0"/>
                <w:i w:val="0"/>
                <w:strike w:val="0"/>
              </w:rPr>
              <w:t xml:space="preserve"> </w:t>
            </w:r>
            <w:r>
              <w:rPr>
                <w:b w:val="0"/>
                <w:i/>
                <w:strike w:val="0"/>
                <w:color w:val="C55A11"/>
                <w:sz w:val="16"/>
              </w:rPr>
              <w:t xml:space="preserve"> [Sosinna's Drive comment]</w:t>
            </w:r>
          </w:p>
        </w:tc>
        <w:tc>
          <w:tcPr>
            <w:tcW w:type="dxa" w:w="2160"/>
          </w:tcPr>
          <w:p>
            <w:r/>
            <w:r>
              <w:rPr>
                <w:b w:val="0"/>
                <w:i w:val="0"/>
                <w:strike w:val="0"/>
              </w:rPr>
              <w:t>Still partially open</w:t>
            </w:r>
          </w:p>
        </w:tc>
      </w:tr>
      <w:tr>
        <w:tc>
          <w:tcPr>
            <w:tcW w:type="dxa" w:w="2160"/>
          </w:tcPr>
          <w:p>
            <w:r/>
            <w:r>
              <w:rPr>
                <w:b/>
                <w:i/>
                <w:strike w:val="0"/>
              </w:rPr>
              <w:t>GAP-12</w:t>
            </w:r>
          </w:p>
        </w:tc>
        <w:tc>
          <w:tcPr>
            <w:tcW w:type="dxa" w:w="2160"/>
          </w:tcPr>
          <w:p>
            <w:r/>
            <w:r>
              <w:rPr>
                <w:b/>
                <w:i/>
                <w:strike w:val="0"/>
              </w:rPr>
              <w:t>Testing — Evidence</w:t>
            </w:r>
          </w:p>
        </w:tc>
        <w:tc>
          <w:tcPr>
            <w:tcW w:type="dxa" w:w="2160"/>
          </w:tcPr>
          <w:p>
            <w:r/>
            <w:r>
              <w:rPr>
                <w:b/>
                <w:i/>
                <w:strike w:val="0"/>
                <w:color w:val="7030A0"/>
              </w:rPr>
              <w:t>⚠ FR-25 already provides an exportable document checklist the Lead Tester shares with IT, Finance, or Legal. The v5.0 request register (Section 7.4) covers the same ground with dates, statuses, and verification. It is not defined whether the register replaces that checklist or whether the checklist survives as the offline/PDF form of the register. Building both as separate features would be duplicated scope.</w:t>
            </w:r>
            <w:r>
              <w:rPr>
                <w:b w:val="0"/>
                <w:i w:val="0"/>
                <w:strike w:val="0"/>
              </w:rPr>
              <w:t xml:space="preserve"> </w:t>
            </w:r>
            <w:r>
              <w:rPr>
                <w:b w:val="0"/>
                <w:i/>
                <w:strike w:val="0"/>
                <w:color w:val="7030A0"/>
                <w:sz w:val="16"/>
              </w:rPr>
              <w:t xml:space="preserve"> [Aug 2026 client MOM]</w:t>
            </w:r>
          </w:p>
        </w:tc>
        <w:tc>
          <w:tcPr>
            <w:tcW w:type="dxa" w:w="2160"/>
          </w:tcPr>
          <w:p>
            <w:r/>
            <w:r>
              <w:rPr>
                <w:b/>
                <w:i/>
                <w:strike w:val="0"/>
              </w:rPr>
              <w:t>New in v5.0 — open</w:t>
            </w:r>
          </w:p>
        </w:tc>
      </w:tr>
      <w:tr>
        <w:tc>
          <w:tcPr>
            <w:tcW w:type="dxa" w:w="2160"/>
          </w:tcPr>
          <w:p>
            <w:r/>
            <w:r>
              <w:rPr>
                <w:b/>
                <w:i/>
                <w:strike w:val="0"/>
              </w:rPr>
              <w:t>GAP-13</w:t>
            </w:r>
          </w:p>
        </w:tc>
        <w:tc>
          <w:tcPr>
            <w:tcW w:type="dxa" w:w="2160"/>
          </w:tcPr>
          <w:p>
            <w:r/>
            <w:r>
              <w:rPr>
                <w:b/>
                <w:i/>
                <w:strike w:val="0"/>
              </w:rPr>
              <w:t>Testing — Evidence</w:t>
            </w:r>
          </w:p>
        </w:tc>
        <w:tc>
          <w:tcPr>
            <w:tcW w:type="dxa" w:w="2160"/>
          </w:tcPr>
          <w:p>
            <w:r/>
            <w:r>
              <w:rPr>
                <w:b/>
                <w:i/>
                <w:strike w:val="0"/>
                <w:color w:val="7030A0"/>
              </w:rPr>
              <w:t>⚠ Business-side uploads enter the platform before a tester has looked at them (FR-88 to FR-91). GAP-05 established that non-assigned users get view-only and that only entitled senior personnel can view a test at all. It is not defined who can see a business-side upload between receipt and verification, or whether an unverified upload appears on the test record at all. Touches the request workflow, the test record, and the audit trail.</w:t>
            </w:r>
            <w:r>
              <w:rPr>
                <w:b w:val="0"/>
                <w:i w:val="0"/>
                <w:strike w:val="0"/>
              </w:rPr>
              <w:t xml:space="preserve"> </w:t>
            </w:r>
            <w:r>
              <w:rPr>
                <w:b w:val="0"/>
                <w:i/>
                <w:strike w:val="0"/>
                <w:color w:val="7030A0"/>
                <w:sz w:val="16"/>
              </w:rPr>
              <w:t xml:space="preserve"> [Aug 2026 client MOM]</w:t>
            </w:r>
          </w:p>
        </w:tc>
        <w:tc>
          <w:tcPr>
            <w:tcW w:type="dxa" w:w="2160"/>
          </w:tcPr>
          <w:p>
            <w:r/>
            <w:r>
              <w:rPr>
                <w:b/>
                <w:i/>
                <w:strike w:val="0"/>
              </w:rPr>
              <w:t>New in v5.0 — open</w:t>
            </w:r>
          </w:p>
        </w:tc>
      </w:tr>
      <w:tr>
        <w:tc>
          <w:tcPr>
            <w:tcW w:type="dxa" w:w="2160"/>
          </w:tcPr>
          <w:p>
            <w:r/>
            <w:r>
              <w:rPr>
                <w:b/>
                <w:i/>
                <w:strike w:val="0"/>
              </w:rPr>
              <w:t>GAP-14</w:t>
            </w:r>
          </w:p>
        </w:tc>
        <w:tc>
          <w:tcPr>
            <w:tcW w:type="dxa" w:w="2160"/>
          </w:tcPr>
          <w:p>
            <w:r/>
            <w:r>
              <w:rPr>
                <w:b/>
                <w:i/>
                <w:strike w:val="0"/>
              </w:rPr>
              <w:t>Testing — Scheduling</w:t>
            </w:r>
          </w:p>
        </w:tc>
        <w:tc>
          <w:tcPr>
            <w:tcW w:type="dxa" w:w="2160"/>
          </w:tcPr>
          <w:p>
            <w:r/>
            <w:r>
              <w:rPr>
                <w:b/>
                <w:i/>
                <w:strike w:val="0"/>
                <w:color w:val="7030A0"/>
              </w:rPr>
              <w:t>✏ Under the pool model the CCO assigns items one at a time. For a firm with a large test set that is a lot of manual work each period. It is not defined whether bulk assignment, saved assignment patterns, or carry-forward of the previous period's tester allocation is in scope — the stated goal was reducing UI clutter, not increasing CCO clicks.</w:t>
            </w:r>
            <w:r>
              <w:rPr>
                <w:b w:val="0"/>
                <w:i w:val="0"/>
                <w:strike w:val="0"/>
              </w:rPr>
              <w:t xml:space="preserve"> </w:t>
            </w:r>
            <w:r>
              <w:rPr>
                <w:b w:val="0"/>
                <w:i/>
                <w:strike w:val="0"/>
                <w:color w:val="7030A0"/>
                <w:sz w:val="16"/>
              </w:rPr>
              <w:t xml:space="preserve"> [Aug 2026 client MOM]</w:t>
            </w:r>
            <w:r>
              <w:rPr>
                <w:b w:val="0"/>
                <w:i w:val="0"/>
                <w:strike w:val="0"/>
              </w:rPr>
              <w:t xml:space="preserve"> </w:t>
            </w:r>
            <w:r>
              <w:br/>
            </w:r>
            <w:r>
              <w:rPr>
                <w:b w:val="0"/>
                <w:i w:val="0"/>
                <w:strike w:val="0"/>
              </w:rPr>
              <w:t xml:space="preserve"> </w:t>
            </w:r>
            <w:r>
              <w:rPr>
                <w:b/>
                <w:i/>
                <w:strike w:val="0"/>
                <w:color w:val="008080"/>
              </w:rPr>
              <w:t>v6.0 note: FR-106 fan-out makes this worse, not better — splitting one test across four testers multiplies the assignment actions. Resolve GAP-14 and GAP-15 together.</w:t>
            </w:r>
            <w:r>
              <w:rPr>
                <w:b w:val="0"/>
                <w:i w:val="0"/>
                <w:strike w:val="0"/>
              </w:rPr>
              <w:t xml:space="preserve"> </w:t>
            </w:r>
            <w:r>
              <w:rPr>
                <w:b w:val="0"/>
                <w:i/>
                <w:strike w:val="0"/>
                <w:color w:val="008080"/>
                <w:sz w:val="16"/>
              </w:rPr>
              <w:t xml:space="preserve"> [11 Aug 2026 MOM]</w:t>
            </w:r>
          </w:p>
        </w:tc>
        <w:tc>
          <w:tcPr>
            <w:tcW w:type="dxa" w:w="2160"/>
          </w:tcPr>
          <w:p>
            <w:r/>
            <w:r>
              <w:rPr>
                <w:b/>
                <w:i/>
                <w:strike w:val="0"/>
              </w:rPr>
              <w:t>New in v5.0 — open, widened in v6.0</w:t>
            </w:r>
          </w:p>
        </w:tc>
      </w:tr>
      <w:tr>
        <w:tc>
          <w:tcPr>
            <w:tcW w:type="dxa" w:w="2160"/>
          </w:tcPr>
          <w:p>
            <w:r/>
            <w:r>
              <w:rPr>
                <w:b/>
                <w:i/>
                <w:strike w:val="0"/>
              </w:rPr>
              <w:t>GAP-15</w:t>
            </w:r>
          </w:p>
        </w:tc>
        <w:tc>
          <w:tcPr>
            <w:tcW w:type="dxa" w:w="2160"/>
          </w:tcPr>
          <w:p>
            <w:r/>
            <w:r>
              <w:rPr>
                <w:b/>
                <w:i/>
                <w:strike w:val="0"/>
              </w:rPr>
              <w:t>Testing — Execution</w:t>
            </w:r>
          </w:p>
        </w:tc>
        <w:tc>
          <w:tcPr>
            <w:tcW w:type="dxa" w:w="2160"/>
          </w:tcPr>
          <w:p>
            <w:r/>
            <w:r>
              <w:rPr>
                <w:b/>
                <w:i/>
                <w:strike w:val="0"/>
                <w:color w:val="008080"/>
              </w:rPr>
              <w:t>⚠ FR-106 lets the CCO split one test across several testers by article. FR-21 says each test has exactly one Lead Tester who owns the formal result, and step 7 of Section 7.1 has that person record a single Pass / Fail / Observation. These cannot both hold. The workflow needs defining end to end: who records the result, what happens when one tester finishes their articles and another has not, whether a partially-complete test can be submitted, and how the AML sign-off in step 11 works when the AML-relevant articles were only one tester's share. Touches the test data model, the approval chain and the report.</w:t>
            </w:r>
            <w:r>
              <w:rPr>
                <w:b w:val="0"/>
                <w:i w:val="0"/>
                <w:strike w:val="0"/>
              </w:rPr>
              <w:t xml:space="preserve"> </w:t>
            </w:r>
            <w:r>
              <w:rPr>
                <w:b w:val="0"/>
                <w:i/>
                <w:strike w:val="0"/>
                <w:color w:val="008080"/>
                <w:sz w:val="16"/>
              </w:rPr>
              <w:t xml:space="preserve"> [11 Aug 2026 MOM]</w:t>
            </w:r>
          </w:p>
        </w:tc>
        <w:tc>
          <w:tcPr>
            <w:tcW w:type="dxa" w:w="2160"/>
          </w:tcPr>
          <w:p>
            <w:r/>
            <w:r>
              <w:rPr>
                <w:b/>
                <w:i/>
                <w:strike w:val="0"/>
              </w:rPr>
              <w:t>New in v6.0 — open, highest priority of the three</w:t>
            </w:r>
          </w:p>
        </w:tc>
      </w:tr>
      <w:tr>
        <w:tc>
          <w:tcPr>
            <w:tcW w:type="dxa" w:w="2160"/>
          </w:tcPr>
          <w:p>
            <w:r/>
            <w:r>
              <w:rPr>
                <w:b/>
                <w:i/>
                <w:strike w:val="0"/>
              </w:rPr>
              <w:t>GAP-16</w:t>
            </w:r>
          </w:p>
        </w:tc>
        <w:tc>
          <w:tcPr>
            <w:tcW w:type="dxa" w:w="2160"/>
          </w:tcPr>
          <w:p>
            <w:r/>
            <w:r>
              <w:rPr>
                <w:b/>
                <w:i/>
                <w:strike w:val="0"/>
              </w:rPr>
              <w:t>Testing — Evidence</w:t>
            </w:r>
          </w:p>
        </w:tc>
        <w:tc>
          <w:tcPr>
            <w:tcW w:type="dxa" w:w="2160"/>
          </w:tcPr>
          <w:p>
            <w:r/>
            <w:r>
              <w:rPr>
                <w:b/>
                <w:i/>
                <w:strike w:val="0"/>
                <w:color w:val="008080"/>
              </w:rPr>
              <w:t>⚠ The FR-111 request portal overlaps the FR-89 mismatch notification, the FR-84 supplementary request, and the EV-03 upload surface. Before the effort assessment the client asked for can be produced, it has to be decided what the portal is: a comment thread on an existing request item, or a separate destination with its own identity and inbox. The answer depends on EV-03 — a business owner with no login cannot hold a conversation in a place they cannot reach.</w:t>
            </w:r>
            <w:r>
              <w:rPr>
                <w:b w:val="0"/>
                <w:i w:val="0"/>
                <w:strike w:val="0"/>
              </w:rPr>
              <w:t xml:space="preserve"> </w:t>
            </w:r>
            <w:r>
              <w:rPr>
                <w:b w:val="0"/>
                <w:i/>
                <w:strike w:val="0"/>
                <w:color w:val="008080"/>
                <w:sz w:val="16"/>
              </w:rPr>
              <w:t xml:space="preserve"> [11 Aug 2026 MOM]</w:t>
            </w:r>
          </w:p>
        </w:tc>
        <w:tc>
          <w:tcPr>
            <w:tcW w:type="dxa" w:w="2160"/>
          </w:tcPr>
          <w:p>
            <w:r/>
            <w:r>
              <w:rPr>
                <w:b/>
                <w:i/>
                <w:strike w:val="0"/>
              </w:rPr>
              <w:t>New in v6.0 — open, blocks the EV-07 estimate</w:t>
            </w:r>
          </w:p>
        </w:tc>
      </w:tr>
      <w:tr>
        <w:tc>
          <w:tcPr>
            <w:tcW w:type="dxa" w:w="2160"/>
          </w:tcPr>
          <w:p>
            <w:r/>
            <w:r>
              <w:rPr>
                <w:b/>
                <w:i/>
                <w:strike w:val="0"/>
              </w:rPr>
              <w:t>GAP-17</w:t>
            </w:r>
          </w:p>
        </w:tc>
        <w:tc>
          <w:tcPr>
            <w:tcW w:type="dxa" w:w="2160"/>
          </w:tcPr>
          <w:p>
            <w:r/>
            <w:r>
              <w:rPr>
                <w:b/>
                <w:i/>
                <w:strike w:val="0"/>
              </w:rPr>
              <w:t>Testing / WSP</w:t>
            </w:r>
          </w:p>
        </w:tc>
        <w:tc>
          <w:tcPr>
            <w:tcW w:type="dxa" w:w="2160"/>
          </w:tcPr>
          <w:p>
            <w:r/>
            <w:r>
              <w:rPr>
                <w:b/>
                <w:i/>
                <w:strike w:val="0"/>
                <w:color w:val="008080"/>
              </w:rPr>
              <w:t>✏ FR-112 (gap identification against evidence, per test) and FR-34 (gap analysis of the WSP against Requirement IDs) both answer "where does this firm not meet the rules" and both rely on an article-to-policy mapping. It is not defined whether they share one mapping and one gap register with two views, or are built as two features. Building two is duplicated scope; merging them naively loses the distinction between a documentation gap and an evidence gap, which matters to the tester.</w:t>
            </w:r>
            <w:r>
              <w:rPr>
                <w:b w:val="0"/>
                <w:i w:val="0"/>
                <w:strike w:val="0"/>
              </w:rPr>
              <w:t xml:space="preserve"> </w:t>
            </w:r>
            <w:r>
              <w:rPr>
                <w:b w:val="0"/>
                <w:i/>
                <w:strike w:val="0"/>
                <w:color w:val="008080"/>
                <w:sz w:val="16"/>
              </w:rPr>
              <w:t xml:space="preserve"> [11 Aug 2026 MOM]</w:t>
            </w:r>
          </w:p>
        </w:tc>
        <w:tc>
          <w:tcPr>
            <w:tcW w:type="dxa" w:w="2160"/>
          </w:tcPr>
          <w:p>
            <w:r/>
            <w:r>
              <w:rPr>
                <w:b/>
                <w:i/>
                <w:strike w:val="0"/>
              </w:rPr>
              <w:t>New in v6.0 — open</w:t>
            </w:r>
          </w:p>
        </w:tc>
      </w:tr>
      <w:tr>
        <w:tc>
          <w:tcPr>
            <w:tcW w:type="dxa" w:w="2160"/>
          </w:tcPr>
          <w:p>
            <w:r/>
            <w:r>
              <w:rPr>
                <w:b/>
                <w:i/>
                <w:strike w:val="0"/>
              </w:rPr>
              <w:t>GAP-18</w:t>
            </w:r>
          </w:p>
        </w:tc>
        <w:tc>
          <w:tcPr>
            <w:tcW w:type="dxa" w:w="2160"/>
          </w:tcPr>
          <w:p>
            <w:r/>
            <w:r>
              <w:rPr>
                <w:b/>
                <w:i/>
                <w:strike w:val="0"/>
              </w:rPr>
              <w:t>Onboarding — Commercial</w:t>
            </w:r>
          </w:p>
        </w:tc>
        <w:tc>
          <w:tcPr>
            <w:tcW w:type="dxa" w:w="2160"/>
          </w:tcPr>
          <w:p>
            <w:r/>
            <w:r>
              <w:rPr>
                <w:b/>
                <w:i/>
                <w:strike w:val="0"/>
                <w:color w:val="843C0C"/>
              </w:rPr>
              <w:t>⚠ MKT-02 states the platform has no self-serve checkout and does not process payment; FR-123 has the firm paying in-platform before first login. These are reconcilable — the price is agreed offline and merely collected on screen — but the document must say so in one voice before it is signed as a baseline, because "no checkout" and "a checkout" are what a fixed-fee dispute is made of. Needs a single agreed statement of what is and is not self-serve.</w:t>
            </w:r>
            <w:r>
              <w:rPr>
                <w:b w:val="0"/>
                <w:i w:val="0"/>
                <w:strike w:val="0"/>
              </w:rPr>
              <w:t xml:space="preserve"> </w:t>
            </w:r>
            <w:r>
              <w:rPr>
                <w:b w:val="0"/>
                <w:i/>
                <w:strike w:val="0"/>
                <w:color w:val="843C0C"/>
                <w:sz w:val="16"/>
              </w:rPr>
              <w:t xml:space="preserve"> [Aug 2026 onboarding flow]</w:t>
            </w:r>
          </w:p>
        </w:tc>
        <w:tc>
          <w:tcPr>
            <w:tcW w:type="dxa" w:w="2160"/>
          </w:tcPr>
          <w:p>
            <w:r/>
            <w:r>
              <w:rPr>
                <w:b/>
                <w:i/>
                <w:strike w:val="0"/>
              </w:rPr>
              <w:t>New in v7.0 — open, resolve before signature</w:t>
            </w:r>
          </w:p>
        </w:tc>
      </w:tr>
      <w:tr>
        <w:tc>
          <w:tcPr>
            <w:tcW w:type="dxa" w:w="2160"/>
          </w:tcPr>
          <w:p>
            <w:r/>
            <w:r>
              <w:rPr>
                <w:b/>
                <w:i/>
                <w:strike w:val="0"/>
              </w:rPr>
              <w:t>GAP-19</w:t>
            </w:r>
          </w:p>
        </w:tc>
        <w:tc>
          <w:tcPr>
            <w:tcW w:type="dxa" w:w="2160"/>
          </w:tcPr>
          <w:p>
            <w:r/>
            <w:r>
              <w:rPr>
                <w:b/>
                <w:i/>
                <w:strike w:val="0"/>
              </w:rPr>
              <w:t>Onboarding — Commercial</w:t>
            </w:r>
          </w:p>
        </w:tc>
        <w:tc>
          <w:tcPr>
            <w:tcW w:type="dxa" w:w="2160"/>
          </w:tcPr>
          <w:p>
            <w:r/>
            <w:r>
              <w:rPr>
                <w:b/>
                <w:i/>
                <w:strike w:val="0"/>
                <w:color w:val="843C0C"/>
              </w:rPr>
              <w:t>⚠ CC-06 makes Synergy the reseller billing firms directly, while FR-123 collects payment through the platform. Undefined: whose merchant account receives the money, whose name is on the receipt, who issues the VAT invoice, who handles refunds and chargebacks, and who the firm contacts when payment fails. Each answer changes what gets built. Blocks the Section 5.7 estimate together with ON-01.</w:t>
            </w:r>
            <w:r>
              <w:rPr>
                <w:b w:val="0"/>
                <w:i w:val="0"/>
                <w:strike w:val="0"/>
              </w:rPr>
              <w:t xml:space="preserve"> </w:t>
            </w:r>
            <w:r>
              <w:rPr>
                <w:b w:val="0"/>
                <w:i/>
                <w:strike w:val="0"/>
                <w:color w:val="843C0C"/>
                <w:sz w:val="16"/>
              </w:rPr>
              <w:t xml:space="preserve"> [Aug 2026 onboarding flow]</w:t>
            </w:r>
          </w:p>
        </w:tc>
        <w:tc>
          <w:tcPr>
            <w:tcW w:type="dxa" w:w="2160"/>
          </w:tcPr>
          <w:p>
            <w:r/>
            <w:r>
              <w:rPr>
                <w:b/>
                <w:i/>
                <w:strike w:val="0"/>
              </w:rPr>
              <w:t>New in v7.0 — open, estimation blocker</w:t>
            </w:r>
          </w:p>
        </w:tc>
      </w:tr>
      <w:tr>
        <w:tc>
          <w:tcPr>
            <w:tcW w:type="dxa" w:w="2160"/>
          </w:tcPr>
          <w:p>
            <w:r/>
            <w:r>
              <w:rPr>
                <w:b/>
                <w:i/>
                <w:strike w:val="0"/>
              </w:rPr>
              <w:t>GAP-20</w:t>
            </w:r>
          </w:p>
        </w:tc>
        <w:tc>
          <w:tcPr>
            <w:tcW w:type="dxa" w:w="2160"/>
          </w:tcPr>
          <w:p>
            <w:r/>
            <w:r>
              <w:rPr>
                <w:b/>
                <w:i/>
                <w:strike w:val="0"/>
              </w:rPr>
              <w:t>Onboarding — Data</w:t>
            </w:r>
          </w:p>
        </w:tc>
        <w:tc>
          <w:tcPr>
            <w:tcW w:type="dxa" w:w="2160"/>
          </w:tcPr>
          <w:p>
            <w:r/>
            <w:r>
              <w:rPr>
                <w:b/>
                <w:i/>
                <w:strike w:val="0"/>
                <w:color w:val="843C0C"/>
              </w:rPr>
              <w:t>✏ An abandoned onboarding leaves real firm data in the platform — licence number, financial reports, staff names and reporting lines — for a firm that never became a client and never paid. Section 2 says the platform does not delete; GDPR data minimisation says do not keep what you do not need. Neither position was written with prospects in mind. Needs a retention and deletion rule specific to enquiries and incomplete onboardings, plus a decision on what a firm can ask to have erased. Tracked as ON-08.</w:t>
            </w:r>
            <w:r>
              <w:rPr>
                <w:b w:val="0"/>
                <w:i w:val="0"/>
                <w:strike w:val="0"/>
              </w:rPr>
              <w:t xml:space="preserve"> </w:t>
            </w:r>
            <w:r>
              <w:rPr>
                <w:b w:val="0"/>
                <w:i/>
                <w:strike w:val="0"/>
                <w:color w:val="843C0C"/>
                <w:sz w:val="16"/>
              </w:rPr>
              <w:t xml:space="preserve"> [Aug 2026 onboarding flow]</w:t>
            </w:r>
          </w:p>
        </w:tc>
        <w:tc>
          <w:tcPr>
            <w:tcW w:type="dxa" w:w="2160"/>
          </w:tcPr>
          <w:p>
            <w:r/>
            <w:r>
              <w:rPr>
                <w:b/>
                <w:i/>
                <w:strike w:val="0"/>
              </w:rPr>
              <w:t>New in v7.0 — open</w:t>
            </w:r>
          </w:p>
        </w:tc>
      </w:tr>
      <w:tr>
        <w:tc>
          <w:tcPr>
            <w:tcW w:type="dxa" w:w="2160"/>
          </w:tcPr>
          <w:p>
            <w:r/>
            <w:r>
              <w:rPr>
                <w:b/>
                <w:i/>
                <w:strike w:val="0"/>
              </w:rPr>
              <w:t>GAP-21</w:t>
            </w:r>
          </w:p>
        </w:tc>
        <w:tc>
          <w:tcPr>
            <w:tcW w:type="dxa" w:w="2160"/>
          </w:tcPr>
          <w:p>
            <w:r/>
            <w:r>
              <w:rPr>
                <w:b/>
                <w:i/>
                <w:strike w:val="0"/>
              </w:rPr>
              <w:t>Testing — Remediation</w:t>
            </w:r>
          </w:p>
        </w:tc>
        <w:tc>
          <w:tcPr>
            <w:tcW w:type="dxa" w:w="2160"/>
          </w:tcPr>
          <w:p>
            <w:r/>
            <w:r>
              <w:rPr>
                <w:b/>
                <w:i/>
                <w:strike w:val="0"/>
                <w:color w:val="CC00CC"/>
              </w:rPr>
              <w:t xml:space="preserve">⚠ FR-136 has the CCO assigning a remediation owner </w:t>
            </w:r>
            <w:r>
              <w:rPr>
                <w:b/>
                <w:i/>
                <w:strike w:val="0"/>
                <w:color w:val="CC00CC"/>
              </w:rPr>
              <w:t>to a test</w:t>
            </w:r>
            <w:r>
              <w:rPr>
                <w:b/>
                <w:i/>
                <w:strike w:val="0"/>
                <w:color w:val="CC00CC"/>
              </w:rPr>
              <w:t xml:space="preserve"> as a review outcome; FR-41 assigns owners per remediation milestone, per Finding, and step 9 of Section 7.1 has the plan drafted by the Lead Tester or CCO with owners notified immediately. These models must be reconciled before the remediation data model is built: is the test-level owner a single accountable owner above per-milestone owners, or a replacement for them? What happens to a test with multiple Findings whose fixes belong to different people? And when the CCO chooses "assign a remediation owner" instead of "mark completed", what state is the test in — completed-with-remediation, or held open until remediation closes? Resolve together with the remainder of GAP-06.</w:t>
            </w:r>
            <w:r>
              <w:rPr>
                <w:b w:val="0"/>
                <w:i w:val="0"/>
                <w:strike w:val="0"/>
              </w:rPr>
              <w:t xml:space="preserve"> </w:t>
            </w:r>
            <w:r>
              <w:rPr>
                <w:b w:val="0"/>
                <w:i/>
                <w:strike w:val="0"/>
                <w:color w:val="CC00CC"/>
                <w:sz w:val="16"/>
              </w:rPr>
              <w:t xml:space="preserve"> [14 Aug 2026 MOM]</w:t>
            </w:r>
          </w:p>
        </w:tc>
        <w:tc>
          <w:tcPr>
            <w:tcW w:type="dxa" w:w="2160"/>
          </w:tcPr>
          <w:p>
            <w:r/>
            <w:r>
              <w:rPr>
                <w:b/>
                <w:i/>
                <w:strike w:val="0"/>
              </w:rPr>
              <w:t>New in v8.0 — open</w:t>
            </w:r>
          </w:p>
        </w:tc>
      </w:tr>
    </w:tbl>
    <w:tbl>
      <w:tblPr>
        <w:tblStyle w:val="TableGrid"/>
        <w:tblW w:type="auto" w:w="0"/>
        <w:tblLook w:firstColumn="1" w:firstRow="1" w:lastColumn="0" w:lastRow="0" w:noHBand="0" w:noVBand="1" w:val="04A0"/>
      </w:tblPr>
      <w:tblGrid>
        <w:gridCol w:w="8640"/>
      </w:tblGrid>
      <w:tr>
        <w:tc>
          <w:tcPr>
            <w:tcW w:type="dxa" w:w="8640"/>
            <w:shd w:val="clear" w:fill="EDEDED"/>
          </w:tcPr>
          <w:p>
            <w:r>
              <w:rPr>
                <w:b/>
                <w:i w:val="0"/>
                <w:strike w:val="0"/>
              </w:rPr>
              <w:t>DEVELOPER NOTE</w:t>
            </w:r>
            <w:r>
              <w:rPr>
                <w:b w:val="0"/>
                <w:i w:val="0"/>
                <w:strike w:val="0"/>
              </w:rPr>
              <w:t xml:space="preserve"> </w:t>
            </w:r>
            <w:r>
              <w:rPr>
                <w:b w:val="0"/>
                <w:i/>
                <w:strike w:val="0"/>
              </w:rPr>
              <w:t>(grey)</w:t>
            </w:r>
          </w:p>
          <w:p>
            <w:r>
              <w:rPr>
                <w:b/>
                <w:i w:val="0"/>
                <w:strike w:val="0"/>
              </w:rPr>
              <w:t>📌 Note</w:t>
            </w:r>
          </w:p>
          <w:p>
            <w:pPr>
              <w:pStyle w:val="ListBullet"/>
            </w:pPr>
            <w:r>
              <w:rPr>
                <w:b w:val="0"/>
                <w:i w:val="0"/>
                <w:strike w:val="0"/>
              </w:rPr>
              <w:t>GAP-01 and GAP-02 should be resolved together in a single session — they are both about how the scheduler works.</w:t>
            </w:r>
          </w:p>
          <w:p>
            <w:pPr>
              <w:pStyle w:val="ListBullet"/>
            </w:pPr>
            <w:r>
              <w:rPr>
                <w:b w:val="0"/>
                <w:i w:val="0"/>
                <w:strike w:val="0"/>
              </w:rPr>
              <w:t>GAP-06, GAP-07, and GAP-08 should be resolved together — they are all about the remediation ownership flow.</w:t>
            </w:r>
          </w:p>
          <w:p>
            <w:pPr>
              <w:pStyle w:val="ListBullet"/>
            </w:pPr>
            <w:r>
              <w:rPr>
                <w:b w:val="0"/>
                <w:i w:val="0"/>
                <w:strike w:val="0"/>
              </w:rPr>
              <w:t>GAP-10 is the smallest gap here and can likely be resolved by the UI designer without a client session.</w:t>
            </w:r>
          </w:p>
          <w:p>
            <w:pPr>
              <w:pStyle w:val="ListBullet"/>
            </w:pPr>
            <w:r>
              <w:rPr>
                <w:b/>
                <w:i/>
                <w:strike w:val="0"/>
                <w:color w:val="1155CC"/>
              </w:rPr>
              <w:t>6 of 11 gaps are now resolved or mostly resolved. GAP-03, GAP-10, and the remaining pieces of GAP-01/09/11 are what's left before Section 16 can be closed out entirely.</w:t>
            </w:r>
            <w:r>
              <w:rPr>
                <w:b w:val="0"/>
                <w:i w:val="0"/>
                <w:strike w:val="0"/>
              </w:rPr>
              <w:t xml:space="preserve"> </w:t>
            </w:r>
            <w:r>
              <w:rPr>
                <w:b w:val="0"/>
                <w:i/>
                <w:strike w:val="0"/>
                <w:color w:val="1155CC"/>
                <w:sz w:val="16"/>
              </w:rPr>
              <w:t xml:space="preserve"> [25 Jun FRD call]</w:t>
            </w:r>
          </w:p>
          <w:p>
            <w:pPr>
              <w:pStyle w:val="ListBullet"/>
            </w:pPr>
            <w:r>
              <w:rPr>
                <w:b/>
                <w:i/>
                <w:strike w:val="0"/>
                <w:color w:val="7030A0"/>
              </w:rPr>
              <w:t>v5.0 tally: the August meeting closed GAP-04 outright and largely superseded GAP-01 with the pool model, but added three: GAP-12, GAP-13, and GAP-14. Net 14 gaps, 7 resolved or mostly resolved. GAP-12, GAP-13, and GAP-14 all sit in the records-request workflow and should be resolved in one session together with the EV block in Section 15.</w:t>
            </w:r>
            <w:r>
              <w:rPr>
                <w:b w:val="0"/>
                <w:i w:val="0"/>
                <w:strike w:val="0"/>
              </w:rPr>
              <w:t xml:space="preserve"> </w:t>
            </w:r>
            <w:r>
              <w:rPr>
                <w:b w:val="0"/>
                <w:i/>
                <w:strike w:val="0"/>
                <w:color w:val="7030A0"/>
                <w:sz w:val="16"/>
              </w:rPr>
              <w:t xml:space="preserve"> [Aug 2026 client MOM]</w:t>
            </w:r>
          </w:p>
          <w:p>
            <w:pPr>
              <w:pStyle w:val="ListBullet"/>
            </w:pPr>
            <w:r>
              <w:rPr>
                <w:b/>
                <w:i/>
                <w:strike w:val="0"/>
                <w:color w:val="008080"/>
              </w:rPr>
              <w:t>v6.0 tally: the 11 Aug meeting closed none and added three — GAP-15, GAP-16, GAP-17. Net 17 gaps, 7 resolved or mostly resolved. Recommended grouping: GAP-14 + GAP-15 in one session (both are about how assignment works once a test can be split); GAP-12, GAP-13 and GAP-16 in a second (all records-request, and GAP-16 blocks an estimate); GAP-17 with the WSP module owner alone.</w:t>
            </w:r>
            <w:r>
              <w:rPr>
                <w:b w:val="0"/>
                <w:i w:val="0"/>
                <w:strike w:val="0"/>
              </w:rPr>
              <w:t xml:space="preserve"> </w:t>
            </w:r>
            <w:r>
              <w:rPr>
                <w:b w:val="0"/>
                <w:i/>
                <w:strike w:val="0"/>
                <w:color w:val="008080"/>
                <w:sz w:val="16"/>
              </w:rPr>
              <w:t xml:space="preserve"> [11 Aug 2026 MOM]</w:t>
            </w:r>
          </w:p>
          <w:p>
            <w:pPr>
              <w:pStyle w:val="ListBullet"/>
            </w:pPr>
            <w:r>
              <w:rPr>
                <w:b/>
                <w:i/>
                <w:strike w:val="0"/>
                <w:color w:val="843C0C"/>
              </w:rPr>
              <w:t>v7.0 tally: the onboarding flow closed none and added three — GAP-18, GAP-19, GAP-20. Net 20 gaps, 7 resolved or mostly resolved. GAP-18 and GAP-19 are commercial, not technical: they belong in a conversation between Jomin and Sosinna, not in a design session, and both must close before Section 18 is signed. GAP-20 needs a data protection view alongside the product one.</w:t>
            </w:r>
            <w:r>
              <w:rPr>
                <w:b w:val="0"/>
                <w:i w:val="0"/>
                <w:strike w:val="0"/>
              </w:rPr>
              <w:t xml:space="preserve"> </w:t>
            </w:r>
            <w:r>
              <w:rPr>
                <w:b w:val="0"/>
                <w:i/>
                <w:strike w:val="0"/>
                <w:color w:val="843C0C"/>
                <w:sz w:val="16"/>
              </w:rPr>
              <w:t xml:space="preserve"> [Aug 2026 onboarding flow]</w:t>
            </w:r>
          </w:p>
          <w:p>
            <w:pPr>
              <w:pStyle w:val="ListBullet"/>
            </w:pPr>
            <w:r>
              <w:rPr>
                <w:b/>
                <w:i/>
                <w:strike w:val="0"/>
                <w:color w:val="CC00CC"/>
              </w:rPr>
              <w:t>v8.0 tally: the 14 Aug meeting largely closed GAP-06 (only the CCO assigns a remediation owner, at review time) and added one — GAP-21, the test-level vs. per-milestone remediation ownership model. Net 21 gaps, 8 resolved or mostly resolved. GAP-21 belongs in the same session as the remainder of GAP-06 and the GAP-14/GAP-15 assignment discussion — all four are about who owns what once a test leaves the tester's hands.</w:t>
            </w:r>
            <w:r>
              <w:rPr>
                <w:b w:val="0"/>
                <w:i w:val="0"/>
                <w:strike w:val="0"/>
              </w:rPr>
              <w:t xml:space="preserve"> </w:t>
            </w:r>
            <w:r>
              <w:rPr>
                <w:b w:val="0"/>
                <w:i/>
                <w:strike w:val="0"/>
                <w:color w:val="CC00CC"/>
                <w:sz w:val="16"/>
              </w:rPr>
              <w:t xml:space="preserve"> [14 Aug 2026 MOM]</w:t>
            </w:r>
          </w:p>
        </w:tc>
      </w:tr>
    </w:tbl>
    <w:tbl>
      <w:tblPr>
        <w:tblStyle w:val="TableGrid"/>
        <w:tblW w:type="auto" w:w="0"/>
        <w:tblLook w:firstColumn="1" w:firstRow="1" w:lastColumn="0" w:lastRow="0" w:noHBand="0" w:noVBand="1" w:val="04A0"/>
      </w:tblPr>
      <w:tblGrid>
        <w:gridCol w:w="8640"/>
      </w:tblGrid>
      <w:tr>
        <w:tc>
          <w:tcPr>
            <w:tcW w:type="dxa" w:w="8640"/>
            <w:shd w:val="clear" w:fill="FCE4D6"/>
          </w:tcPr>
          <w:p>
            <w:r>
              <w:rPr>
                <w:b/>
                <w:i w:val="0"/>
                <w:strike w:val="0"/>
              </w:rPr>
              <w:t>NOTE</w:t>
            </w:r>
            <w:r>
              <w:rPr>
                <w:b w:val="0"/>
                <w:i w:val="0"/>
                <w:strike w:val="0"/>
              </w:rPr>
              <w:t xml:space="preserve"> </w:t>
            </w:r>
            <w:r>
              <w:rPr>
                <w:b w:val="0"/>
                <w:i/>
                <w:strike w:val="0"/>
              </w:rPr>
              <w:t>(orange)</w:t>
            </w:r>
          </w:p>
          <w:p>
            <w:r>
              <w:rPr>
                <w:b/>
                <w:i w:val="0"/>
                <w:strike w:val="0"/>
              </w:rPr>
              <w:t>📋 Baseline &amp; IP Terms — Client Confirmation (Sosinna's comment, accepted by Jomin 3 Jul 2026)</w:t>
            </w:r>
          </w:p>
          <w:p>
            <w:pPr>
              <w:pStyle w:val="ListBullet"/>
            </w:pPr>
            <w:r>
              <w:rPr>
                <w:b/>
                <w:i w:val="0"/>
                <w:strike w:val="0"/>
              </w:rPr>
              <w:t>Version supremacy:</w:t>
            </w:r>
            <w:r>
              <w:rPr>
                <w:b w:val="0"/>
                <w:i w:val="0"/>
                <w:strike w:val="0"/>
              </w:rPr>
              <w:t xml:space="preserve"> </w:t>
            </w:r>
            <w:r>
              <w:rPr>
                <w:b w:val="0"/>
                <w:i/>
                <w:strike w:val="0"/>
                <w:color w:val="C55A11"/>
              </w:rPr>
              <w:t>this v4.0 PRD is the final, complete, exhaustive technical baseline for the ControlIQ MVP and supersedes all prior BRD, RED, SRS, and Narrative documentation. No engineering choices, database designs, or scope exclusions may be justified by referencing legacy text from earlier versions.</w:t>
            </w:r>
            <w:r>
              <w:rPr>
                <w:b w:val="0"/>
                <w:i w:val="0"/>
                <w:strike w:val="0"/>
              </w:rPr>
              <w:t xml:space="preserve"> </w:t>
            </w:r>
            <w:r>
              <w:rPr>
                <w:b w:val="0"/>
                <w:i/>
                <w:strike w:val="0"/>
                <w:color w:val="C55A11"/>
                <w:sz w:val="16"/>
              </w:rPr>
              <w:t xml:space="preserve"> [Sosinna's Drive comment]</w:t>
            </w:r>
          </w:p>
          <w:p>
            <w:pPr>
              <w:pStyle w:val="ListBullet"/>
            </w:pPr>
            <w:r>
              <w:rPr>
                <w:b/>
                <w:i w:val="0"/>
                <w:strike w:val="0"/>
              </w:rPr>
              <w:t>Dual-application delivery:</w:t>
            </w:r>
            <w:r>
              <w:rPr>
                <w:b w:val="0"/>
                <w:i w:val="0"/>
                <w:strike w:val="0"/>
              </w:rPr>
              <w:t xml:space="preserve"> </w:t>
            </w:r>
            <w:r>
              <w:rPr>
                <w:b w:val="0"/>
                <w:i/>
                <w:strike w:val="0"/>
                <w:color w:val="C55A11"/>
              </w:rPr>
              <w:t>the fixed fee covers parallel development, deployment, and security configuration of both the Firm Application and the Platform Admin Portal, both fully operational as defined by this document's functional requirements.</w:t>
            </w:r>
            <w:r>
              <w:rPr>
                <w:b w:val="0"/>
                <w:i w:val="0"/>
                <w:strike w:val="0"/>
              </w:rPr>
              <w:t xml:space="preserve"> </w:t>
            </w:r>
            <w:r>
              <w:rPr>
                <w:b w:val="0"/>
                <w:i/>
                <w:strike w:val="0"/>
                <w:color w:val="C55A11"/>
                <w:sz w:val="16"/>
              </w:rPr>
              <w:t xml:space="preserve"> [Sosinna's Drive comment]</w:t>
            </w:r>
          </w:p>
          <w:p>
            <w:pPr>
              <w:pStyle w:val="ListBullet"/>
            </w:pPr>
            <w:r>
              <w:rPr>
                <w:b/>
                <w:i w:val="0"/>
                <w:strike w:val="0"/>
              </w:rPr>
              <w:t>Baseline freeze:</w:t>
            </w:r>
            <w:r>
              <w:rPr>
                <w:b w:val="0"/>
                <w:i w:val="0"/>
                <w:strike w:val="0"/>
              </w:rPr>
              <w:t xml:space="preserve"> </w:t>
            </w:r>
            <w:r>
              <w:rPr>
                <w:b w:val="0"/>
                <w:i/>
                <w:strike w:val="0"/>
                <w:color w:val="C55A11"/>
              </w:rPr>
              <w:t>upon formal sign-off of Section 18, this document is completely frozen. No further modifications, workflow adjustments, or structural changes may be initiated by the Contractor without an executed amendment to the master contract. Practical implication: this review needs to be finished and folded in before signature — not after.</w:t>
            </w:r>
            <w:r>
              <w:rPr>
                <w:b w:val="0"/>
                <w:i w:val="0"/>
                <w:strike w:val="0"/>
              </w:rPr>
              <w:t xml:space="preserve"> </w:t>
            </w:r>
            <w:r>
              <w:rPr>
                <w:b w:val="0"/>
                <w:i/>
                <w:strike w:val="0"/>
                <w:color w:val="C55A11"/>
                <w:sz w:val="16"/>
              </w:rPr>
              <w:t xml:space="preserve"> [Sosinna's Drive comment]</w:t>
            </w:r>
          </w:p>
          <w:p>
            <w:pPr>
              <w:pStyle w:val="ListBullet"/>
            </w:pPr>
            <w:r>
              <w:rPr>
                <w:b/>
                <w:i/>
                <w:strike w:val="0"/>
                <w:color w:val="7030A0"/>
              </w:rPr>
              <w:t>v5.0 status against the freeze clause: Section 18 has not been signed. This revision is therefore pre-signature and does not require a contract amendment. It is also client-initiated — every change in v5.0 originates from the client's own meeting minutes, not from a Contractor-initiated scope adjustment. Version supremacy transfers to v5.0: this document, not v4.0, is now the baseline, and v4.0 joins the superseded list alongside the BRD, RED, SRS, and Narrative.</w:t>
            </w:r>
            <w:r>
              <w:rPr>
                <w:b w:val="0"/>
                <w:i w:val="0"/>
                <w:strike w:val="0"/>
              </w:rPr>
              <w:t xml:space="preserve"> </w:t>
            </w:r>
            <w:r>
              <w:rPr>
                <w:b w:val="0"/>
                <w:i/>
                <w:strike w:val="0"/>
                <w:color w:val="7030A0"/>
                <w:sz w:val="16"/>
              </w:rPr>
              <w:t xml:space="preserve"> [Aug 2026 client MOM]</w:t>
            </w:r>
          </w:p>
          <w:p>
            <w:pPr>
              <w:pStyle w:val="ListBullet"/>
            </w:pPr>
            <w:r>
              <w:rPr>
                <w:b/>
                <w:i/>
                <w:strike w:val="0"/>
                <w:color w:val="7030A0"/>
              </w:rPr>
              <w:t>Scope impact to flag before signature: v5.0 adds the records-request workflow, the AI document-match check, the priority configuration surface, the EU regulation ingest-and-publish pipeline, and the org chart analytics dashboard. These are net-new build items, not clarifications of v4.0 text. If the fixed fee was quoted against v4.0, it needs re-basing against this version before Section 18 is signed.</w:t>
            </w:r>
            <w:r>
              <w:rPr>
                <w:b w:val="0"/>
                <w:i w:val="0"/>
                <w:strike w:val="0"/>
              </w:rPr>
              <w:t xml:space="preserve"> </w:t>
            </w:r>
            <w:r>
              <w:rPr>
                <w:b w:val="0"/>
                <w:i/>
                <w:strike w:val="0"/>
                <w:color w:val="7030A0"/>
                <w:sz w:val="16"/>
              </w:rPr>
              <w:t xml:space="preserve"> [Aug 2026 client MOM]</w:t>
            </w:r>
          </w:p>
          <w:p>
            <w:pPr>
              <w:pStyle w:val="ListBullet"/>
            </w:pPr>
            <w:r>
              <w:rPr>
                <w:b/>
                <w:i/>
                <w:strike w:val="0"/>
                <w:color w:val="008080"/>
              </w:rPr>
              <w:t>v6.0 status against the freeze clause: Section 18 is still unsigned, so this revision is likewise pre-signature and needs no contract amendment. It is client-initiated — it comes from the client's own 11 Aug meeting minutes. Version supremacy transfers again: v6.0 is the baseline and v5.0 joins the superseded list.</w:t>
            </w:r>
            <w:r>
              <w:rPr>
                <w:b w:val="0"/>
                <w:i w:val="0"/>
                <w:strike w:val="0"/>
              </w:rPr>
              <w:t xml:space="preserve"> </w:t>
            </w:r>
            <w:r>
              <w:rPr>
                <w:b w:val="0"/>
                <w:i/>
                <w:strike w:val="0"/>
                <w:color w:val="008080"/>
                <w:sz w:val="16"/>
              </w:rPr>
              <w:t xml:space="preserve"> [11 Aug 2026 MOM]</w:t>
            </w:r>
          </w:p>
          <w:p>
            <w:pPr>
              <w:pStyle w:val="ListBullet"/>
            </w:pPr>
            <w:r>
              <w:rPr>
                <w:b/>
                <w:i/>
                <w:strike w:val="0"/>
                <w:color w:val="008080"/>
              </w:rPr>
              <w:t>Scope impact of v6.0, smaller than v5.0's but not zero. Net-new build: article-level test fan-out across multiple testers (FR-106), post-evidence gap identification (FR-112 — a second AI-assisted analysis feature with its own accuracy bar), the employee directory (FR-116), and the calendar and remediation dashboard views if they were not already priced (FR-114, FR-115). Deliberately excluded from scope pending a decision: the FR-111 request portal. Everything else in v6.0 confirms or tightens v5.0 and should not move the number.</w:t>
            </w:r>
            <w:r>
              <w:rPr>
                <w:b w:val="0"/>
                <w:i w:val="0"/>
                <w:strike w:val="0"/>
              </w:rPr>
              <w:t xml:space="preserve"> </w:t>
            </w:r>
            <w:r>
              <w:rPr>
                <w:b w:val="0"/>
                <w:i/>
                <w:strike w:val="0"/>
                <w:color w:val="008080"/>
                <w:sz w:val="16"/>
              </w:rPr>
              <w:t xml:space="preserve"> [11 Aug 2026 MOM]</w:t>
            </w:r>
          </w:p>
          <w:p>
            <w:pPr>
              <w:pStyle w:val="ListBullet"/>
            </w:pPr>
            <w:r>
              <w:rPr>
                <w:b/>
                <w:i/>
                <w:strike w:val="0"/>
                <w:color w:val="CC00CC"/>
              </w:rPr>
              <w:t>v8.0 status against the freeze clause: Section 18 is still unsigned, so this revision is pre-signature and needs no contract amendment. It is client-initiated — every change originates from the client's own 14 Aug meeting minutes. Version supremacy transfers again: v8.0 is the baseline and v7.0 joins the superseded list. Net-new build to flag before signature: the business-owner dashboard and upload-or-reason flow (FR-133, FR-134), per-unit request mapping and the justified distribution list (FR-131, FR-132), the N/A register (FR-130), per-step gap statuses (FR-135), the glossary both sides (FR-137, SA-25), test cloning (SA-22), associate admin roles (SA-24), and the vendor AML feed (FR-138, pending NF-01).</w:t>
            </w:r>
            <w:r>
              <w:rPr>
                <w:b w:val="0"/>
                <w:i w:val="0"/>
                <w:strike w:val="0"/>
              </w:rPr>
              <w:t xml:space="preserve"> </w:t>
            </w:r>
            <w:r>
              <w:rPr>
                <w:b w:val="0"/>
                <w:i/>
                <w:strike w:val="0"/>
                <w:color w:val="CC00CC"/>
                <w:sz w:val="16"/>
              </w:rPr>
              <w:t xml:space="preserve"> [14 Aug 2026 MOM]</w:t>
            </w:r>
          </w:p>
        </w:tc>
      </w:tr>
    </w:tbl>
    <w:p>
      <w:pPr>
        <w:pStyle w:val="Heading1"/>
      </w:pPr>
      <w:r>
        <w:t>17. Document History</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4E79"/>
          </w:tcPr>
          <w:p>
            <w:r>
              <w:rPr>
                <w:b/>
                <w:color w:val="FFFFFF"/>
              </w:rPr>
            </w:r>
            <w:r>
              <w:rPr>
                <w:b/>
                <w:i w:val="0"/>
                <w:strike w:val="0"/>
                <w:color w:val="FFFFFF"/>
              </w:rPr>
              <w:t>Version</w:t>
            </w:r>
          </w:p>
        </w:tc>
        <w:tc>
          <w:tcPr>
            <w:tcW w:type="dxa" w:w="2880"/>
            <w:shd w:val="clear" w:fill="1F4E79"/>
          </w:tcPr>
          <w:p>
            <w:r>
              <w:rPr>
                <w:b/>
                <w:color w:val="FFFFFF"/>
              </w:rPr>
            </w:r>
            <w:r>
              <w:rPr>
                <w:b/>
                <w:i w:val="0"/>
                <w:strike w:val="0"/>
                <w:color w:val="FFFFFF"/>
              </w:rPr>
              <w:t>Date</w:t>
            </w:r>
          </w:p>
        </w:tc>
        <w:tc>
          <w:tcPr>
            <w:tcW w:type="dxa" w:w="2880"/>
            <w:shd w:val="clear" w:fill="1F4E79"/>
          </w:tcPr>
          <w:p>
            <w:r>
              <w:rPr>
                <w:b/>
                <w:color w:val="FFFFFF"/>
              </w:rPr>
            </w:r>
            <w:r>
              <w:rPr>
                <w:b/>
                <w:i w:val="0"/>
                <w:strike w:val="0"/>
                <w:color w:val="FFFFFF"/>
              </w:rPr>
              <w:t>What changed</w:t>
            </w:r>
          </w:p>
        </w:tc>
      </w:tr>
      <w:tr>
        <w:tc>
          <w:tcPr>
            <w:tcW w:type="dxa" w:w="2880"/>
          </w:tcPr>
          <w:p>
            <w:r/>
            <w:r>
              <w:rPr>
                <w:b w:val="0"/>
                <w:i w:val="0"/>
                <w:strike w:val="0"/>
              </w:rPr>
              <w:t>v1.0 — BRD</w:t>
            </w:r>
          </w:p>
        </w:tc>
        <w:tc>
          <w:tcPr>
            <w:tcW w:type="dxa" w:w="2880"/>
          </w:tcPr>
          <w:p>
            <w:r/>
            <w:r>
              <w:rPr>
                <w:b w:val="0"/>
                <w:i w:val="0"/>
                <w:strike w:val="0"/>
              </w:rPr>
              <w:t>May 2026</w:t>
            </w:r>
          </w:p>
        </w:tc>
        <w:tc>
          <w:tcPr>
            <w:tcW w:type="dxa" w:w="2880"/>
          </w:tcPr>
          <w:p>
            <w:r/>
            <w:r>
              <w:rPr>
                <w:b w:val="0"/>
                <w:i w:val="0"/>
                <w:strike w:val="0"/>
              </w:rPr>
              <w:t>First document. Product concept, regulatory scope (MiCA + DORA), six-module structure.</w:t>
            </w:r>
          </w:p>
        </w:tc>
      </w:tr>
      <w:tr>
        <w:tc>
          <w:tcPr>
            <w:tcW w:type="dxa" w:w="2880"/>
          </w:tcPr>
          <w:p>
            <w:r/>
            <w:r>
              <w:rPr>
                <w:b w:val="0"/>
                <w:i w:val="0"/>
                <w:strike w:val="0"/>
              </w:rPr>
              <w:t>v2.0 — RED v1.0</w:t>
            </w:r>
          </w:p>
        </w:tc>
        <w:tc>
          <w:tcPr>
            <w:tcW w:type="dxa" w:w="2880"/>
          </w:tcPr>
          <w:p>
            <w:r/>
            <w:r>
              <w:rPr>
                <w:b w:val="0"/>
                <w:i w:val="0"/>
                <w:strike w:val="0"/>
              </w:rPr>
              <w:t>May 2026</w:t>
            </w:r>
          </w:p>
        </w:tc>
        <w:tc>
          <w:tcPr>
            <w:tcW w:type="dxa" w:w="2880"/>
          </w:tcPr>
          <w:p>
            <w:r/>
            <w:r>
              <w:rPr>
                <w:b w:val="0"/>
                <w:i w:val="0"/>
                <w:strike w:val="0"/>
              </w:rPr>
              <w:t>Full requirement set across all six modules. 17 MiCA + DORA requirement IDs mapped. All open questions documented.</w:t>
            </w:r>
          </w:p>
        </w:tc>
      </w:tr>
      <w:tr>
        <w:tc>
          <w:tcPr>
            <w:tcW w:type="dxa" w:w="2880"/>
          </w:tcPr>
          <w:p>
            <w:r/>
            <w:r>
              <w:rPr>
                <w:b w:val="0"/>
                <w:i w:val="0"/>
                <w:strike w:val="0"/>
              </w:rPr>
              <w:t>v3.0 — RED v2.0</w:t>
            </w:r>
          </w:p>
        </w:tc>
        <w:tc>
          <w:tcPr>
            <w:tcW w:type="dxa" w:w="2880"/>
          </w:tcPr>
          <w:p>
            <w:r/>
            <w:r>
              <w:rPr>
                <w:b w:val="0"/>
                <w:i w:val="0"/>
                <w:strike w:val="0"/>
              </w:rPr>
              <w:t>Jun 2026</w:t>
            </w:r>
          </w:p>
        </w:tc>
        <w:tc>
          <w:tcPr>
            <w:tcW w:type="dxa" w:w="2880"/>
          </w:tcPr>
          <w:p>
            <w:r/>
            <w:r>
              <w:rPr>
                <w:b w:val="0"/>
                <w:i w:val="0"/>
                <w:strike w:val="0"/>
              </w:rPr>
              <w:t>Incorporated Sosinna's 31 client comments. Remediation plan confirmed within the report before issuance. Senior management sign-off timing confirmed. 6-year retention confirmed.</w:t>
            </w:r>
          </w:p>
        </w:tc>
      </w:tr>
      <w:tr>
        <w:tc>
          <w:tcPr>
            <w:tcW w:type="dxa" w:w="2880"/>
          </w:tcPr>
          <w:p>
            <w:r/>
            <w:r>
              <w:rPr>
                <w:b w:val="0"/>
                <w:i w:val="0"/>
                <w:strike w:val="0"/>
              </w:rPr>
              <w:t>v4.0 — Narrative v3</w:t>
            </w:r>
          </w:p>
        </w:tc>
        <w:tc>
          <w:tcPr>
            <w:tcW w:type="dxa" w:w="2880"/>
          </w:tcPr>
          <w:p>
            <w:r/>
            <w:r>
              <w:rPr>
                <w:b w:val="0"/>
                <w:i w:val="0"/>
                <w:strike w:val="0"/>
              </w:rPr>
              <w:t>Jun 2026</w:t>
            </w:r>
          </w:p>
        </w:tc>
        <w:tc>
          <w:tcPr>
            <w:tcW w:type="dxa" w:w="2880"/>
          </w:tcPr>
          <w:p>
            <w:r/>
            <w:r>
              <w:rPr>
                <w:b w:val="0"/>
                <w:i w:val="0"/>
                <w:strike w:val="0"/>
              </w:rPr>
              <w:t>Nine-scene walkthrough completed. Report repositioned as an internal senior management document — not for direct regulator submission. Regulator View removed. Distribution lists confirmed at six. Single WSP upload confirmed. NCA notification drafting confirmed.</w:t>
            </w:r>
          </w:p>
        </w:tc>
      </w:tr>
      <w:tr>
        <w:tc>
          <w:tcPr>
            <w:tcW w:type="dxa" w:w="2880"/>
          </w:tcPr>
          <w:p>
            <w:r/>
            <w:r>
              <w:rPr>
                <w:b w:val="0"/>
                <w:i w:val="0"/>
                <w:strike w:val="0"/>
              </w:rPr>
              <w:t>v5.0 — SRS v1.0</w:t>
            </w:r>
          </w:p>
        </w:tc>
        <w:tc>
          <w:tcPr>
            <w:tcW w:type="dxa" w:w="2880"/>
          </w:tcPr>
          <w:p>
            <w:r/>
            <w:r>
              <w:rPr>
                <w:b w:val="0"/>
                <w:i w:val="0"/>
                <w:strike w:val="0"/>
              </w:rPr>
              <w:t>Jun 2026</w:t>
            </w:r>
          </w:p>
        </w:tc>
        <w:tc>
          <w:tcPr>
            <w:tcW w:type="dxa" w:w="2880"/>
          </w:tcPr>
          <w:p>
            <w:r/>
            <w:r>
              <w:rPr>
                <w:b w:val="0"/>
                <w:i w:val="0"/>
                <w:strike w:val="0"/>
              </w:rPr>
              <w:t>First consolidated requirements document. Full FR/NFR baseline with confirmed decisions and open questions structured per module.</w:t>
            </w:r>
          </w:p>
        </w:tc>
      </w:tr>
      <w:tr>
        <w:tc>
          <w:tcPr>
            <w:tcW w:type="dxa" w:w="2880"/>
          </w:tcPr>
          <w:p>
            <w:r/>
            <w:r>
              <w:rPr>
                <w:b w:val="0"/>
                <w:i w:val="0"/>
                <w:strike w:val="0"/>
              </w:rPr>
              <w:t>v6.0 — SRS v2.0</w:t>
            </w:r>
          </w:p>
        </w:tc>
        <w:tc>
          <w:tcPr>
            <w:tcW w:type="dxa" w:w="2880"/>
          </w:tcPr>
          <w:p>
            <w:r/>
            <w:r>
              <w:rPr>
                <w:b w:val="0"/>
                <w:i w:val="0"/>
                <w:strike w:val="0"/>
              </w:rPr>
              <w:t>Jun 2026</w:t>
            </w:r>
          </w:p>
        </w:tc>
        <w:tc>
          <w:tcPr>
            <w:tcW w:type="dxa" w:w="2880"/>
          </w:tcPr>
          <w:p>
            <w:r/>
            <w:r>
              <w:rPr>
                <w:b w:val="0"/>
                <w:i w:val="0"/>
                <w:strike w:val="0"/>
              </w:rPr>
              <w:t>Two-application architecture confirmed. Platform Super Admin Portal brought into scope. Requirement IDs confirmed as dynamic (sourced from official websites). Revenue source Excel drives service line mapping. Two new roles added (Senior Management, Remediation Owner). Custom org-level roles mapped to system roles. Sampling methodologies as platform-configured library. Full evidence type list confirmed. Partial testing confirmed. Finding closure CCO-only. ControlIQ branding confirmed.</w:t>
            </w:r>
          </w:p>
        </w:tc>
      </w:tr>
      <w:tr>
        <w:tc>
          <w:tcPr>
            <w:tcW w:type="dxa" w:w="2880"/>
          </w:tcPr>
          <w:p>
            <w:r/>
            <w:r>
              <w:rPr>
                <w:b w:val="0"/>
                <w:i w:val="0"/>
                <w:strike w:val="0"/>
              </w:rPr>
              <w:t>v7.0 — PRD v3.0</w:t>
            </w:r>
          </w:p>
        </w:tc>
        <w:tc>
          <w:tcPr>
            <w:tcW w:type="dxa" w:w="2880"/>
          </w:tcPr>
          <w:p>
            <w:r/>
            <w:r>
              <w:rPr>
                <w:b w:val="0"/>
                <w:i w:val="0"/>
                <w:strike w:val="0"/>
              </w:rPr>
              <w:t>Jun 2026</w:t>
            </w:r>
          </w:p>
        </w:tc>
        <w:tc>
          <w:tcPr>
            <w:tcW w:type="dxa" w:w="2880"/>
          </w:tcPr>
          <w:p>
            <w:r/>
            <w:r>
              <w:rPr>
                <w:b w:val="0"/>
                <w:i w:val="0"/>
                <w:strike w:val="0"/>
              </w:rPr>
              <w:t>Full rewrite in plain English for a non-technical audience. Feature descriptions explain what each feature does and why. All confirmed decisions and open questions retained. Technical terms explained on first use. FR-XX reference tags retained for development team.</w:t>
            </w:r>
          </w:p>
        </w:tc>
      </w:tr>
      <w:tr>
        <w:tc>
          <w:tcPr>
            <w:tcW w:type="dxa" w:w="2880"/>
          </w:tcPr>
          <w:p>
            <w:r/>
            <w:r>
              <w:rPr>
                <w:b w:val="0"/>
                <w:i w:val="0"/>
                <w:strike w:val="0"/>
              </w:rPr>
              <w:t>v8.0 — PRD v4.0</w:t>
            </w:r>
          </w:p>
        </w:tc>
        <w:tc>
          <w:tcPr>
            <w:tcW w:type="dxa" w:w="2880"/>
          </w:tcPr>
          <w:p>
            <w:r/>
            <w:r>
              <w:rPr>
                <w:b w:val="0"/>
                <w:i w:val="0"/>
                <w:strike w:val="0"/>
              </w:rPr>
              <w:t>Jun 2026</w:t>
            </w:r>
          </w:p>
        </w:tc>
        <w:tc>
          <w:tcPr>
            <w:tcW w:type="dxa" w:w="2880"/>
          </w:tcPr>
          <w:p>
            <w:r/>
            <w:r>
              <w:rPr>
                <w:b w:val="0"/>
                <w:i w:val="0"/>
                <w:strike w:val="0"/>
              </w:rPr>
              <w:t>Cross-document gap audit completed. 11 workflow design gaps identified and documented in new Section 16 (Gaps to Resolve Before Execution). Finding closure corrected: now requires CCO + one Senior Management sign-off (was CCO-only — contradiction with Narrative v3 resolved). Two confirmed decisions added from Narrative v3: Not Applicable test process (documented reason required, immutable) and sample change approval flow (senior team member approval + written reason, original selection retained). Risk rating confirmed as auto-calculated by platform — compliance officer confirms, does not manually enter.</w:t>
            </w:r>
          </w:p>
        </w:tc>
      </w:tr>
      <w:tr>
        <w:tc>
          <w:tcPr>
            <w:tcW w:type="dxa" w:w="2880"/>
          </w:tcPr>
          <w:p>
            <w:r/>
            <w:r>
              <w:rPr>
                <w:b w:val="0"/>
                <w:i w:val="0"/>
                <w:strike w:val="0"/>
              </w:rPr>
              <w:t>v9.0 — PRD v5.0</w:t>
            </w:r>
          </w:p>
        </w:tc>
        <w:tc>
          <w:tcPr>
            <w:tcW w:type="dxa" w:w="2880"/>
          </w:tcPr>
          <w:p>
            <w:r/>
            <w:r>
              <w:rPr>
                <w:b w:val="0"/>
                <w:i w:val="0"/>
                <w:strike w:val="0"/>
              </w:rPr>
              <w:t>Aug 2026</w:t>
            </w:r>
          </w:p>
        </w:tc>
        <w:tc>
          <w:tcPr>
            <w:tcW w:type="dxa" w:w="2880"/>
          </w:tcPr>
          <w:p>
            <w:r/>
            <w:r>
              <w:rPr>
                <w:b/>
                <w:i/>
                <w:strike w:val="0"/>
              </w:rPr>
              <w:t>Product renamed from ComplianceIQ to ControlIQ; the name is applied document-wide, and earlier documents keep the old name as historical records. Client meeting minutes (August 2026) incorporated. Scheduling model revised: auto-scheduled per-test calendar entries replaced by a pending-item pool the CCO assigns from manually, at article level (FR-78 to FR-80) — closes GAP-04, largely supersedes GAP-01. Mandatory scope period on every test. New Records Request workflow (Section 7.4, FR-83 to FR-91): announcement letter and initial request list to the business owner, request/receipt date tracking, delay analytics, AI document-match check with mandatory human verification for financial systems and critical controls. New Admin Portal priority configuration (SA-09 to SA-11) and EU API regulation ingest-review-edit-tag-publish pipeline (SA-12 to SA-14). Tests tagged to business owners. CCO cross-tester, cross-pillar oversight view. Not Applicable confirmed as a CCO authority with mandatory justification and a report appendix. Financial reports added to onboarding as a service-line input. Org chart analytics dashboard and headcount-vs-entitlements tracking. Six new notification types. 14 new open questions (FO-09, PR-01–03, TS-01–04, EV-01–06) and three new workflow gaps (GAP-12–14).</w:t>
            </w:r>
          </w:p>
        </w:tc>
      </w:tr>
      <w:tr>
        <w:tc>
          <w:tcPr>
            <w:tcW w:type="dxa" w:w="2880"/>
          </w:tcPr>
          <w:p>
            <w:r/>
            <w:r>
              <w:rPr>
                <w:b w:val="0"/>
                <w:i w:val="0"/>
                <w:strike w:val="0"/>
              </w:rPr>
              <w:t>v10.0 — PRD v6.0</w:t>
            </w:r>
          </w:p>
        </w:tc>
        <w:tc>
          <w:tcPr>
            <w:tcW w:type="dxa" w:w="2880"/>
          </w:tcPr>
          <w:p>
            <w:r/>
            <w:r>
              <w:rPr>
                <w:b w:val="0"/>
                <w:i w:val="0"/>
                <w:strike w:val="0"/>
              </w:rPr>
              <w:t>Aug 2026</w:t>
            </w:r>
          </w:p>
        </w:tc>
        <w:tc>
          <w:tcPr>
            <w:tcW w:type="dxa" w:w="2880"/>
          </w:tcPr>
          <w:p>
            <w:r/>
            <w:r>
              <w:rPr>
                <w:b/>
                <w:i/>
                <w:strike w:val="0"/>
              </w:rPr>
              <w:t>Minutes of the Compliance Testing Workflow Review, 11 August 2026, incorporated. Mostly a confirmation pass: the pending-item pool, records-request workflow, AI document check, priority configuration, business-owner tagging, N/A rules, four primary roles and org chart analytics were all restated by the client in the shape v5.0 records them, and are now marked confirmed rather than rewritten. Net-new: article-level scoping alongside the date range (FR-105); CCO fan-out of one test across several testers by article (FR-106) — which conflicts with the single-Lead-Tester rule in FR-21 and is logged as GAP-15; N/A now requires a justification file, not just text (FR-107); the platform is the only acceptable evidence channel, no email or WhatsApp (FR-108); a two-week default response window on records requests, resolving EV-04 (FR-109); the AI match check re-framed as a cost gate ahead of full AI processing (FR-110); a proposed but NOT-yet-approved follow-up request portal, pending a development-effort assessment (FR-111, EV-07); post-evidence policy-to-regulation gap identification as a new Section 7.5 (FR-112); the reviewed wireframe set recorded as requirements — CCO Kanban board, calendar of scheduled reviews, remediation dashboards (FR-113 to FR-115); an employee directory highlighting compliance staff (FR-116); onboarding derives applicable regulations as well as service lines (FR-104); Super Admin dashboard notification restarting the regulation review cycle on a MiCA or DORA update (SA-15). Three new notification types. Nine new open questions (TS-05–07, EV-07, EV-08, UI-01, UI-02) with EV-04 resolved, and three new workflow gaps (GAP-15–17).</w:t>
            </w:r>
          </w:p>
        </w:tc>
      </w:tr>
      <w:tr>
        <w:tc>
          <w:tcPr>
            <w:tcW w:type="dxa" w:w="2880"/>
          </w:tcPr>
          <w:p>
            <w:r/>
            <w:r>
              <w:rPr>
                <w:b w:val="0"/>
                <w:i w:val="0"/>
                <w:strike w:val="0"/>
              </w:rPr>
              <w:t>v11.0 — PRD v7.0</w:t>
            </w:r>
          </w:p>
        </w:tc>
        <w:tc>
          <w:tcPr>
            <w:tcW w:type="dxa" w:w="2880"/>
          </w:tcPr>
          <w:p>
            <w:r/>
            <w:r>
              <w:rPr>
                <w:b w:val="0"/>
                <w:i w:val="0"/>
                <w:strike w:val="0"/>
              </w:rPr>
              <w:t>Aug 2026</w:t>
            </w:r>
          </w:p>
        </w:tc>
        <w:tc>
          <w:tcPr>
            <w:tcW w:type="dxa" w:w="2880"/>
          </w:tcPr>
          <w:p>
            <w:r/>
            <w:r>
              <w:rPr>
                <w:b/>
                <w:i/>
                <w:strike w:val="0"/>
              </w:rPr>
              <w:t xml:space="preserve">The firm onboarding flow specified end to end by the client and Section 5 restructured around it — from "Setting Up a New Firm" (a description of the wizard) to "From Enquiry to First Login" (the whole journey). Net-new to the product: enquiry capture and an enquiry work queue on the Portal dashboard (SA-16 to SA-18); a record that the offline legal agreement is complete, carrying the agreed plan and seat count, which gates everything downstream (SA-19); onboarding by emailed link generated by Sosinna's team, expiring and revocable, superseding the admin-created account in MKT-03 (SA-20, SA-21); the firm creating its own first Firm Super Admin account with MFA and inviting a second before completion (FR-117); resumable, per-step-validated onboarding (FR-118, FR-119); staff, reporting lines and business continuity call tree captured during onboarding with a mandatory gap review — every employee needs a call contact and a reporting manager — and legitimate exceptions acknowledged rather than faked (FR-120 to FR-122); </w:t>
            </w:r>
            <w:r>
              <w:rPr>
                <w:b/>
                <w:i/>
                <w:strike w:val="0"/>
              </w:rPr>
              <w:t>in-platform payment after the details and before first login, charged against the offline-agreed plan</w:t>
            </w:r>
            <w:r>
              <w:rPr>
                <w:b/>
                <w:i/>
                <w:strike w:val="0"/>
              </w:rPr>
              <w:t xml:space="preserve"> (FR-123 to FR-125); retry on failure with nothing lost (FR-126); login gated on activation with no pre-payment access (FR-127); and a definition of "onboarded" the Portal reports against (FR-128). NFR-12 keeps card data off the platform entirely. Section 2 gains enquiry and payment record classes. Five new notification types. Payment contradicts MKT-02 and CC-06 as previously written — flagged, not silently resolved. Eight new open questions (ON-01 to ON-08, three of them estimation blockers) and three new gaps (GAP-18 to GAP-20, two of them commercial and both blocking signature).</w:t>
            </w:r>
          </w:p>
        </w:tc>
      </w:tr>
      <w:tr>
        <w:tc>
          <w:tcPr>
            <w:tcW w:type="dxa" w:w="2880"/>
          </w:tcPr>
          <w:p>
            <w:r/>
            <w:r>
              <w:rPr>
                <w:b w:val="0"/>
                <w:i w:val="0"/>
                <w:strike w:val="0"/>
              </w:rPr>
              <w:t>v12.0 — PRD v8.0</w:t>
            </w:r>
          </w:p>
        </w:tc>
        <w:tc>
          <w:tcPr>
            <w:tcW w:type="dxa" w:w="2880"/>
          </w:tcPr>
          <w:p>
            <w:r/>
            <w:r>
              <w:rPr>
                <w:b w:val="0"/>
                <w:i w:val="0"/>
                <w:strike w:val="0"/>
              </w:rPr>
              <w:t>Aug 2026</w:t>
            </w:r>
          </w:p>
        </w:tc>
        <w:tc>
          <w:tcPr>
            <w:tcW w:type="dxa" w:w="2880"/>
          </w:tcPr>
          <w:p>
            <w:r/>
            <w:r>
              <w:rPr>
                <w:b/>
                <w:i/>
                <w:strike w:val="0"/>
              </w:rPr>
              <w:t>Minutes of the 14 August 2026 client meeting incorporated. The business-owner side of the records-request workflow specified end to end: announcement letter to a distribution list of all relevant business units, auto-populated with justified edits (FR-83 revised, FR-132); each request item mapped to a business unit (FR-131); business owner reaches a dashboard from the letter link showing the test and all their request items — resolves TS-04 (FR-133); per-item upload or a recorded no-document reason (FR-134); uploader identity recorded alongside the request/receipt dates (FR-85 revised). Every test shows an overview and its request list (FR-129). Per-step gap visibility and per-step status recording during execution (FR-135). Lead Tester submits for CCO review; the CCO's three outcomes — completed, assign a remediation owner, or return — with remediation owner assignment CCO-only (FR-136, GAP-21). Dedicated N/A register with reason, who and when (FR-130). Manual staff entry removed — spreadsheet upload only (FR-62 revised). Org chart changes gated on the "Firm Admin" role (FR-139, UM-01). Glossary and guidance page firm-side with Portal management (FR-137, SA-25). Vendor AML alerts in the news feed, e.g. NICE Actimize (FR-138, NF-01). Rule fetches save execution frequency and priority (SA-23). Super Admin test cloning with recorded history (SA-22). Associate admin roles with final confirmation by Sosinna (SA-24, AD-01). Pre-onboarding qualification named as Sosinna's team's decision (5.2 note). No page displays the org call tree (descope, 10.5). Branding decided blue and white, codes pending (CC-02, BR-01). Confirmations: platform-wide audit trails (FR-13/NFR-04), deactivate-don't-delete (FR-14), scope dates set by the CCO (FR-80), AI validation of business-unit uploads (FR-88/110/112), test versioning (SA-02/SA-04), call-tree gap evaluation at onboarding (FR-120/121), rule-change alerts to Super Admin and affected firms (SA-15/FR-35). Four new open questions (UM-01, BR-01, NF-01, AD-01), TS-04 resolved, EV-03 partial, one new gap (GAP-21).</w:t>
            </w:r>
          </w:p>
        </w:tc>
      </w:tr>
    </w:tbl>
    <w:tbl>
      <w:tblPr>
        <w:tblStyle w:val="TableGrid"/>
        <w:tblW w:type="auto" w:w="0"/>
        <w:tblLook w:firstColumn="1" w:firstRow="1" w:lastColumn="0" w:lastRow="0" w:noHBand="0" w:noVBand="1" w:val="04A0"/>
      </w:tblPr>
      <w:tblGrid>
        <w:gridCol w:w="8640"/>
      </w:tblGrid>
      <w:tr>
        <w:tc>
          <w:tcPr>
            <w:tcW w:type="dxa" w:w="8640"/>
            <w:shd w:val="clear" w:fill="EDEDED"/>
          </w:tcPr>
          <w:p>
            <w:r>
              <w:rPr>
                <w:b/>
                <w:i w:val="0"/>
                <w:strike w:val="0"/>
              </w:rPr>
              <w:t>DEVELOPER NOTE</w:t>
            </w:r>
            <w:r>
              <w:rPr>
                <w:b w:val="0"/>
                <w:i w:val="0"/>
                <w:strike w:val="0"/>
              </w:rPr>
              <w:t xml:space="preserve"> </w:t>
            </w:r>
            <w:r>
              <w:rPr>
                <w:b w:val="0"/>
                <w:i/>
                <w:strike w:val="0"/>
              </w:rPr>
              <w:t>(grey)</w:t>
            </w:r>
          </w:p>
          <w:p>
            <w:r>
              <w:rPr>
                <w:b/>
                <w:i w:val="0"/>
                <w:strike w:val="0"/>
              </w:rPr>
              <w:t>📌 Note</w:t>
            </w:r>
          </w:p>
          <w:p>
            <w:pPr>
              <w:pStyle w:val="ListBullet"/>
            </w:pPr>
            <w:r>
              <w:rPr>
                <w:b w:val="0"/>
                <w:i/>
                <w:strike w:val="0"/>
              </w:rPr>
              <w:t>Superseded — kept for context: "Per instruction, the version label stays at v4.0 — this document history table is unchanged. All edits from the 25 Jun call and Sosinna's Drive comments are layered into the sections above in colour, not recorded as a new version row here."</w:t>
            </w:r>
          </w:p>
          <w:p>
            <w:pPr>
              <w:pStyle w:val="ListBullet"/>
            </w:pPr>
            <w:r>
              <w:rPr>
                <w:b/>
                <w:i/>
                <w:strike w:val="0"/>
                <w:color w:val="7030A0"/>
              </w:rPr>
              <w:t>v5.0 changes that instruction. The August 2026 meeting introduced net-new functional scope rather than answers to existing questions, so it is recorded as a version. The 25 Jun call and Drive comment edits, which were previously unversioned, are absorbed into the v5.0 baseline — they no longer sit outside the version record. Their blue and orange tags remain so the provenance of each decision stays traceable.</w:t>
            </w:r>
            <w:r>
              <w:rPr>
                <w:b w:val="0"/>
                <w:i w:val="0"/>
                <w:strike w:val="0"/>
              </w:rPr>
              <w:t xml:space="preserve"> </w:t>
            </w:r>
            <w:r>
              <w:rPr>
                <w:b w:val="0"/>
                <w:i/>
                <w:strike w:val="0"/>
                <w:color w:val="7030A0"/>
                <w:sz w:val="16"/>
              </w:rPr>
              <w:t xml:space="preserve"> [Aug 2026 client MOM]</w:t>
            </w:r>
          </w:p>
          <w:p>
            <w:pPr>
              <w:pStyle w:val="ListBullet"/>
            </w:pPr>
            <w:r>
              <w:rPr>
                <w:b/>
                <w:i/>
                <w:strike w:val="0"/>
                <w:color w:val="008080"/>
              </w:rPr>
              <w:t>v6.0 follows the same rule. The 11 Aug review is largely confirmatory, which on its own would not justify a version bump — but it also introduces fan-out, gap identification and the wireframe view set, which are net-new functional scope. Recording it as a version also preserves the confirmations themselves, which have their own value: they are the evidence that v5.0 read the earlier meeting correctly, and that matters when this document is the frozen baseline a fixed-price contract is written against.</w:t>
            </w:r>
            <w:r>
              <w:rPr>
                <w:b w:val="0"/>
                <w:i w:val="0"/>
                <w:strike w:val="0"/>
              </w:rPr>
              <w:t xml:space="preserve"> </w:t>
            </w:r>
            <w:r>
              <w:rPr>
                <w:b w:val="0"/>
                <w:i/>
                <w:strike w:val="0"/>
                <w:color w:val="008080"/>
                <w:sz w:val="16"/>
              </w:rPr>
              <w:t xml:space="preserve"> [11 Aug 2026 MOM]</w:t>
            </w:r>
          </w:p>
          <w:p>
            <w:pPr>
              <w:pStyle w:val="ListBullet"/>
            </w:pPr>
            <w:r>
              <w:rPr>
                <w:b/>
                <w:i/>
                <w:strike w:val="0"/>
                <w:color w:val="843C0C"/>
              </w:rPr>
              <w:t>v7.0 is a whole version rather than a point release for the same reason, and more strongly: it adds a capability the product did not have in any previous version — taking money — and it restructures a numbered section. It also revises two previously agreed positions (MKT-03 outright, MKT-02 and CC-06 in tension), which is exactly the kind of change the version record exists to make visible.</w:t>
            </w:r>
            <w:r>
              <w:rPr>
                <w:b w:val="0"/>
                <w:i w:val="0"/>
                <w:strike w:val="0"/>
              </w:rPr>
              <w:t xml:space="preserve"> </w:t>
            </w:r>
            <w:r>
              <w:rPr>
                <w:b w:val="0"/>
                <w:i/>
                <w:strike w:val="0"/>
                <w:color w:val="843C0C"/>
                <w:sz w:val="16"/>
              </w:rPr>
              <w:t xml:space="preserve"> [Aug 2026 onboarding flow]</w:t>
            </w:r>
          </w:p>
          <w:p>
            <w:pPr>
              <w:pStyle w:val="ListBullet"/>
            </w:pPr>
            <w:r>
              <w:rPr>
                <w:b/>
                <w:i/>
                <w:strike w:val="0"/>
                <w:color w:val="CC00CC"/>
              </w:rPr>
              <w:t>v8.0 follows the v6.0 rule: partly a confirmation pass, but it introduces net-new functional scope (the business-owner dashboard, the glossary, test cloning, the N/A register) and revises two previously agreed requirements outright (FR-62 loses manual entry; FR-83's addressee becomes a distribution list), so it is recorded as a version.</w:t>
            </w:r>
            <w:r>
              <w:rPr>
                <w:b w:val="0"/>
                <w:i w:val="0"/>
                <w:strike w:val="0"/>
              </w:rPr>
              <w:t xml:space="preserve"> </w:t>
            </w:r>
            <w:r>
              <w:rPr>
                <w:b w:val="0"/>
                <w:i/>
                <w:strike w:val="0"/>
                <w:color w:val="CC00CC"/>
                <w:sz w:val="16"/>
              </w:rPr>
              <w:t xml:space="preserve"> [14 Aug 2026 MOM]</w:t>
            </w:r>
          </w:p>
        </w:tc>
      </w:tr>
    </w:tbl>
    <w:p>
      <w:pPr>
        <w:pStyle w:val="Heading1"/>
      </w:pPr>
      <w:r>
        <w:t>18. Sign-Off</w:t>
      </w:r>
    </w:p>
    <w:p>
      <w:r>
        <w:rPr>
          <w:b w:val="0"/>
          <w:i w:val="0"/>
          <w:strike w:val="0"/>
        </w:rPr>
        <w:t>This document represents the agreed product baseline as of August 2026. Development estimation proceeds from this version — v8.0, not v7.0 and not v4.0. Open questions marked 'Needed before estimation' in Section 15 must be resolved first; v5.0 added six (FO-09, PR-03, TS-01, EV-01, EV-02, EV-03), v6.0 added four (TS-05, TS-07, EV-07, EV-08) while closing EV-04, v7.0 added three more (ON-01, ON-02, ON-03 — all in the payment step), and v8.0 adds none while resolving TS-04 and narrowing EV-03. Workflow gaps in Section 16 must be resolved before the relevant development sprint begins.</w:t>
      </w:r>
    </w:p>
    <w:p>
      <w:r>
        <w:rPr>
          <w:b/>
          <w:i/>
          <w:strike w:val="0"/>
          <w:color w:val="7030A0"/>
        </w:rPr>
        <w:t>Signing this section freezes the baseline under the clause in Section 16. Before signing, confirm that the net-new scope introduced in v5.0 — the records-request workflow, the AI document-match check, the priority configuration surface, the EU regulation ingest pipeline, and the org chart analytics dashboard — is reflected in the fixed fee.</w:t>
      </w:r>
      <w:r>
        <w:rPr>
          <w:b w:val="0"/>
          <w:i w:val="0"/>
          <w:strike w:val="0"/>
        </w:rPr>
        <w:t xml:space="preserve"> </w:t>
      </w:r>
      <w:r>
        <w:rPr>
          <w:b w:val="0"/>
          <w:i/>
          <w:strike w:val="0"/>
          <w:color w:val="7030A0"/>
          <w:sz w:val="16"/>
        </w:rPr>
        <w:t xml:space="preserve"> [Aug 2026 client MOM]</w:t>
      </w:r>
    </w:p>
    <w:p>
      <w:r>
        <w:rPr>
          <w:b/>
          <w:i/>
          <w:strike w:val="0"/>
          <w:color w:val="008080"/>
        </w:rPr>
        <w:t>And that the v6.0 additions are too: article-level test fan-out (FR-106), post-evidence gap identification (FR-112), the employee directory (FR-116), and the calendar and remediation dashboard views (FR-114, FR-115). One item is deliberately outside the fee at signature: the FR-111 follow-up request portal, which stays a proposal until the development-effort assessment the client asked for on 11 August is returned and a scope decision is taken. If it is approved after signature it is an amendment, not a clarification.</w:t>
      </w:r>
      <w:r>
        <w:rPr>
          <w:b w:val="0"/>
          <w:i w:val="0"/>
          <w:strike w:val="0"/>
        </w:rPr>
        <w:t xml:space="preserve"> </w:t>
      </w:r>
      <w:r>
        <w:rPr>
          <w:b w:val="0"/>
          <w:i/>
          <w:strike w:val="0"/>
          <w:color w:val="008080"/>
          <w:sz w:val="16"/>
        </w:rPr>
        <w:t xml:space="preserve"> [11 Aug 2026 MOM]</w:t>
      </w:r>
    </w:p>
    <w:p>
      <w:r>
        <w:rPr>
          <w:b/>
          <w:i/>
          <w:strike w:val="0"/>
          <w:color w:val="843C0C"/>
        </w:rPr>
        <w:t>v7.0 adds a further block of net-new scope that must be reflected in the fee: enquiry management in the Portal (SA-16 to SA-19), the onboarding link mechanism (SA-20, SA-21), self-service account creation and a resumable, validated wizard (FR-117 to FR-119), call tree capture and gap review at onboarding (FR-120 to FR-122), and the payment step with activation and retry (FR-123 to FR-127).</w:t>
      </w:r>
      <w:r>
        <w:rPr>
          <w:b w:val="0"/>
          <w:i w:val="0"/>
          <w:strike w:val="0"/>
        </w:rPr>
        <w:t xml:space="preserve"> </w:t>
      </w:r>
      <w:r>
        <w:rPr>
          <w:b w:val="0"/>
          <w:i/>
          <w:strike w:val="0"/>
          <w:color w:val="843C0C"/>
          <w:sz w:val="16"/>
        </w:rPr>
        <w:t xml:space="preserve"> [Aug 2026 onboarding flow]</w:t>
      </w:r>
    </w:p>
    <w:p>
      <w:r>
        <w:rPr>
          <w:b/>
          <w:i/>
          <w:strike w:val="0"/>
          <w:color w:val="CC00CC"/>
        </w:rPr>
        <w:t>v8.0 adds a further block of net-new scope that must be reflected in the fee: the business-owner dashboard and upload-or-reason flow (FR-133, FR-134), per-unit request mapping and the justified announcement distribution list (FR-131, FR-132), the test overview and N/A register views (FR-129, FR-130), per-step gap statuses (FR-135), the CCO review-outcome flow (FR-136), the glossary on both sides (FR-137, SA-25), Super Admin test cloning (SA-22), associate admin roles (SA-24), and the vendor AML news feed source (FR-138 — conditional on NF-01). One removal cuts scope: manual staff entry (FR-62). GAP-21 must be resolved before the remediation sprint.</w:t>
      </w:r>
      <w:r>
        <w:rPr>
          <w:b w:val="0"/>
          <w:i w:val="0"/>
          <w:strike w:val="0"/>
        </w:rPr>
        <w:t xml:space="preserve"> </w:t>
      </w:r>
      <w:r>
        <w:rPr>
          <w:b w:val="0"/>
          <w:i/>
          <w:strike w:val="0"/>
          <w:color w:val="CC00CC"/>
          <w:sz w:val="16"/>
        </w:rPr>
        <w:t xml:space="preserve"> [14 Aug 2026 MOM]</w:t>
      </w:r>
    </w:p>
    <w:p>
      <w:r>
        <w:rPr>
          <w:b/>
          <w:i/>
          <w:strike w:val="0"/>
          <w:color w:val="843C0C"/>
        </w:rPr>
        <w:t>Two items must be settled before this section is signed, and neither is a development decision. GAP-18: MKT-02 says there is no self-serve checkout while FR-123 puts a payment step in the product — the document needs one agreed statement of what is and is not self-serve. GAP-19: CC-06 makes Synergy the direct biller while the platform now collects the payment — whose merchant account, whose invoice, whose refund. Signing with these open freezes a baseline that contradicts itself on the commercial terms, which is the worst place for a fixed-price contract to be ambiguous. Note also that the payment step cannot be estimated at all until ON-01 to ON-03 are answered — an invoice-and-transfer model and a recurring card subscription are not the same build.</w:t>
      </w:r>
      <w:r>
        <w:rPr>
          <w:b w:val="0"/>
          <w:i w:val="0"/>
          <w:strike w:val="0"/>
        </w:rPr>
        <w:t xml:space="preserve"> </w:t>
      </w:r>
      <w:r>
        <w:rPr>
          <w:b w:val="0"/>
          <w:i/>
          <w:strike w:val="0"/>
          <w:color w:val="843C0C"/>
          <w:sz w:val="16"/>
        </w:rPr>
        <w:t xml:space="preserve"> [Aug 2026 onboarding flow]</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1F4E79"/>
          </w:tcPr>
          <w:p>
            <w:r>
              <w:rPr>
                <w:b/>
                <w:color w:val="FFFFFF"/>
              </w:rPr>
            </w:r>
            <w:r>
              <w:rPr>
                <w:b/>
                <w:i w:val="0"/>
                <w:strike w:val="0"/>
                <w:color w:val="FFFFFF"/>
              </w:rPr>
              <w:t>Role</w:t>
            </w:r>
          </w:p>
        </w:tc>
        <w:tc>
          <w:tcPr>
            <w:tcW w:type="dxa" w:w="2160"/>
            <w:shd w:val="clear" w:fill="1F4E79"/>
          </w:tcPr>
          <w:p>
            <w:r>
              <w:rPr>
                <w:b/>
                <w:color w:val="FFFFFF"/>
              </w:rPr>
            </w:r>
            <w:r>
              <w:rPr>
                <w:b/>
                <w:i w:val="0"/>
                <w:strike w:val="0"/>
                <w:color w:val="FFFFFF"/>
              </w:rPr>
              <w:t>Name</w:t>
            </w:r>
          </w:p>
        </w:tc>
        <w:tc>
          <w:tcPr>
            <w:tcW w:type="dxa" w:w="2160"/>
            <w:shd w:val="clear" w:fill="1F4E79"/>
          </w:tcPr>
          <w:p>
            <w:r>
              <w:rPr>
                <w:b/>
                <w:color w:val="FFFFFF"/>
              </w:rPr>
            </w:r>
            <w:r>
              <w:rPr>
                <w:b/>
                <w:i w:val="0"/>
                <w:strike w:val="0"/>
                <w:color w:val="FFFFFF"/>
              </w:rPr>
              <w:t>Organisation</w:t>
            </w:r>
          </w:p>
        </w:tc>
        <w:tc>
          <w:tcPr>
            <w:tcW w:type="dxa" w:w="2160"/>
            <w:shd w:val="clear" w:fill="1F4E79"/>
          </w:tcPr>
          <w:p>
            <w:r>
              <w:rPr>
                <w:b/>
                <w:color w:val="FFFFFF"/>
              </w:rPr>
            </w:r>
            <w:r>
              <w:rPr>
                <w:b/>
                <w:i w:val="0"/>
                <w:strike w:val="0"/>
                <w:color w:val="FFFFFF"/>
              </w:rPr>
              <w:t>Signature / Date</w:t>
            </w:r>
          </w:p>
        </w:tc>
      </w:tr>
      <w:tr>
        <w:tc>
          <w:tcPr>
            <w:tcW w:type="dxa" w:w="2160"/>
          </w:tcPr>
          <w:p>
            <w:r/>
            <w:r>
              <w:rPr>
                <w:b w:val="0"/>
                <w:i w:val="0"/>
                <w:strike w:val="0"/>
              </w:rPr>
              <w:t>Delivery Head</w:t>
            </w:r>
          </w:p>
        </w:tc>
        <w:tc>
          <w:tcPr>
            <w:tcW w:type="dxa" w:w="2160"/>
          </w:tcPr>
          <w:p>
            <w:r/>
            <w:r>
              <w:rPr>
                <w:b w:val="0"/>
                <w:i w:val="0"/>
                <w:strike w:val="0"/>
              </w:rPr>
              <w:t>Jomin Johnson</w:t>
            </w:r>
          </w:p>
        </w:tc>
        <w:tc>
          <w:tcPr>
            <w:tcW w:type="dxa" w:w="2160"/>
          </w:tcPr>
          <w:p>
            <w:r/>
            <w:r>
              <w:rPr>
                <w:b w:val="0"/>
                <w:i w:val="0"/>
                <w:strike w:val="0"/>
              </w:rPr>
              <w:t>SayOne Technologies</w:t>
            </w:r>
          </w:p>
        </w:tc>
        <w:tc>
          <w:tcPr>
            <w:tcW w:type="dxa" w:w="2160"/>
          </w:tcPr>
          <w:p>
            <w:r/>
          </w:p>
        </w:tc>
      </w:tr>
      <w:tr>
        <w:tc>
          <w:tcPr>
            <w:tcW w:type="dxa" w:w="2160"/>
          </w:tcPr>
          <w:p>
            <w:r/>
            <w:r>
              <w:rPr>
                <w:b w:val="0"/>
                <w:i w:val="0"/>
                <w:strike w:val="0"/>
              </w:rPr>
              <w:t>Client — Domain Expert</w:t>
            </w:r>
          </w:p>
        </w:tc>
        <w:tc>
          <w:tcPr>
            <w:tcW w:type="dxa" w:w="2160"/>
          </w:tcPr>
          <w:p>
            <w:r/>
            <w:r>
              <w:rPr>
                <w:b w:val="0"/>
                <w:i w:val="0"/>
                <w:strike w:val="0"/>
              </w:rPr>
              <w:t>Sosinna Degefu</w:t>
            </w:r>
          </w:p>
        </w:tc>
        <w:tc>
          <w:tcPr>
            <w:tcW w:type="dxa" w:w="2160"/>
          </w:tcPr>
          <w:p>
            <w:r/>
            <w:r>
              <w:rPr>
                <w:b w:val="0"/>
                <w:i w:val="0"/>
                <w:strike w:val="0"/>
              </w:rPr>
              <w:t>Synergy Consulting Group</w:t>
            </w:r>
          </w:p>
        </w:tc>
        <w:tc>
          <w:tcPr>
            <w:tcW w:type="dxa" w:w="2160"/>
          </w:tcPr>
          <w:p>
            <w:r/>
          </w:p>
        </w:tc>
      </w:tr>
    </w:tbl>
    <w:p>
      <w:r>
        <w:rPr>
          <w:b w:val="0"/>
          <w:i/>
          <w:strike w:val="0"/>
          <w:color w:val="595959"/>
        </w:rPr>
        <w:t>ControlIQ · Product Requirements Document v8.0 · SayOne Technologies · Confidential · August 2026</w:t>
      </w:r>
      <w:r>
        <w:rPr>
          <w:b w:val="0"/>
          <w:i w:val="0"/>
          <w:strike w:val="0"/>
        </w:rPr>
        <w:t xml:space="preserve"> </w:t>
      </w:r>
      <w:r>
        <w:rPr>
          <w:b w:val="0"/>
          <w:i/>
          <w:strike w:val="0"/>
          <w:color w:val="595959"/>
          <w:sz w:val="16"/>
        </w:rPr>
        <w:t xml:space="preserve"> [status note]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