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trike w:val="0"/>
        </w:rPr>
        <w:t>ControlIQ</w:t>
      </w:r>
    </w:p>
    <w:p>
      <w:r>
        <w:rPr>
          <w:b w:val="0"/>
          <w:i/>
          <w:strike w:val="0"/>
        </w:rPr>
        <w:t>by SayOne Technologies</w:t>
      </w:r>
    </w:p>
    <w:p>
      <w:r>
        <w:rPr>
          <w:b/>
          <w:i w:val="0"/>
          <w:strike w:val="0"/>
        </w:rPr>
        <w:t>PRODUCT REQUIREMENTS DOCUMENT</w:t>
      </w:r>
    </w:p>
    <w:tbl>
      <w:tblPr>
        <w:tblStyle w:val="TableGrid"/>
        <w:tblW w:type="auto" w:w="0"/>
        <w:tblLook w:firstColumn="1" w:firstRow="1" w:lastColumn="0" w:lastRow="0" w:noHBand="0" w:noVBand="1" w:val="04A0"/>
      </w:tblPr>
      <w:tblGrid>
        <w:gridCol w:w="4320"/>
        <w:gridCol w:w="4320"/>
      </w:tblGrid>
      <w:tr>
        <w:tc>
          <w:tcPr>
            <w:tcW w:type="dxa" w:w="4320"/>
            <w:shd w:val="clear" w:fill="1F4E79"/>
          </w:tcPr>
          <w:p>
            <w:r>
              <w:rPr>
                <w:b/>
                <w:color w:val="FFFFFF"/>
              </w:rPr>
            </w:r>
            <w:r>
              <w:rPr>
                <w:b/>
                <w:i w:val="0"/>
                <w:strike w:val="0"/>
                <w:color w:val="FFFFFF"/>
              </w:rPr>
              <w:t>Field</w:t>
            </w:r>
          </w:p>
        </w:tc>
        <w:tc>
          <w:tcPr>
            <w:tcW w:type="dxa" w:w="4320"/>
            <w:shd w:val="clear" w:fill="1F4E79"/>
          </w:tcPr>
          <w:p>
            <w:r>
              <w:rPr>
                <w:b/>
                <w:color w:val="FFFFFF"/>
              </w:rPr>
            </w:r>
            <w:r>
              <w:rPr>
                <w:b/>
                <w:i w:val="0"/>
                <w:strike w:val="0"/>
                <w:color w:val="FFFFFF"/>
              </w:rPr>
              <w:t>Value</w:t>
            </w:r>
          </w:p>
        </w:tc>
      </w:tr>
      <w:tr>
        <w:tc>
          <w:tcPr>
            <w:tcW w:type="dxa" w:w="4320"/>
          </w:tcPr>
          <w:p>
            <w:r/>
            <w:r>
              <w:rPr>
                <w:b w:val="0"/>
                <w:i w:val="0"/>
                <w:strike w:val="0"/>
              </w:rPr>
              <w:t>Document</w:t>
            </w:r>
          </w:p>
        </w:tc>
        <w:tc>
          <w:tcPr>
            <w:tcW w:type="dxa" w:w="4320"/>
          </w:tcPr>
          <w:p>
            <w:r/>
            <w:r>
              <w:rPr>
                <w:b w:val="0"/>
                <w:i w:val="0"/>
                <w:strike w:val="0"/>
              </w:rPr>
              <w:t>ControlIQ — Product Requirements Document (PRD v11.0)</w:t>
            </w:r>
          </w:p>
        </w:tc>
      </w:tr>
      <w:tr>
        <w:tc>
          <w:tcPr>
            <w:tcW w:type="dxa" w:w="4320"/>
          </w:tcPr>
          <w:p>
            <w:r/>
            <w:r>
              <w:rPr>
                <w:b w:val="0"/>
                <w:i w:val="0"/>
                <w:strike w:val="0"/>
              </w:rPr>
              <w:t>Version</w:t>
            </w:r>
          </w:p>
        </w:tc>
        <w:tc>
          <w:tcPr>
            <w:tcW w:type="dxa" w:w="4320"/>
          </w:tcPr>
          <w:p>
            <w:r/>
            <w:r>
              <w:rPr>
                <w:b w:val="0"/>
                <w:i w:val="0"/>
                <w:strike w:val="0"/>
              </w:rPr>
              <w:t>11.0 · September 2026</w:t>
            </w:r>
          </w:p>
        </w:tc>
      </w:tr>
      <w:tr>
        <w:tc>
          <w:tcPr>
            <w:tcW w:type="dxa" w:w="4320"/>
          </w:tcPr>
          <w:p>
            <w:r/>
            <w:r>
              <w:rPr>
                <w:b w:val="0"/>
                <w:i w:val="0"/>
                <w:strike w:val="0"/>
              </w:rPr>
              <w:t>Prepared by</w:t>
            </w:r>
          </w:p>
        </w:tc>
        <w:tc>
          <w:tcPr>
            <w:tcW w:type="dxa" w:w="4320"/>
          </w:tcPr>
          <w:p>
            <w:r/>
            <w:r>
              <w:rPr>
                <w:b w:val="0"/>
                <w:i w:val="0"/>
                <w:strike w:val="0"/>
              </w:rPr>
              <w:t>Jomin Johnson, Delivery Head — SayOne Technologies</w:t>
            </w:r>
          </w:p>
        </w:tc>
      </w:tr>
      <w:tr>
        <w:tc>
          <w:tcPr>
            <w:tcW w:type="dxa" w:w="4320"/>
          </w:tcPr>
          <w:p>
            <w:r/>
            <w:r>
              <w:rPr>
                <w:b w:val="0"/>
                <w:i w:val="0"/>
                <w:strike w:val="0"/>
              </w:rPr>
              <w:t>Prepared for</w:t>
            </w:r>
          </w:p>
        </w:tc>
        <w:tc>
          <w:tcPr>
            <w:tcW w:type="dxa" w:w="4320"/>
          </w:tcPr>
          <w:p>
            <w:r/>
            <w:r>
              <w:rPr>
                <w:b w:val="0"/>
                <w:i w:val="0"/>
                <w:strike w:val="0"/>
              </w:rPr>
              <w:t>Sosinna Degefu, Synergy Consulting Group / FinTech House Lisbon</w:t>
            </w:r>
          </w:p>
        </w:tc>
      </w:tr>
      <w:tr>
        <w:tc>
          <w:tcPr>
            <w:tcW w:type="dxa" w:w="4320"/>
          </w:tcPr>
          <w:p>
            <w:r/>
            <w:r>
              <w:rPr>
                <w:b w:val="0"/>
                <w:i w:val="0"/>
                <w:strike w:val="0"/>
              </w:rPr>
              <w:t>Status</w:t>
            </w:r>
          </w:p>
        </w:tc>
        <w:tc>
          <w:tcPr>
            <w:tcW w:type="dxa" w:w="4320"/>
          </w:tcPr>
          <w:p>
            <w:r/>
            <w:r>
              <w:rPr>
                <w:b w:val="0"/>
                <w:i w:val="0"/>
                <w:strike w:val="0"/>
              </w:rPr>
              <w:t>v11.0 — the test model restructured against the client's Create-test screen: Regulation → Rule → Test → Requirement → Article, with the requirement carrying its own articles, service lines, business unit, schedule, steps, request list, scope and guidance documents, and the CCO assigning per requirement. This is the TS-08 change v10.0 deferred, now built in full. Closes TS-05, TS-06, TS-07, TS-08 and GAP-15. Service line master list corrected to the ten CASP service lines under MiCA. Substantial net-new scope on top of v10.0's — re-baseline before signature.</w:t>
            </w:r>
          </w:p>
        </w:tc>
      </w:tr>
      <w:tr>
        <w:tc>
          <w:tcPr>
            <w:tcW w:type="dxa" w:w="4320"/>
          </w:tcPr>
          <w:p>
            <w:r/>
            <w:r>
              <w:rPr>
                <w:b w:val="0"/>
                <w:i w:val="0"/>
                <w:strike w:val="0"/>
              </w:rPr>
              <w:t>Product name</w:t>
            </w:r>
          </w:p>
        </w:tc>
        <w:tc>
          <w:tcPr>
            <w:tcW w:type="dxa" w:w="4320"/>
          </w:tcPr>
          <w:p>
            <w:r/>
            <w:r>
              <w:rPr>
                <w:b w:val="0"/>
                <w:i w:val="0"/>
                <w:strike w:val="0"/>
              </w:rPr>
              <w:t>ControlIQ (renamed from ComplianceIQ, August 2026)</w:t>
            </w:r>
          </w:p>
        </w:tc>
      </w:tr>
      <w:tr>
        <w:tc>
          <w:tcPr>
            <w:tcW w:type="dxa" w:w="4320"/>
          </w:tcPr>
          <w:p>
            <w:r/>
            <w:r>
              <w:rPr>
                <w:b w:val="0"/>
                <w:i w:val="0"/>
                <w:strike w:val="0"/>
              </w:rPr>
              <w:t>Supersedes</w:t>
            </w:r>
          </w:p>
        </w:tc>
        <w:tc>
          <w:tcPr>
            <w:tcW w:type="dxa" w:w="4320"/>
          </w:tcPr>
          <w:p>
            <w:r/>
            <w:r>
              <w:rPr>
                <w:b w:val="0"/>
                <w:i w:val="0"/>
                <w:strike w:val="0"/>
              </w:rPr>
              <w:t>v10.0 (September 2026). v4.0 (June 2026) remains the last .docx-signed baseline and was issued under the ComplianceIQ name</w:t>
            </w:r>
          </w:p>
        </w:tc>
      </w:tr>
      <w:tr>
        <w:tc>
          <w:tcPr>
            <w:tcW w:type="dxa" w:w="4320"/>
          </w:tcPr>
          <w:p>
            <w:r/>
            <w:r>
              <w:rPr>
                <w:b w:val="0"/>
                <w:i w:val="0"/>
                <w:strike w:val="0"/>
              </w:rPr>
              <w:t>Regulations covered</w:t>
            </w:r>
          </w:p>
        </w:tc>
        <w:tc>
          <w:tcPr>
            <w:tcW w:type="dxa" w:w="4320"/>
          </w:tcPr>
          <w:p>
            <w:r/>
            <w:r>
              <w:rPr>
                <w:b w:val="0"/>
                <w:i w:val="0"/>
                <w:strike w:val="0"/>
              </w:rPr>
              <w:t>MiCA (EU 2023/1114) and DORA (EU 2022/2554)</w:t>
            </w:r>
          </w:p>
        </w:tc>
      </w:tr>
      <w:tr>
        <w:tc>
          <w:tcPr>
            <w:tcW w:type="dxa" w:w="4320"/>
          </w:tcPr>
          <w:p>
            <w:r/>
            <w:r>
              <w:rPr>
                <w:b w:val="0"/>
                <w:i w:val="0"/>
                <w:strike w:val="0"/>
              </w:rPr>
              <w:t>Built for</w:t>
            </w:r>
          </w:p>
        </w:tc>
        <w:tc>
          <w:tcPr>
            <w:tcW w:type="dxa" w:w="4320"/>
          </w:tcPr>
          <w:p>
            <w:r/>
            <w:r>
              <w:rPr>
                <w:b w:val="0"/>
                <w:i w:val="0"/>
                <w:strike w:val="0"/>
              </w:rPr>
              <w:t>Crypto Asset Service Providers (CASPs) licensed in the EU</w:t>
            </w:r>
          </w:p>
        </w:tc>
      </w:tr>
    </w:tbl>
    <w:tbl>
      <w:tblPr>
        <w:tblStyle w:val="TableGrid"/>
        <w:tblW w:type="auto" w:w="0"/>
        <w:tblLook w:firstColumn="1" w:firstRow="1" w:lastColumn="0" w:lastRow="0" w:noHBand="0" w:noVBand="1" w:val="04A0"/>
      </w:tblPr>
      <w:tblGrid>
        <w:gridCol w:w="8640"/>
      </w:tblGrid>
      <w:tr>
        <w:tc>
          <w:tcPr>
            <w:tcW w:type="dxa" w:w="8640"/>
            <w:shd w:val="clear" w:fill="DDEBF7"/>
          </w:tcPr>
          <w:p>
            <w:r>
              <w:rPr>
                <w:b/>
                <w:i w:val="0"/>
                <w:strike w:val="0"/>
              </w:rPr>
              <w:t>NOTE</w:t>
            </w:r>
            <w:r>
              <w:rPr>
                <w:b w:val="0"/>
                <w:i w:val="0"/>
                <w:strike w:val="0"/>
              </w:rPr>
              <w:t xml:space="preserve"> </w:t>
            </w:r>
            <w:r>
              <w:rPr>
                <w:b w:val="0"/>
                <w:i/>
                <w:strike w:val="0"/>
              </w:rPr>
              <w:t>(blue)</w:t>
            </w:r>
          </w:p>
          <w:p>
            <w:r>
              <w:rPr>
                <w:b/>
                <w:i w:val="0"/>
                <w:strike w:val="0"/>
              </w:rPr>
              <w:t>🗂 Annotation Legend — added 3 Jul 2026, extended 10 Aug 2026, 12 Aug 2026 and 17 Aug 2026</w:t>
            </w:r>
          </w:p>
          <w:p>
            <w:pPr>
              <w:pStyle w:val="ListBullet"/>
            </w:pPr>
            <w:r>
              <w:rPr>
                <w:b/>
                <w:i w:val="0"/>
                <w:strike w:val="0"/>
              </w:rPr>
              <w:t>Blue italic text</w:t>
            </w:r>
            <w:r>
              <w:rPr>
                <w:b w:val="0"/>
                <w:i w:val="0"/>
                <w:strike w:val="0"/>
              </w:rPr>
              <w:t xml:space="preserve"> = answer sourced from the 25 Jun 2026 FRD Review call (Fathom recording). </w:t>
            </w:r>
            <w:r>
              <w:rPr>
                <w:b w:val="0"/>
                <w:i/>
                <w:strike w:val="0"/>
                <w:color w:val="1155CC"/>
                <w:sz w:val="16"/>
              </w:rPr>
              <w:t xml:space="preserve"> [25 Jun FRD call]</w:t>
            </w:r>
          </w:p>
          <w:p>
            <w:pPr>
              <w:pStyle w:val="ListBullet"/>
            </w:pPr>
            <w:r>
              <w:rPr>
                <w:b/>
                <w:i w:val="0"/>
                <w:strike w:val="0"/>
              </w:rPr>
              <w:t>Orange italic text</w:t>
            </w:r>
            <w:r>
              <w:rPr>
                <w:b w:val="0"/>
                <w:i w:val="0"/>
                <w:strike w:val="0"/>
              </w:rPr>
              <w:t xml:space="preserve"> = answer or addition sourced from Sosinna's comments on the Google Doc. </w:t>
            </w:r>
            <w:r>
              <w:rPr>
                <w:b w:val="0"/>
                <w:i/>
                <w:strike w:val="0"/>
                <w:color w:val="C55A11"/>
                <w:sz w:val="16"/>
              </w:rPr>
              <w:t xml:space="preserve"> [Sosinna's Drive comment]</w:t>
            </w:r>
          </w:p>
          <w:p>
            <w:pPr>
              <w:pStyle w:val="ListBullet"/>
            </w:pPr>
            <w:r>
              <w:rPr>
                <w:b/>
                <w:i/>
                <w:strike w:val="0"/>
                <w:color w:val="7030A0"/>
              </w:rPr>
              <w:t>Purple italic text = decision or new requirement sourced from the August 2026 client meeting minutes (MOM). This is the material that turns v4.0 into v5.0.</w:t>
            </w:r>
            <w:r>
              <w:rPr>
                <w:b w:val="0"/>
                <w:i w:val="0"/>
                <w:strike w:val="0"/>
              </w:rPr>
              <w:t xml:space="preserve"> </w:t>
            </w:r>
            <w:r>
              <w:rPr>
                <w:b w:val="0"/>
                <w:i/>
                <w:strike w:val="0"/>
                <w:color w:val="7030A0"/>
                <w:sz w:val="16"/>
              </w:rPr>
              <w:t xml:space="preserve"> [Aug 2026 client MOM]</w:t>
            </w:r>
          </w:p>
          <w:p>
            <w:pPr>
              <w:pStyle w:val="ListBullet"/>
            </w:pPr>
            <w:r>
              <w:rPr>
                <w:b/>
                <w:i/>
                <w:strike w:val="0"/>
                <w:color w:val="008080"/>
              </w:rPr>
              <w:t>Teal italic text = decision, confirmation or new requirement sourced from the Compliance Testing Workflow Review of 11 August 2026. This is the material that turns v5.0 into v6.0.</w:t>
            </w:r>
            <w:r>
              <w:rPr>
                <w:b w:val="0"/>
                <w:i w:val="0"/>
                <w:strike w:val="0"/>
              </w:rPr>
              <w:t xml:space="preserve"> </w:t>
            </w:r>
            <w:r>
              <w:rPr>
                <w:b w:val="0"/>
                <w:i/>
                <w:strike w:val="0"/>
                <w:color w:val="008080"/>
                <w:sz w:val="16"/>
              </w:rPr>
              <w:t xml:space="preserve"> [11 Aug 2026 MOM]</w:t>
            </w:r>
          </w:p>
          <w:p>
            <w:pPr>
              <w:pStyle w:val="ListBullet"/>
            </w:pPr>
            <w:r>
              <w:rPr>
                <w:b/>
                <w:i/>
                <w:strike w:val="0"/>
                <w:color w:val="843C0C"/>
              </w:rPr>
              <w:t>Brown italic text = the client-specified firm onboarding flow, received August 2026. This is the material that turns v6.0 into v7.0 and it is concentrated in Section 5.</w:t>
            </w:r>
            <w:r>
              <w:rPr>
                <w:b w:val="0"/>
                <w:i w:val="0"/>
                <w:strike w:val="0"/>
              </w:rPr>
              <w:t xml:space="preserve"> </w:t>
            </w:r>
            <w:r>
              <w:rPr>
                <w:b w:val="0"/>
                <w:i/>
                <w:strike w:val="0"/>
                <w:color w:val="843C0C"/>
                <w:sz w:val="16"/>
              </w:rPr>
              <w:t xml:space="preserve"> [Aug 2026 onboarding flow]</w:t>
            </w:r>
          </w:p>
          <w:p>
            <w:pPr>
              <w:pStyle w:val="ListBullet"/>
            </w:pPr>
            <w:r>
              <w:rPr>
                <w:b/>
                <w:i/>
                <w:strike w:val="0"/>
                <w:color w:val="CC00CC"/>
              </w:rPr>
              <w:t>Magenta italic text = decision, confirmation or new requirement sourced from the client meeting of 14 August 2026. This is the material that turns v7.0 into v8.0.</w:t>
            </w:r>
            <w:r>
              <w:rPr>
                <w:b w:val="0"/>
                <w:i w:val="0"/>
                <w:strike w:val="0"/>
              </w:rPr>
              <w:t xml:space="preserve"> </w:t>
            </w:r>
            <w:r>
              <w:rPr>
                <w:b w:val="0"/>
                <w:i/>
                <w:strike w:val="0"/>
                <w:color w:val="CC00CC"/>
                <w:sz w:val="16"/>
              </w:rPr>
              <w:t xml:space="preserve"> [14 Aug 2026 MOM]</w:t>
            </w:r>
          </w:p>
          <w:p>
            <w:pPr>
              <w:pStyle w:val="ListBullet"/>
            </w:pPr>
            <w:r>
              <w:rPr>
                <w:b/>
                <w:i/>
                <w:strike w:val="0"/>
                <w:color w:val="C00000"/>
              </w:rPr>
              <w:t xml:space="preserve">Bracketed </w:t>
            </w:r>
            <w:r>
              <w:rPr>
                <w:b/>
                <w:i/>
                <w:strike w:val="0"/>
                <w:color w:val="C00000"/>
                <w:sz w:val="16"/>
              </w:rPr>
              <w:t xml:space="preserve"> [Sep 2026 scope decision]</w:t>
            </w:r>
            <w:r>
              <w:rPr>
                <w:b/>
                <w:i/>
                <w:strike w:val="0"/>
                <w:color w:val="C00000"/>
              </w:rPr>
              <w:t xml:space="preserve"> text = a scope decision taken by the client in September 2026. This is the material that turns v8.0 into v9.0, and unlike every earlier tag it removes scope as well as settling it.</w:t>
            </w:r>
            <w:r>
              <w:rPr>
                <w:b w:val="0"/>
                <w:i w:val="0"/>
                <w:strike w:val="0"/>
              </w:rPr>
              <w:t xml:space="preserve"> </w:t>
            </w:r>
            <w:r>
              <w:rPr>
                <w:b w:val="0"/>
                <w:i/>
                <w:strike w:val="0"/>
                <w:color w:val="C00000"/>
                <w:sz w:val="16"/>
              </w:rPr>
              <w:t xml:space="preserve"> [Sep 2026 scope decision]</w:t>
            </w:r>
          </w:p>
          <w:p>
            <w:pPr>
              <w:pStyle w:val="ListBullet"/>
            </w:pPr>
            <w:r>
              <w:rPr>
                <w:b/>
                <w:i/>
                <w:strike w:val="0"/>
                <w:color w:val="2E7D32"/>
              </w:rPr>
              <w:t xml:space="preserve">Bracketed </w:t>
            </w:r>
            <w:r>
              <w:rPr>
                <w:b/>
                <w:i/>
                <w:strike w:val="0"/>
                <w:color w:val="2E7D32"/>
                <w:sz w:val="16"/>
              </w:rPr>
              <w:t xml:space="preserve"> [Sep 2026 model revision]</w:t>
            </w:r>
            <w:r>
              <w:rPr>
                <w:b/>
                <w:i/>
                <w:strike w:val="0"/>
                <w:color w:val="2E7D32"/>
              </w:rPr>
              <w:t xml:space="preserve"> text = a model correction taken by the client in September 2026. This is the material that turns v9.0 into v10.0. It changes how two things work rather than whether they are in scope: how service lines are captured at onboarding, and where sampling applies.</w:t>
            </w:r>
            <w:r>
              <w:rPr>
                <w:b w:val="0"/>
                <w:i w:val="0"/>
                <w:strike w:val="0"/>
              </w:rPr>
              <w:t xml:space="preserve"> </w:t>
            </w:r>
            <w:r>
              <w:rPr>
                <w:b w:val="0"/>
                <w:i/>
                <w:strike w:val="0"/>
                <w:color w:val="2E7D32"/>
                <w:sz w:val="16"/>
              </w:rPr>
              <w:t xml:space="preserve"> [Sep 2026 model revision]</w:t>
            </w:r>
          </w:p>
          <w:p>
            <w:pPr>
              <w:pStyle w:val="ListBullet"/>
            </w:pPr>
            <w:r>
              <w:rPr>
                <w:b/>
                <w:i/>
                <w:strike w:val="0"/>
                <w:color w:val="7B3F00"/>
              </w:rPr>
              <w:t xml:space="preserve">Bracketed </w:t>
            </w:r>
            <w:r>
              <w:rPr>
                <w:b/>
                <w:i/>
                <w:strike w:val="0"/>
                <w:color w:val="7B3F00"/>
                <w:sz w:val="16"/>
              </w:rPr>
              <w:t xml:space="preserve"> [Sep 2026 test model]</w:t>
            </w:r>
            <w:r>
              <w:rPr>
                <w:b/>
                <w:i/>
                <w:strike w:val="0"/>
                <w:color w:val="7B3F00"/>
              </w:rPr>
              <w:t xml:space="preserve"> text = the restructuring of the test model taken from the client's Create-test screen of September 2026. This is the material that turns v10.0 into v11.0, and it is the largest structural change since the product's scheduling model was replaced at v5.0.</w:t>
            </w:r>
            <w:r>
              <w:rPr>
                <w:b w:val="0"/>
                <w:i w:val="0"/>
                <w:strike w:val="0"/>
              </w:rPr>
              <w:t xml:space="preserve"> </w:t>
            </w:r>
            <w:r>
              <w:rPr>
                <w:b w:val="0"/>
                <w:i/>
                <w:strike w:val="0"/>
                <w:color w:val="7B3F00"/>
                <w:sz w:val="16"/>
              </w:rPr>
              <w:t xml:space="preserve"> [Sep 2026 test model]</w:t>
            </w:r>
          </w:p>
          <w:p>
            <w:pPr>
              <w:pStyle w:val="ListBullet"/>
            </w:pPr>
            <w:r>
              <w:rPr>
                <w:b w:val="0"/>
                <w:i w:val="0"/>
                <w:strike w:val="0"/>
              </w:rPr>
              <w:t>Existing green (agreed) / amber (open question) / grey (note) boxes are unchanged conventions from earlier versions.</w:t>
            </w:r>
          </w:p>
          <w:p>
            <w:pPr>
              <w:pStyle w:val="ListBullet"/>
            </w:pPr>
            <w:r>
              <w:rPr>
                <w:b w:val="0"/>
                <w:i w:val="0"/>
                <w:strike w:val="0"/>
              </w:rPr>
              <w:t xml:space="preserve">Where the MOM changes an earlier decision, the earlier text is kept and marked </w:t>
            </w:r>
            <w:r>
              <w:rPr>
                <w:b w:val="0"/>
                <w:i/>
                <w:strike w:val="0"/>
              </w:rPr>
              <w:t>superseded</w:t>
            </w:r>
            <w:r>
              <w:rPr>
                <w:b w:val="0"/>
                <w:i w:val="0"/>
                <w:strike w:val="0"/>
              </w:rPr>
              <w:t xml:space="preserve"> rather than deleted — the same convention used for CC-01 and the Section 6.2 accuracy note.</w:t>
            </w:r>
          </w:p>
          <w:p>
            <w:r>
              <w:rPr>
                <w:b/>
                <w:i/>
                <w:strike w:val="0"/>
                <w:color w:val="7030A0"/>
              </w:rPr>
              <w:t>🏷 Product rename — August 2026</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The product is renamed from ComplianceIQ to ControlIQ. Every reference in this document uses the new name, including in text describing decisions taken before the rename — the name is applied document-wide rather than versioned per paragraph, so that nothing in the working baseline carries the retired name.</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Documents issued before this revision (v1.0 BRD through v4.0 PRD, and the signed PRD.docx) were published as ComplianceIQ. Those are historical records and are not retitled. When someone cites "the ComplianceIQ PRD", they mean v4.0 or earlier.</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The rename reaches beyond this document: report branding (FR-57), the marketing site (Section 1.3), the login and product UI, email templates, and the domain question in MKT-05 all carry the product name. See Section 14, CC-02 for what the rename does and does not settle.</w:t>
            </w:r>
            <w:r>
              <w:rPr>
                <w:b w:val="0"/>
                <w:i w:val="0"/>
                <w:strike w:val="0"/>
              </w:rPr>
              <w:t xml:space="preserve"> </w:t>
            </w:r>
            <w:r>
              <w:rPr>
                <w:b w:val="0"/>
                <w:i/>
                <w:strike w:val="0"/>
                <w:color w:val="7030A0"/>
                <w:sz w:val="16"/>
              </w:rPr>
              <w:t xml:space="preserve"> [Aug 2026 client MOM]</w:t>
            </w:r>
          </w:p>
        </w:tc>
      </w:tr>
    </w:tbl>
    <w:p>
      <w:pPr>
        <w:pStyle w:val="Heading1"/>
      </w:pPr>
      <w:r>
        <w:t>How to Read This Document</w:t>
      </w:r>
    </w:p>
    <w:p>
      <w:r>
        <w:rPr>
          <w:b w:val="0"/>
          <w:i w:val="0"/>
          <w:strike w:val="0"/>
        </w:rPr>
        <w:t>This document describes everything ControlIQ is being built to do. It is written for three audiences at the same time:</w:t>
      </w:r>
    </w:p>
    <w:tbl>
      <w:tblPr>
        <w:tblStyle w:val="TableGrid"/>
        <w:tblW w:type="auto" w:w="0"/>
        <w:tblLook w:firstColumn="1" w:firstRow="1" w:lastColumn="0" w:lastRow="0" w:noHBand="0" w:noVBand="1" w:val="04A0"/>
      </w:tblPr>
      <w:tblGrid>
        <w:gridCol w:w="4320"/>
        <w:gridCol w:w="4320"/>
      </w:tblGrid>
      <w:tr>
        <w:tc>
          <w:tcPr>
            <w:tcW w:type="dxa" w:w="4320"/>
            <w:shd w:val="clear" w:fill="1F4E79"/>
          </w:tcPr>
          <w:p>
            <w:r>
              <w:rPr>
                <w:b/>
                <w:color w:val="FFFFFF"/>
              </w:rPr>
            </w:r>
            <w:r>
              <w:rPr>
                <w:b/>
                <w:i w:val="0"/>
                <w:strike w:val="0"/>
                <w:color w:val="FFFFFF"/>
              </w:rPr>
              <w:t>Reader</w:t>
            </w:r>
          </w:p>
        </w:tc>
        <w:tc>
          <w:tcPr>
            <w:tcW w:type="dxa" w:w="4320"/>
            <w:shd w:val="clear" w:fill="1F4E79"/>
          </w:tcPr>
          <w:p>
            <w:r>
              <w:rPr>
                <w:b/>
                <w:color w:val="FFFFFF"/>
              </w:rPr>
            </w:r>
            <w:r>
              <w:rPr>
                <w:b/>
                <w:i w:val="0"/>
                <w:strike w:val="0"/>
                <w:color w:val="FFFFFF"/>
              </w:rPr>
              <w:t>What to focus on</w:t>
            </w:r>
          </w:p>
        </w:tc>
      </w:tr>
      <w:tr>
        <w:tc>
          <w:tcPr>
            <w:tcW w:type="dxa" w:w="4320"/>
          </w:tcPr>
          <w:p>
            <w:r/>
            <w:r>
              <w:rPr>
                <w:b w:val="0"/>
                <w:i w:val="0"/>
                <w:strike w:val="0"/>
              </w:rPr>
              <w:t>Sosinna (domain expert, client)</w:t>
            </w:r>
          </w:p>
        </w:tc>
        <w:tc>
          <w:tcPr>
            <w:tcW w:type="dxa" w:w="4320"/>
          </w:tcPr>
          <w:p>
            <w:r/>
            <w:r>
              <w:rPr>
                <w:b w:val="0"/>
                <w:i w:val="0"/>
                <w:strike w:val="0"/>
              </w:rPr>
              <w:t>The plain-English feature descriptions. If something doesn't match your vision or you think something is missing, note it down — every section ends with open questions. You don't need to read the grey developer notes.</w:t>
            </w:r>
          </w:p>
        </w:tc>
      </w:tr>
      <w:tr>
        <w:tc>
          <w:tcPr>
            <w:tcW w:type="dxa" w:w="4320"/>
          </w:tcPr>
          <w:p>
            <w:r/>
            <w:r>
              <w:rPr>
                <w:b w:val="0"/>
                <w:i w:val="0"/>
                <w:strike w:val="0"/>
              </w:rPr>
              <w:t>UI/UX designers</w:t>
            </w:r>
          </w:p>
        </w:tc>
        <w:tc>
          <w:tcPr>
            <w:tcW w:type="dxa" w:w="4320"/>
          </w:tcPr>
          <w:p>
            <w:r/>
            <w:r>
              <w:rPr>
                <w:b w:val="0"/>
                <w:i w:val="0"/>
                <w:strike w:val="0"/>
              </w:rPr>
              <w:t>The workflow sections and role descriptions. These explain who does what, in what order, and what they need to see on screen at each point.</w:t>
            </w:r>
          </w:p>
        </w:tc>
      </w:tr>
      <w:tr>
        <w:tc>
          <w:tcPr>
            <w:tcW w:type="dxa" w:w="4320"/>
          </w:tcPr>
          <w:p>
            <w:r/>
            <w:r>
              <w:rPr>
                <w:b w:val="0"/>
                <w:i w:val="0"/>
                <w:strike w:val="0"/>
              </w:rPr>
              <w:t>Developers and estimators</w:t>
            </w:r>
          </w:p>
        </w:tc>
        <w:tc>
          <w:tcPr>
            <w:tcW w:type="dxa" w:w="4320"/>
          </w:tcPr>
          <w:p>
            <w:r/>
            <w:r>
              <w:rPr>
                <w:b w:val="0"/>
                <w:i w:val="0"/>
                <w:strike w:val="0"/>
              </w:rPr>
              <w:t>The feature IDs in blue (like [FR-24]) are the individual items to estimate. The grey developer notes flag technical decisions. Everything else gives you the context for why a feature exists.</w:t>
            </w:r>
          </w:p>
        </w:tc>
      </w:tr>
    </w:tbl>
    <w:tbl>
      <w:tblPr>
        <w:tblStyle w:val="TableGrid"/>
        <w:tblW w:type="auto" w:w="0"/>
        <w:tblLook w:firstColumn="1" w:firstRow="1" w:lastColumn="0" w:lastRow="0" w:noHBand="0" w:noVBand="1" w:val="04A0"/>
      </w:tblPr>
      <w:tblGrid>
        <w:gridCol w:w="8640"/>
      </w:tblGrid>
      <w:tr>
        <w:tc>
          <w:tcPr>
            <w:tcW w:type="dxa" w:w="8640"/>
            <w:shd w:val="clear" w:fill="DDEBF7"/>
          </w:tcPr>
          <w:p>
            <w:r>
              <w:rPr>
                <w:b/>
                <w:i w:val="0"/>
                <w:strike w:val="0"/>
              </w:rPr>
              <w:t>📌 Note</w:t>
            </w:r>
          </w:p>
          <w:p>
            <w:pPr>
              <w:pStyle w:val="ListBullet"/>
            </w:pPr>
            <w:r>
              <w:rPr>
                <w:b w:val="0"/>
                <w:i w:val="0"/>
                <w:strike w:val="0"/>
              </w:rPr>
              <w:t>Some technical terms appear in this document — for example, 'multi-tenant architecture' or 'OCR'. Each one is explained in plain English the first time it appears.</w:t>
            </w:r>
          </w:p>
          <w:p>
            <w:pPr>
              <w:pStyle w:val="ListBullet"/>
            </w:pPr>
            <w:r>
              <w:rPr>
                <w:b w:val="0"/>
                <w:i w:val="0"/>
                <w:strike w:val="0"/>
              </w:rPr>
              <w:t>Confirmed decisions are shown in green boxes. Open questions are in yellow boxes. Everything else is agreed and in scope.</w:t>
            </w:r>
          </w:p>
          <w:p>
            <w:pPr>
              <w:pStyle w:val="ListBullet"/>
            </w:pPr>
            <w:r>
              <w:rPr>
                <w:b w:val="0"/>
                <w:i w:val="0"/>
                <w:strike w:val="0"/>
              </w:rPr>
              <w:t>Feature IDs like [FR-24] or [SA-02] are reference tags for the development team. They do not affect the reading.</w:t>
            </w:r>
          </w:p>
          <w:p>
            <w:pPr>
              <w:pStyle w:val="ListBullet"/>
            </w:pPr>
            <w:r>
              <w:rPr>
                <w:b w:val="0"/>
                <w:i w:val="0"/>
                <w:strike w:val="0"/>
              </w:rPr>
              <w:t>New: blue text marks answers from the 25 Jun call; orange text marks answers from Sosinna's Drive comments. See the legend on the title page.</w:t>
            </w:r>
          </w:p>
          <w:p>
            <w:pPr>
              <w:pStyle w:val="ListBullet"/>
            </w:pPr>
            <w:r>
              <w:rPr>
                <w:b/>
                <w:i/>
                <w:strike w:val="0"/>
                <w:color w:val="7030A0"/>
              </w:rPr>
              <w:t>New in v5.0: purple text marks decisions from the August 2026 client meeting. If you read only one thing in that revision, read Section 7.2 — the way tests get scheduled has changed.</w:t>
            </w:r>
            <w:r>
              <w:rPr>
                <w:b w:val="0"/>
                <w:i w:val="0"/>
                <w:strike w:val="0"/>
              </w:rPr>
              <w:t xml:space="preserve"> </w:t>
            </w:r>
            <w:r>
              <w:rPr>
                <w:b w:val="0"/>
                <w:i/>
                <w:strike w:val="0"/>
                <w:color w:val="7030A0"/>
                <w:sz w:val="16"/>
              </w:rPr>
              <w:t xml:space="preserve"> [Aug 2026 client MOM]</w:t>
            </w:r>
          </w:p>
          <w:p>
            <w:pPr>
              <w:pStyle w:val="ListBullet"/>
            </w:pPr>
            <w:r>
              <w:rPr>
                <w:b/>
                <w:i/>
                <w:strike w:val="0"/>
                <w:color w:val="008080"/>
              </w:rPr>
              <w:t>New in v6.0: teal text marks decisions from the 11 August 2026 Compliance Testing Workflow Review. Most of that meeting confirmed v5.0 rather than changing it. If you read only one thing in that revision, read Section 7.2 — one test can now be split across several testers by article.</w:t>
            </w:r>
            <w:r>
              <w:rPr>
                <w:b w:val="0"/>
                <w:i w:val="0"/>
                <w:strike w:val="0"/>
              </w:rPr>
              <w:t xml:space="preserve"> </w:t>
            </w:r>
            <w:r>
              <w:rPr>
                <w:b w:val="0"/>
                <w:i/>
                <w:strike w:val="0"/>
                <w:color w:val="008080"/>
                <w:sz w:val="16"/>
              </w:rPr>
              <w:t xml:space="preserve"> [11 Aug 2026 MOM]</w:t>
            </w:r>
          </w:p>
          <w:p>
            <w:pPr>
              <w:pStyle w:val="ListBullet"/>
            </w:pPr>
            <w:r>
              <w:rPr>
                <w:b/>
                <w:i/>
                <w:strike w:val="0"/>
                <w:color w:val="843C0C"/>
              </w:rPr>
              <w:t>New in v7.0: brown text marks the client-specified onboarding flow. If you read only one thing in this revision, read Section 5 — it is restructured, and stages 7 to 9 put payment inside the platform for the first time.</w:t>
            </w:r>
            <w:r>
              <w:rPr>
                <w:b w:val="0"/>
                <w:i w:val="0"/>
                <w:strike w:val="0"/>
              </w:rPr>
              <w:t xml:space="preserve"> </w:t>
            </w:r>
            <w:r>
              <w:rPr>
                <w:b w:val="0"/>
                <w:i/>
                <w:strike w:val="0"/>
                <w:color w:val="843C0C"/>
                <w:sz w:val="16"/>
              </w:rPr>
              <w:t xml:space="preserve"> [Aug 2026 onboarding flow]</w:t>
            </w:r>
          </w:p>
          <w:p>
            <w:pPr>
              <w:pStyle w:val="ListBullet"/>
            </w:pPr>
            <w:r>
              <w:rPr>
                <w:b/>
                <w:i/>
                <w:strike w:val="0"/>
                <w:color w:val="CC00CC"/>
              </w:rPr>
              <w:t>New in v8.0: magenta text marks decisions from the 14 August 2026 client meeting. If you read only one thing in this revision, read Section 7.4 — the business owner's side of evidence collection is now specified end to end, from announcement letter to upload-or-reason.</w:t>
            </w:r>
            <w:r>
              <w:rPr>
                <w:b w:val="0"/>
                <w:i w:val="0"/>
                <w:strike w:val="0"/>
              </w:rPr>
              <w:t xml:space="preserve"> </w:t>
            </w:r>
            <w:r>
              <w:rPr>
                <w:b w:val="0"/>
                <w:i/>
                <w:strike w:val="0"/>
                <w:color w:val="CC00CC"/>
                <w:sz w:val="16"/>
              </w:rPr>
              <w:t xml:space="preserve"> [14 Aug 2026 MOM]</w:t>
            </w:r>
          </w:p>
          <w:p>
            <w:pPr>
              <w:pStyle w:val="ListBullet"/>
            </w:pPr>
            <w:r>
              <w:rPr>
                <w:b/>
                <w:i/>
                <w:strike w:val="0"/>
                <w:color w:val="C00000"/>
              </w:rPr>
              <w:t xml:space="preserve">New in v9.0: three scope decisions from September 2026, tagged </w:t>
            </w:r>
            <w:r>
              <w:rPr>
                <w:b/>
                <w:i/>
                <w:strike w:val="0"/>
                <w:color w:val="C00000"/>
                <w:sz w:val="16"/>
              </w:rPr>
              <w:t xml:space="preserve"> [Sep 2026 scope decision]</w:t>
            </w:r>
            <w:r>
              <w:rPr>
                <w:b/>
                <w:i/>
                <w:strike w:val="0"/>
                <w:color w:val="C00000"/>
              </w:rPr>
              <w:t>. If you read only one thing in this revision, read Section 11 — it has been withdrawn in full, and the IT / Systems Admin role goes with it.</w:t>
            </w:r>
            <w:r>
              <w:rPr>
                <w:b w:val="0"/>
                <w:i w:val="0"/>
                <w:strike w:val="0"/>
              </w:rPr>
              <w:t xml:space="preserve"> </w:t>
            </w:r>
            <w:r>
              <w:rPr>
                <w:b w:val="0"/>
                <w:i/>
                <w:strike w:val="0"/>
                <w:color w:val="C00000"/>
                <w:sz w:val="16"/>
              </w:rPr>
              <w:t xml:space="preserve"> [Sep 2026 scope decision]</w:t>
            </w:r>
          </w:p>
          <w:p>
            <w:pPr>
              <w:pStyle w:val="ListBullet"/>
            </w:pPr>
            <w:r>
              <w:rPr>
                <w:b/>
                <w:i/>
                <w:strike w:val="0"/>
                <w:color w:val="2E7D32"/>
              </w:rPr>
              <w:t xml:space="preserve">New in v10.0: two model corrections from September 2026, tagged </w:t>
            </w:r>
            <w:r>
              <w:rPr>
                <w:b/>
                <w:i/>
                <w:strike w:val="0"/>
                <w:color w:val="2E7D32"/>
                <w:sz w:val="16"/>
              </w:rPr>
              <w:t xml:space="preserve"> [Sep 2026 model revision]</w:t>
            </w:r>
            <w:r>
              <w:rPr>
                <w:b/>
                <w:i/>
                <w:strike w:val="0"/>
                <w:color w:val="2E7D32"/>
              </w:rPr>
              <w:t>. If you read only two things in this revision, read Section 5.5 — the firm now selects its service lines instead of confirming a list the platform derived — and Section 4.2, where sampling becomes a per-step property that a step is allowed to decline.</w:t>
            </w:r>
            <w:r>
              <w:rPr>
                <w:b w:val="0"/>
                <w:i w:val="0"/>
                <w:strike w:val="0"/>
              </w:rPr>
              <w:t xml:space="preserve"> </w:t>
            </w:r>
            <w:r>
              <w:rPr>
                <w:b w:val="0"/>
                <w:i/>
                <w:strike w:val="0"/>
                <w:color w:val="2E7D32"/>
                <w:sz w:val="16"/>
              </w:rPr>
              <w:t xml:space="preserve"> [Sep 2026 model revision]</w:t>
            </w:r>
          </w:p>
          <w:p>
            <w:pPr>
              <w:pStyle w:val="ListBullet"/>
            </w:pPr>
            <w:r>
              <w:rPr>
                <w:b/>
                <w:i/>
                <w:strike w:val="0"/>
                <w:color w:val="7B3F00"/>
              </w:rPr>
              <w:t xml:space="preserve">New in v11.0: the test model itself, tagged </w:t>
            </w:r>
            <w:r>
              <w:rPr>
                <w:b/>
                <w:i/>
                <w:strike w:val="0"/>
                <w:color w:val="7B3F00"/>
                <w:sz w:val="16"/>
              </w:rPr>
              <w:t xml:space="preserve"> [Sep 2026 test model]</w:t>
            </w:r>
            <w:r>
              <w:rPr>
                <w:b/>
                <w:i/>
                <w:strike w:val="0"/>
                <w:color w:val="7B3F00"/>
              </w:rPr>
              <w:t>. If you read only one thing in this revision, read Section 4.1 — a test is now a container holding several requirements, and the requirement is what gets assigned, tested, resulted and reported. Almost every change elsewhere in the document follows from that one sentence.</w:t>
            </w:r>
            <w:r>
              <w:rPr>
                <w:b w:val="0"/>
                <w:i w:val="0"/>
                <w:strike w:val="0"/>
              </w:rPr>
              <w:t xml:space="preserve"> </w:t>
            </w:r>
            <w:r>
              <w:rPr>
                <w:b w:val="0"/>
                <w:i/>
                <w:strike w:val="0"/>
                <w:color w:val="7B3F00"/>
                <w:sz w:val="16"/>
              </w:rPr>
              <w:t xml:space="preserve"> [Sep 2026 test model]</w:t>
            </w:r>
          </w:p>
        </w:tc>
      </w:tr>
    </w:tbl>
    <w:p>
      <w:pPr>
        <w:pStyle w:val="Heading2"/>
      </w:pPr>
      <w:r>
        <w:t>What Changed in v11.0</w:t>
      </w:r>
    </w:p>
    <w:p>
      <w:r>
        <w:rPr>
          <w:b/>
          <w:i/>
          <w:strike w:val="0"/>
          <w:color w:val="7B3F00"/>
        </w:rPr>
        <w:t>September 2026. The client supplied the Portal's Create-test screen, which settles the question deferred at v10.0 as TS-08 and several that had been open since v6.0. This revision restructures the test model to match it. It is the largest structural change since v5.0 replaced the scheduling model, and it touches Sections 2, 4, 5, 7, 8, 9 and 12.</w:t>
      </w:r>
      <w:r>
        <w:rPr>
          <w:b w:val="0"/>
          <w:i w:val="0"/>
          <w:strike w:val="0"/>
        </w:rPr>
        <w:t xml:space="preserve"> </w:t>
      </w:r>
      <w:r>
        <w:rPr>
          <w:b w:val="0"/>
          <w:i/>
          <w:strike w:val="0"/>
          <w:color w:val="7B3F00"/>
          <w:sz w:val="16"/>
        </w:rPr>
        <w:t xml:space="preserve"> [Sep 2026 test model]</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Change</w:t>
            </w:r>
          </w:p>
        </w:tc>
        <w:tc>
          <w:tcPr>
            <w:tcW w:type="dxa" w:w="2880"/>
            <w:shd w:val="clear" w:fill="1F4E79"/>
          </w:tcPr>
          <w:p>
            <w:r>
              <w:rPr>
                <w:b/>
                <w:color w:val="FFFFFF"/>
              </w:rPr>
            </w:r>
            <w:r>
              <w:rPr>
                <w:b/>
                <w:i w:val="0"/>
                <w:strike w:val="0"/>
                <w:color w:val="FFFFFF"/>
              </w:rPr>
              <w:t>Where</w:t>
            </w:r>
          </w:p>
        </w:tc>
        <w:tc>
          <w:tcPr>
            <w:tcW w:type="dxa" w:w="2880"/>
            <w:shd w:val="clear" w:fill="1F4E79"/>
          </w:tcPr>
          <w:p>
            <w:r>
              <w:rPr>
                <w:b/>
                <w:color w:val="FFFFFF"/>
              </w:rPr>
            </w:r>
            <w:r>
              <w:rPr>
                <w:b/>
                <w:i w:val="0"/>
                <w:strike w:val="0"/>
                <w:color w:val="FFFFFF"/>
              </w:rPr>
              <w:t>Why it matters</w:t>
            </w:r>
          </w:p>
        </w:tc>
      </w:tr>
      <w:tr>
        <w:tc>
          <w:tcPr>
            <w:tcW w:type="dxa" w:w="2880"/>
          </w:tcPr>
          <w:p>
            <w:r/>
            <w:r>
              <w:rPr>
                <w:b/>
                <w:i/>
                <w:strike w:val="0"/>
                <w:color w:val="7B3F00"/>
              </w:rPr>
              <w:t>The hierarchy becomes Regulation → Rule → Test → Requirement → Article. A test is a container that names its regulation and the rule it covers and holds one or more requirements; the requirement carries its own ID, name, articles, service lines, notified business unit, schedule, steps, request list, scope and guidance documents</w:t>
            </w:r>
            <w:r>
              <w:rPr>
                <w:b w:val="0"/>
                <w:i w:val="0"/>
                <w:strike w:val="0"/>
              </w:rPr>
              <w:t xml:space="preserve"> </w:t>
            </w:r>
            <w:r>
              <w:rPr>
                <w:b w:val="0"/>
                <w:i/>
                <w:strike w:val="0"/>
                <w:color w:val="7B3F00"/>
                <w:sz w:val="16"/>
              </w:rPr>
              <w:t xml:space="preserve"> [Sep 2026 test model]</w:t>
            </w:r>
          </w:p>
        </w:tc>
        <w:tc>
          <w:tcPr>
            <w:tcW w:type="dxa" w:w="2880"/>
          </w:tcPr>
          <w:p>
            <w:r/>
            <w:r>
              <w:rPr>
                <w:b/>
                <w:i/>
                <w:strike w:val="0"/>
              </w:rPr>
              <w:t>Section 4.1 — SA-01 rewritten, SA-02 revised, new SA-28, SA-29, SA-32</w:t>
            </w:r>
          </w:p>
        </w:tc>
        <w:tc>
          <w:tcPr>
            <w:tcW w:type="dxa" w:w="2880"/>
          </w:tcPr>
          <w:p>
            <w:r/>
            <w:r>
              <w:rPr>
                <w:b/>
                <w:i/>
                <w:strike w:val="0"/>
              </w:rPr>
              <w:t>Up to v10.0 a test and a Requirement ID were the same object, which is why a broad rule such as DORA's ICT risk governance had nowhere to live and why splitting work across testers had to be improvised at article level. Two levels means a rule is covered in one test and worked by several people without inventing a special mode</w:t>
            </w:r>
          </w:p>
        </w:tc>
      </w:tr>
      <w:tr>
        <w:tc>
          <w:tcPr>
            <w:tcW w:type="dxa" w:w="2880"/>
          </w:tcPr>
          <w:p>
            <w:r/>
            <w:r>
              <w:rPr>
                <w:b/>
                <w:i/>
                <w:strike w:val="0"/>
                <w:color w:val="7B3F00"/>
              </w:rPr>
              <w:t>The requirement is the unit of assignment, execution, result and reporting. The pool holds requirements, the CCO assigns per requirement, each requirement has one Lead Tester, and the test result is rolled up from its requirements and confirmed by the CCO rather than typed by anyone</w:t>
            </w:r>
            <w:r>
              <w:rPr>
                <w:b w:val="0"/>
                <w:i w:val="0"/>
                <w:strike w:val="0"/>
              </w:rPr>
              <w:t xml:space="preserve"> </w:t>
            </w:r>
            <w:r>
              <w:rPr>
                <w:b w:val="0"/>
                <w:i/>
                <w:strike w:val="0"/>
                <w:color w:val="7B3F00"/>
                <w:sz w:val="16"/>
              </w:rPr>
              <w:t xml:space="preserve"> [Sep 2026 test model]</w:t>
            </w:r>
          </w:p>
        </w:tc>
        <w:tc>
          <w:tcPr>
            <w:tcW w:type="dxa" w:w="2880"/>
          </w:tcPr>
          <w:p>
            <w:r/>
            <w:r>
              <w:rPr>
                <w:b/>
                <w:i/>
                <w:strike w:val="0"/>
              </w:rPr>
              <w:t>Section 7.1 steps 1, 2, 3, 7, 8, 10; Section 7.2 — FR-78, FR-79, FR-20, FR-21, FR-106 revised, new FR-143, FR-144</w:t>
            </w:r>
          </w:p>
        </w:tc>
        <w:tc>
          <w:tcPr>
            <w:tcW w:type="dxa" w:w="2880"/>
          </w:tcPr>
          <w:p>
            <w:r/>
            <w:r>
              <w:rPr>
                <w:b/>
                <w:i/>
                <w:strike w:val="0"/>
              </w:rPr>
              <w:t>This closes GAP-15, the oldest ⚠ item in the testing module, and TS-05 with it. The contradiction between "one Lead Tester owns the result" and "one test, several testers" dissolves once they describe different objects: a tester owns a requirement, and nobody owns the test result because it is computed</w:t>
            </w:r>
          </w:p>
        </w:tc>
      </w:tr>
      <w:tr>
        <w:tc>
          <w:tcPr>
            <w:tcW w:type="dxa" w:w="2880"/>
          </w:tcPr>
          <w:p>
            <w:r/>
            <w:r>
              <w:rPr>
                <w:b/>
                <w:i/>
                <w:strike w:val="0"/>
                <w:color w:val="7B3F00"/>
              </w:rPr>
              <w:t>Requirement IDs are authored inside the test and the standing central Requirement ID library is retired. The article tag becomes the only route from a regulatory change to the tests affected by it, so article tagging is mandatory at authoring</w:t>
            </w:r>
            <w:r>
              <w:rPr>
                <w:b w:val="0"/>
                <w:i w:val="0"/>
                <w:strike w:val="0"/>
              </w:rPr>
              <w:t xml:space="preserve"> </w:t>
            </w:r>
            <w:r>
              <w:rPr>
                <w:b w:val="0"/>
                <w:i/>
                <w:strike w:val="0"/>
                <w:color w:val="7B3F00"/>
                <w:sz w:val="16"/>
              </w:rPr>
              <w:t xml:space="preserve"> [Sep 2026 test model]</w:t>
            </w:r>
          </w:p>
        </w:tc>
        <w:tc>
          <w:tcPr>
            <w:tcW w:type="dxa" w:w="2880"/>
          </w:tcPr>
          <w:p>
            <w:r/>
            <w:r>
              <w:rPr>
                <w:b/>
                <w:i/>
                <w:strike w:val="0"/>
              </w:rPr>
              <w:t>Section 4.1 — new SA-30, SA-03 revised; Section 8 — FR-40 revised</w:t>
            </w:r>
          </w:p>
        </w:tc>
        <w:tc>
          <w:tcPr>
            <w:tcW w:type="dxa" w:w="2880"/>
          </w:tcPr>
          <w:p>
            <w:r/>
            <w:r>
              <w:rPr>
                <w:b/>
                <w:i/>
                <w:strike w:val="0"/>
              </w:rPr>
              <w:t>Closes TS-07 by construction: a requirement cannot exist without its articles, so what was a data-readiness question becomes a validation rule. It also removes a maintenance surface — there is no separate library to keep in step with the tests that draw on it</w:t>
            </w:r>
          </w:p>
        </w:tc>
      </w:tr>
      <w:tr>
        <w:tc>
          <w:tcPr>
            <w:tcW w:type="dxa" w:w="2880"/>
          </w:tcPr>
          <w:p>
            <w:r/>
            <w:r>
              <w:rPr>
                <w:b/>
                <w:i/>
                <w:strike w:val="0"/>
                <w:color w:val="7B3F00"/>
              </w:rPr>
              <w:t>Service line applicability moves onto the requirement, so a firm can receive part of a test. The master list is corrected to the ten CASP service lines under MiCA</w:t>
            </w:r>
            <w:r>
              <w:rPr>
                <w:b w:val="0"/>
                <w:i w:val="0"/>
                <w:strike w:val="0"/>
              </w:rPr>
              <w:t xml:space="preserve"> </w:t>
            </w:r>
            <w:r>
              <w:rPr>
                <w:b w:val="0"/>
                <w:i/>
                <w:strike w:val="0"/>
                <w:color w:val="7B3F00"/>
                <w:sz w:val="16"/>
              </w:rPr>
              <w:t xml:space="preserve"> [Sep 2026 test model]</w:t>
            </w:r>
          </w:p>
        </w:tc>
        <w:tc>
          <w:tcPr>
            <w:tcW w:type="dxa" w:w="2880"/>
          </w:tcPr>
          <w:p>
            <w:r/>
            <w:r>
              <w:rPr>
                <w:b/>
                <w:i/>
                <w:strike w:val="0"/>
              </w:rPr>
              <w:t>Section 4.3 — SA-07 rewritten, SA-26 corrected; Section 5.5 — FR-07, FR-140 and the 25 Jun note corrected; new FR-145</w:t>
            </w:r>
          </w:p>
        </w:tc>
        <w:tc>
          <w:tcPr>
            <w:tcW w:type="dxa" w:w="2880"/>
          </w:tcPr>
          <w:p>
            <w:r/>
            <w:r>
              <w:rPr>
                <w:b/>
                <w:i/>
                <w:strike w:val="0"/>
              </w:rPr>
              <w:t>v10.0 named the DORA A–H activity list on the strength of the 25 Jun call note. That was wrong, and the correction matters because the list is what onboarding presents to the firm and what decides the entire test load. Per-requirement applicability also means a firm is never shown work it does not owe</w:t>
            </w:r>
          </w:p>
        </w:tc>
      </w:tr>
      <w:tr>
        <w:tc>
          <w:tcPr>
            <w:tcW w:type="dxa" w:w="2880"/>
          </w:tcPr>
          <w:p>
            <w:r/>
            <w:r>
              <w:rPr>
                <w:b/>
                <w:i/>
                <w:strike w:val="0"/>
                <w:color w:val="7B3F00"/>
              </w:rPr>
              <w:t>Schedule moves onto the requirement and proposes the scope period at assignment; business owner becomes business unit, per requirement</w:t>
            </w:r>
            <w:r>
              <w:rPr>
                <w:b w:val="0"/>
                <w:i w:val="0"/>
                <w:strike w:val="0"/>
              </w:rPr>
              <w:t xml:space="preserve"> </w:t>
            </w:r>
            <w:r>
              <w:rPr>
                <w:b w:val="0"/>
                <w:i/>
                <w:strike w:val="0"/>
                <w:color w:val="7B3F00"/>
                <w:sz w:val="16"/>
              </w:rPr>
              <w:t xml:space="preserve"> [Sep 2026 test model]</w:t>
            </w:r>
          </w:p>
        </w:tc>
        <w:tc>
          <w:tcPr>
            <w:tcW w:type="dxa" w:w="2880"/>
          </w:tcPr>
          <w:p>
            <w:r/>
            <w:r>
              <w:rPr>
                <w:b/>
                <w:i/>
                <w:strike w:val="0"/>
              </w:rPr>
              <w:t>Section 7.2 — new FR-146, FR-80 and FR-82 revised; FR-131 revised</w:t>
            </w:r>
          </w:p>
        </w:tc>
        <w:tc>
          <w:tcPr>
            <w:tcW w:type="dxa" w:w="2880"/>
          </w:tcPr>
          <w:p>
            <w:r/>
            <w:r>
              <w:rPr>
                <w:b/>
                <w:i/>
                <w:strike w:val="0"/>
              </w:rPr>
              <w:t>One test can now hold a quarterly requirement and an annual one, which is why schedule cannot sit on the test. Answers TS-02 for the recurring case. The business-unit change aligns FR-82 with FR-131 and FR-132, which already assumed units rather than a single named person</w:t>
            </w:r>
          </w:p>
        </w:tc>
      </w:tr>
    </w:tbl>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v11.0)</w:t>
            </w:r>
          </w:p>
          <w:p>
            <w:r>
              <w:rPr>
                <w:b/>
                <w:i w:val="0"/>
                <w:strike w:val="0"/>
              </w:rPr>
              <w:t>📌 Note</w:t>
            </w:r>
          </w:p>
          <w:p>
            <w:pPr>
              <w:pStyle w:val="ListBullet"/>
            </w:pPr>
            <w:r>
              <w:rPr>
                <w:b/>
                <w:i/>
                <w:strike w:val="0"/>
                <w:color w:val="7B3F00"/>
              </w:rPr>
              <w:t>Estimation impact: this is rework as much as net-new build. The Portal gains a real composite authoring surface — a test form with a repeatable requirement block, each block carrying a mandatory article multi-select, service lines, a business unit, a schedule with recurring-or-window modes, a step editor, a request list, scope and document uploads. The firm side gains nothing wholly new but almost everything moves down a level: pool, assignment, execution, result, findings, N/A, request list, report, notifications. Anyone estimating from v10.0 must re-baseline; anyone estimating from v9.0 must do it twice over.</w:t>
            </w:r>
            <w:r>
              <w:rPr>
                <w:b w:val="0"/>
                <w:i w:val="0"/>
                <w:strike w:val="0"/>
              </w:rPr>
              <w:t xml:space="preserve"> </w:t>
            </w:r>
            <w:r>
              <w:rPr>
                <w:b w:val="0"/>
                <w:i/>
                <w:strike w:val="0"/>
                <w:color w:val="7B3F00"/>
                <w:sz w:val="16"/>
              </w:rPr>
              <w:t xml:space="preserve"> [Sep 2026 test model]</w:t>
            </w:r>
          </w:p>
          <w:p>
            <w:pPr>
              <w:pStyle w:val="ListBullet"/>
            </w:pPr>
            <w:r>
              <w:rPr>
                <w:b/>
                <w:i/>
                <w:strike w:val="0"/>
                <w:color w:val="7B3F00"/>
              </w:rPr>
              <w:t>Netted off: article-level fan-out as a separate mechanism (FR-106 as it stood), the central Requirement ID library and its maintenance screens (SA-01 as it stood), and the Requirement-ID-to-service-line configuration surface (SA-07 as it stood). None of the three is built.</w:t>
            </w:r>
            <w:r>
              <w:rPr>
                <w:b w:val="0"/>
                <w:i w:val="0"/>
                <w:strike w:val="0"/>
              </w:rPr>
              <w:t xml:space="preserve"> </w:t>
            </w:r>
            <w:r>
              <w:rPr>
                <w:b w:val="0"/>
                <w:i/>
                <w:strike w:val="0"/>
                <w:color w:val="7B3F00"/>
                <w:sz w:val="16"/>
              </w:rPr>
              <w:t xml:space="preserve"> [Sep 2026 test model]</w:t>
            </w:r>
          </w:p>
          <w:p>
            <w:pPr>
              <w:pStyle w:val="ListBullet"/>
            </w:pPr>
            <w:r>
              <w:rPr>
                <w:b/>
                <w:i/>
                <w:strike w:val="0"/>
                <w:color w:val="7B3F00"/>
              </w:rPr>
              <w:t xml:space="preserve">GAP-24 must be closed before any of this is built. The tech-spec set still encodes the old hierarchy: </w:t>
            </w:r>
            <w:r>
              <w:rPr>
                <w:rFonts w:ascii="Consolas" w:hAnsi="Consolas"/>
                <w:b/>
                <w:i/>
                <w:strike w:val="0"/>
                <w:color w:val="7B3F00"/>
                <w:sz w:val="18"/>
              </w:rPr>
              <w:t>Domain_Model_Ubiquitous_Language.md</w:t>
            </w:r>
            <w:r>
              <w:rPr>
                <w:b/>
                <w:i/>
                <w:strike w:val="0"/>
                <w:color w:val="7B3F00"/>
              </w:rPr>
              <w:t xml:space="preserve"> has </w:t>
            </w:r>
            <w:r>
              <w:rPr>
                <w:rFonts w:ascii="Consolas" w:hAnsi="Consolas"/>
                <w:b/>
                <w:i/>
                <w:strike w:val="0"/>
                <w:color w:val="7B3F00"/>
                <w:sz w:val="18"/>
              </w:rPr>
              <w:t>Requirement / maps to Tests</w:t>
            </w:r>
            <w:r>
              <w:rPr>
                <w:b/>
                <w:i/>
                <w:strike w:val="0"/>
                <w:color w:val="7B3F00"/>
              </w:rPr>
              <w:t xml:space="preserve"> and </w:t>
            </w:r>
            <w:r>
              <w:rPr>
                <w:rFonts w:ascii="Consolas" w:hAnsi="Consolas"/>
                <w:b/>
                <w:i/>
                <w:strike w:val="0"/>
                <w:color w:val="7B3F00"/>
                <w:sz w:val="18"/>
              </w:rPr>
              <w:t>Test / Contains: Steps</w:t>
            </w:r>
            <w:r>
              <w:rPr>
                <w:b/>
                <w:i/>
                <w:strike w:val="0"/>
                <w:color w:val="7B3F00"/>
              </w:rPr>
              <w:t xml:space="preserve">, and </w:t>
            </w:r>
            <w:r>
              <w:rPr>
                <w:rFonts w:ascii="Consolas" w:hAnsi="Consolas"/>
                <w:b/>
                <w:i/>
                <w:strike w:val="0"/>
                <w:color w:val="7B3F00"/>
                <w:sz w:val="18"/>
              </w:rPr>
              <w:t>Database_Architecture.md</w:t>
            </w:r>
            <w:r>
              <w:rPr>
                <w:b/>
                <w:i/>
                <w:strike w:val="0"/>
                <w:color w:val="7B3F00"/>
              </w:rPr>
              <w:t xml:space="preserve"> parents </w:t>
            </w:r>
            <w:r>
              <w:rPr>
                <w:rFonts w:ascii="Consolas" w:hAnsi="Consolas"/>
                <w:b/>
                <w:i/>
                <w:strike w:val="0"/>
                <w:color w:val="7B3F00"/>
                <w:sz w:val="18"/>
              </w:rPr>
              <w:t>test_step_template</w:t>
            </w:r>
            <w:r>
              <w:rPr>
                <w:b/>
                <w:i/>
                <w:strike w:val="0"/>
                <w:color w:val="7B3F00"/>
              </w:rPr>
              <w:t xml:space="preserve"> to the test and holds </w:t>
            </w:r>
            <w:r>
              <w:rPr>
                <w:rFonts w:ascii="Consolas" w:hAnsi="Consolas"/>
                <w:b/>
                <w:i/>
                <w:strike w:val="0"/>
                <w:color w:val="7B3F00"/>
                <w:sz w:val="18"/>
              </w:rPr>
              <w:t>test_definition.requirement_id</w:t>
            </w:r>
            <w:r>
              <w:rPr>
                <w:b/>
                <w:i/>
                <w:strike w:val="0"/>
                <w:color w:val="7B3F00"/>
              </w:rPr>
              <w:t xml:space="preserve"> as a foreign key. Under v11.0 that foreign key becomes a one-to-many the other way round and steps re-parent to the requirement. GAP-24 supersedes GAP-22, which asked for the same re-issue for the sampling flag alone.</w:t>
            </w:r>
            <w:r>
              <w:rPr>
                <w:b w:val="0"/>
                <w:i w:val="0"/>
                <w:strike w:val="0"/>
              </w:rPr>
              <w:t xml:space="preserve"> </w:t>
            </w:r>
            <w:r>
              <w:rPr>
                <w:b w:val="0"/>
                <w:i/>
                <w:strike w:val="0"/>
                <w:color w:val="7B3F00"/>
                <w:sz w:val="16"/>
              </w:rPr>
              <w:t xml:space="preserve"> [Sep 2026 test model]</w:t>
            </w:r>
          </w:p>
          <w:p>
            <w:pPr>
              <w:pStyle w:val="ListBullet"/>
            </w:pPr>
            <w:r>
              <w:rPr>
                <w:b/>
                <w:i/>
                <w:strike w:val="0"/>
                <w:color w:val="7B3F00"/>
              </w:rPr>
              <w:t>SA-31 is deliberately not issued. The ID was drafted for a separate change-propagation requirement and the behaviour was folded into SA-03 and SA-30 instead. Recorded here so that a reader searching for it knows it is absent by intent rather than lost.</w:t>
            </w:r>
            <w:r>
              <w:rPr>
                <w:b w:val="0"/>
                <w:i w:val="0"/>
                <w:strike w:val="0"/>
              </w:rPr>
              <w:t xml:space="preserve"> </w:t>
            </w:r>
            <w:r>
              <w:rPr>
                <w:b w:val="0"/>
                <w:i/>
                <w:strike w:val="0"/>
                <w:color w:val="7B3F00"/>
                <w:sz w:val="16"/>
              </w:rPr>
              <w:t xml:space="preserve"> [Sep 2026 test model]</w:t>
            </w:r>
          </w:p>
        </w:tc>
      </w:tr>
    </w:tbl>
    <w:p>
      <w:pPr>
        <w:pStyle w:val="Heading2"/>
      </w:pPr>
      <w:r>
        <w:t>What Changed in v10.0</w:t>
      </w:r>
    </w:p>
    <w:p>
      <w:r>
        <w:rPr>
          <w:b/>
          <w:i/>
          <w:strike w:val="0"/>
          <w:color w:val="2E7D32"/>
        </w:rPr>
        <w:t>September 2026. Two corrections to how the product models things it already does, both raised by the client against the v9.0 text. Neither removes scope; both add build. A third point raised in the same round is recorded as deferred rather than incorporated — see the developer note below, and TS-08 in Section 15.</w:t>
      </w:r>
      <w:r>
        <w:rPr>
          <w:b w:val="0"/>
          <w:i w:val="0"/>
          <w:strike w:val="0"/>
        </w:rPr>
        <w:t xml:space="preserve"> </w:t>
      </w:r>
      <w:r>
        <w:rPr>
          <w:b w:val="0"/>
          <w:i/>
          <w:strike w:val="0"/>
          <w:color w:val="2E7D32"/>
          <w:sz w:val="16"/>
        </w:rPr>
        <w:t xml:space="preserve"> [Sep 2026 model revision]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Change</w:t>
            </w:r>
          </w:p>
        </w:tc>
        <w:tc>
          <w:tcPr>
            <w:tcW w:type="dxa" w:w="2880"/>
            <w:shd w:val="clear" w:fill="1F4E79"/>
          </w:tcPr>
          <w:p>
            <w:r>
              <w:rPr>
                <w:b/>
                <w:color w:val="FFFFFF"/>
              </w:rPr>
            </w:r>
            <w:r>
              <w:rPr>
                <w:b/>
                <w:i w:val="0"/>
                <w:strike w:val="0"/>
                <w:color w:val="FFFFFF"/>
              </w:rPr>
              <w:t>Where</w:t>
            </w:r>
          </w:p>
        </w:tc>
        <w:tc>
          <w:tcPr>
            <w:tcW w:type="dxa" w:w="2880"/>
            <w:shd w:val="clear" w:fill="1F4E79"/>
          </w:tcPr>
          <w:p>
            <w:r>
              <w:rPr>
                <w:b/>
                <w:color w:val="FFFFFF"/>
              </w:rPr>
            </w:r>
            <w:r>
              <w:rPr>
                <w:b/>
                <w:i w:val="0"/>
                <w:strike w:val="0"/>
                <w:color w:val="FFFFFF"/>
              </w:rPr>
              <w:t>Why it matters</w:t>
            </w:r>
          </w:p>
        </w:tc>
      </w:tr>
      <w:tr>
        <w:tc>
          <w:tcPr>
            <w:tcW w:type="dxa" w:w="2880"/>
          </w:tcPr>
          <w:p>
            <w:r/>
            <w:r>
              <w:rPr>
                <w:b/>
                <w:i/>
                <w:strike w:val="0"/>
                <w:color w:val="2E7D32"/>
              </w:rPr>
              <w:t>Service lines are selected by the firm during onboarding, from a master list held centrally. The revenue source file and the financial reports pre-fill that selection; they no longer decide it</w:t>
            </w:r>
            <w:r>
              <w:rPr>
                <w:b w:val="0"/>
                <w:i w:val="0"/>
                <w:strike w:val="0"/>
              </w:rPr>
              <w:t xml:space="preserve"> </w:t>
            </w:r>
            <w:r>
              <w:rPr>
                <w:b w:val="0"/>
                <w:i/>
                <w:strike w:val="0"/>
                <w:color w:val="2E7D32"/>
                <w:sz w:val="16"/>
              </w:rPr>
              <w:t xml:space="preserve"> [Sep 2026 model revision]</w:t>
            </w:r>
          </w:p>
        </w:tc>
        <w:tc>
          <w:tcPr>
            <w:tcW w:type="dxa" w:w="2880"/>
          </w:tcPr>
          <w:p>
            <w:r/>
            <w:r>
              <w:rPr>
                <w:b/>
                <w:i/>
                <w:strike w:val="0"/>
              </w:rPr>
              <w:t>Section 5.5 — the wizard step table, the note beneath it, FR-04, FR-05, FR-08, FR-92, FR-93 and the agreed box; new FR-140 and FR-141. Section 4.3 — SA-07 revised, new SA-26</w:t>
            </w:r>
          </w:p>
        </w:tc>
        <w:tc>
          <w:tcPr>
            <w:tcW w:type="dxa" w:w="2880"/>
          </w:tcPr>
          <w:p>
            <w:r/>
            <w:r>
              <w:rPr>
                <w:b/>
                <w:i/>
                <w:strike w:val="0"/>
              </w:rPr>
              <w:t>v9.0 said in two places that the firm does not manually tick a list of service lines, and in a third that selection cannot be automated 1:1 because a single revenue line can span two service lines. The document contradicted itself on a governance-critical mapping. Selection is now the deciding act and derivation is the assistance, with every deviation from the derived set recorded and reasoned</w:t>
            </w:r>
          </w:p>
        </w:tc>
      </w:tr>
      <w:tr>
        <w:tc>
          <w:tcPr>
            <w:tcW w:type="dxa" w:w="2880"/>
          </w:tcPr>
          <w:p>
            <w:r/>
            <w:r>
              <w:rPr>
                <w:b/>
                <w:i/>
                <w:strike w:val="0"/>
                <w:color w:val="2E7D32"/>
              </w:rPr>
              <w:t>Sampling is a per-step property, and a step may require none at all. Each step template carries a sampling applicability flag set by the Platform Super Admin when the procedure is authored</w:t>
            </w:r>
            <w:r>
              <w:rPr>
                <w:b w:val="0"/>
                <w:i w:val="0"/>
                <w:strike w:val="0"/>
              </w:rPr>
              <w:t xml:space="preserve"> </w:t>
            </w:r>
            <w:r>
              <w:rPr>
                <w:b w:val="0"/>
                <w:i/>
                <w:strike w:val="0"/>
                <w:color w:val="2E7D32"/>
                <w:sz w:val="16"/>
              </w:rPr>
              <w:t xml:space="preserve"> [Sep 2026 model revision]</w:t>
            </w:r>
          </w:p>
        </w:tc>
        <w:tc>
          <w:tcPr>
            <w:tcW w:type="dxa" w:w="2880"/>
          </w:tcPr>
          <w:p>
            <w:r/>
            <w:r>
              <w:rPr>
                <w:b/>
                <w:i/>
                <w:strike w:val="0"/>
              </w:rPr>
              <w:t>Section 4.1 — SA-02; Section 4.2 — the opening prose, the methodology list, SA-05 and new SA-27; Section 7.1 step 4; Section 7.2 — FR-21c and new FR-142; Section 2 and FR-56</w:t>
            </w:r>
          </w:p>
        </w:tc>
        <w:tc>
          <w:tcPr>
            <w:tcW w:type="dxa" w:w="2880"/>
          </w:tcPr>
          <w:p>
            <w:r/>
            <w:r>
              <w:rPr>
                <w:b/>
                <w:i/>
                <w:strike w:val="0"/>
              </w:rPr>
              <w:t>v9.0 bound sampling to the test and closed the workflow's step 4 with an unconditional "The platform enforces a minimum sample size". A step that confirms a policy exists and carries board approval has no population to sample, and the platform had no way to say so — "Full population review" is a sampling decision, not the absence of one. The flag makes the distinction explicit at authoring time, so a tester never meets sample fields on a step that has no sample</w:t>
            </w:r>
          </w:p>
        </w:tc>
      </w:tr>
    </w:tbl>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v10.0)</w:t>
            </w:r>
          </w:p>
          <w:p>
            <w:r>
              <w:rPr>
                <w:b/>
                <w:i w:val="0"/>
                <w:strike w:val="0"/>
              </w:rPr>
              <w:t>📌 Note</w:t>
            </w:r>
          </w:p>
          <w:p>
            <w:pPr>
              <w:pStyle w:val="ListBullet"/>
            </w:pPr>
            <w:r>
              <w:rPr>
                <w:b/>
                <w:i/>
                <w:strike w:val="0"/>
                <w:color w:val="2E7D32"/>
              </w:rPr>
              <w:t>Estimation impact, service lines: this is a real screen, not a wording change. A master list managed in the Portal (SA-26), a multi-select wizard step with per-entry guidance and a minimum of one selection (FR-140), and a deviation record with a mandatory reason carried into the FR-128 checklist and the Portal (FR-141). The FR-92 / FR-93 derivation work is unchanged in effort — it now feeds a pre-fill instead of a verdict.</w:t>
            </w:r>
            <w:r>
              <w:rPr>
                <w:b w:val="0"/>
                <w:i w:val="0"/>
                <w:strike w:val="0"/>
              </w:rPr>
              <w:t xml:space="preserve"> </w:t>
            </w:r>
            <w:r>
              <w:rPr>
                <w:b w:val="0"/>
                <w:i/>
                <w:strike w:val="0"/>
                <w:color w:val="2E7D32"/>
                <w:sz w:val="16"/>
              </w:rPr>
              <w:t xml:space="preserve"> [Sep 2026 model revision]</w:t>
            </w:r>
          </w:p>
          <w:p>
            <w:pPr>
              <w:pStyle w:val="ListBullet"/>
            </w:pPr>
            <w:r>
              <w:rPr>
                <w:b/>
                <w:i/>
                <w:strike w:val="0"/>
                <w:color w:val="2E7D32"/>
              </w:rPr>
              <w:t>Estimation impact, sampling: small in the Portal (one flag per step template, versioned with the procedure it belongs to), larger in execution, because the tester's step surface becomes conditional and minimum-sample enforcement moves from "always" to "when flagged". The report template (FR-56) must also distinguish "no sampling was required" from "sampling was not documented" — a blank field cannot be allowed to mean both.</w:t>
            </w:r>
            <w:r>
              <w:rPr>
                <w:b w:val="0"/>
                <w:i w:val="0"/>
                <w:strike w:val="0"/>
              </w:rPr>
              <w:t xml:space="preserve"> </w:t>
            </w:r>
            <w:r>
              <w:rPr>
                <w:b w:val="0"/>
                <w:i/>
                <w:strike w:val="0"/>
                <w:color w:val="2E7D32"/>
                <w:sz w:val="16"/>
              </w:rPr>
              <w:t xml:space="preserve"> [Sep 2026 model revision]</w:t>
            </w:r>
          </w:p>
          <w:p>
            <w:pPr>
              <w:pStyle w:val="ListBullet"/>
            </w:pPr>
            <w:r>
              <w:rPr>
                <w:b/>
                <w:i/>
                <w:strike w:val="0"/>
                <w:color w:val="2E7D32"/>
              </w:rPr>
              <w:t>Not in this revision: the client also stated that a test should contain multiple Requirement IDs, each carrying its own tagged articles, with the CCO assigning a tester per requirement. That inverts SA-01, rewrites FR-20, FR-21, FR-79, FR-105 and FR-106, and changes the testing data model across the tech-spec set. It is held for its own revision and logged as TS-08 — agreed in principle and NOT priced. Do not build against it, and do not assume it is absent from the final scope.</w:t>
            </w:r>
            <w:r>
              <w:rPr>
                <w:b w:val="0"/>
                <w:i w:val="0"/>
                <w:strike w:val="0"/>
              </w:rPr>
              <w:t xml:space="preserve"> </w:t>
            </w:r>
            <w:r>
              <w:rPr>
                <w:b w:val="0"/>
                <w:i/>
                <w:strike w:val="0"/>
                <w:color w:val="2E7D32"/>
                <w:sz w:val="16"/>
              </w:rPr>
              <w:t xml:space="preserve"> [Sep 2026 model revision]</w:t>
            </w:r>
          </w:p>
        </w:tc>
      </w:tr>
    </w:tbl>
    <w:p>
      <w:pPr>
        <w:pStyle w:val="Heading2"/>
      </w:pPr>
      <w:r>
        <w:t>What Changed in v9.0</w:t>
      </w:r>
    </w:p>
    <w:p>
      <w:r>
        <w:rPr>
          <w:b/>
          <w:i/>
          <w:strike w:val="0"/>
          <w:color w:val="C00000"/>
        </w:rPr>
        <w:t>September 2026. Three decisions from the client, all of them narrowing the product rather than extending it. This is the first revision in the document's history to retire requirements. Every removed ID is listed here and in Section 17; retired IDs are not reissued.</w:t>
      </w:r>
      <w:r>
        <w:rPr>
          <w:b w:val="0"/>
          <w:i w:val="0"/>
          <w:strike w:val="0"/>
        </w:rPr>
        <w:t xml:space="preserve"> </w:t>
      </w:r>
      <w:r>
        <w:rPr>
          <w:b w:val="0"/>
          <w:i/>
          <w:strike w:val="0"/>
          <w:color w:val="C00000"/>
          <w:sz w:val="16"/>
        </w:rPr>
        <w:t xml:space="preserve"> [Sep 2026 scope decision]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Change</w:t>
            </w:r>
          </w:p>
        </w:tc>
        <w:tc>
          <w:tcPr>
            <w:tcW w:type="dxa" w:w="2880"/>
            <w:shd w:val="clear" w:fill="1F4E79"/>
          </w:tcPr>
          <w:p>
            <w:r>
              <w:rPr>
                <w:b/>
                <w:color w:val="FFFFFF"/>
              </w:rPr>
            </w:r>
            <w:r>
              <w:rPr>
                <w:b/>
                <w:i w:val="0"/>
                <w:strike w:val="0"/>
                <w:color w:val="FFFFFF"/>
              </w:rPr>
              <w:t>Where</w:t>
            </w:r>
          </w:p>
        </w:tc>
        <w:tc>
          <w:tcPr>
            <w:tcW w:type="dxa" w:w="2880"/>
            <w:shd w:val="clear" w:fill="1F4E79"/>
          </w:tcPr>
          <w:p>
            <w:r>
              <w:rPr>
                <w:b/>
                <w:color w:val="FFFFFF"/>
              </w:rPr>
            </w:r>
            <w:r>
              <w:rPr>
                <w:b/>
                <w:i w:val="0"/>
                <w:strike w:val="0"/>
                <w:color w:val="FFFFFF"/>
              </w:rPr>
              <w:t>Why it matters</w:t>
            </w:r>
          </w:p>
        </w:tc>
      </w:tr>
      <w:tr>
        <w:tc>
          <w:tcPr>
            <w:tcW w:type="dxa" w:w="2880"/>
          </w:tcPr>
          <w:p>
            <w:r/>
            <w:r>
              <w:rPr>
                <w:b/>
                <w:i/>
                <w:strike w:val="0"/>
                <w:color w:val="C00000"/>
              </w:rPr>
              <w:t>Section 11 (Systems and IT Risk) is withdrawn in full. FR-72, FR-73, FR-74, FR-75, FR-76 and FR-77 are retired and are no longer in scope</w:t>
            </w:r>
            <w:r>
              <w:rPr>
                <w:b w:val="0"/>
                <w:i w:val="0"/>
                <w:strike w:val="0"/>
              </w:rPr>
              <w:t xml:space="preserve"> </w:t>
            </w:r>
            <w:r>
              <w:rPr>
                <w:b w:val="0"/>
                <w:i/>
                <w:strike w:val="0"/>
                <w:color w:val="C00000"/>
                <w:sz w:val="16"/>
              </w:rPr>
              <w:t xml:space="preserve"> [Sep 2026 scope decision]</w:t>
            </w:r>
          </w:p>
        </w:tc>
        <w:tc>
          <w:tcPr>
            <w:tcW w:type="dxa" w:w="2880"/>
          </w:tcPr>
          <w:p>
            <w:r/>
            <w:r>
              <w:rPr>
                <w:b/>
                <w:i/>
                <w:strike w:val="0"/>
              </w:rPr>
              <w:t>Section 11 — replaced by a removal stub</w:t>
            </w:r>
          </w:p>
        </w:tc>
        <w:tc>
          <w:tcPr>
            <w:tcW w:type="dxa" w:w="2880"/>
          </w:tcPr>
          <w:p>
            <w:r/>
            <w:r>
              <w:rPr>
                <w:b/>
                <w:i/>
                <w:strike w:val="0"/>
              </w:rPr>
              <w:t>The IT system inventory, the DORA Critical/Important classification, the third-party vendor register with CTPP tiering, the major-incident determination checklist, the four-hour regulator notification draft and the BCP/DR report store all leave the product. ControlIQ still tests the firm's DORA obligations through the regulatory library; it no longer hosts the firm's IT risk records</w:t>
            </w:r>
          </w:p>
        </w:tc>
      </w:tr>
      <w:tr>
        <w:tc>
          <w:tcPr>
            <w:tcW w:type="dxa" w:w="2880"/>
          </w:tcPr>
          <w:p>
            <w:r/>
            <w:r>
              <w:rPr>
                <w:b/>
                <w:i/>
                <w:strike w:val="0"/>
                <w:color w:val="C00000"/>
              </w:rPr>
              <w:t>The IT / Systems Admin system role is withdrawn. Eight system roles become seven</w:t>
            </w:r>
            <w:r>
              <w:rPr>
                <w:b w:val="0"/>
                <w:i w:val="0"/>
                <w:strike w:val="0"/>
              </w:rPr>
              <w:t xml:space="preserve"> </w:t>
            </w:r>
            <w:r>
              <w:rPr>
                <w:b w:val="0"/>
                <w:i/>
                <w:strike w:val="0"/>
                <w:color w:val="C00000"/>
                <w:sz w:val="16"/>
              </w:rPr>
              <w:t xml:space="preserve"> [Sep 2026 scope decision]</w:t>
            </w:r>
          </w:p>
        </w:tc>
        <w:tc>
          <w:tcPr>
            <w:tcW w:type="dxa" w:w="2880"/>
          </w:tcPr>
          <w:p>
            <w:r/>
            <w:r>
              <w:rPr>
                <w:b/>
                <w:i/>
                <w:strike w:val="0"/>
              </w:rPr>
              <w:t>Section 3.1 — role table, and 3.2 — example mapping</w:t>
            </w:r>
          </w:p>
        </w:tc>
        <w:tc>
          <w:tcPr>
            <w:tcW w:type="dxa" w:w="2880"/>
          </w:tcPr>
          <w:p>
            <w:r/>
            <w:r>
              <w:rPr>
                <w:b/>
                <w:i/>
                <w:strike w:val="0"/>
              </w:rPr>
              <w:t>The role existed only to work Section 11. It is a job title inside the firm, not a set of platform actions, so it becomes a Staff / Employee governance record like any other non-user. No firm-side login is lost that carried any other permission</w:t>
            </w:r>
          </w:p>
        </w:tc>
      </w:tr>
      <w:tr>
        <w:tc>
          <w:tcPr>
            <w:tcW w:type="dxa" w:w="2880"/>
          </w:tcPr>
          <w:p>
            <w:r/>
            <w:r>
              <w:rPr>
                <w:b/>
                <w:i/>
                <w:strike w:val="0"/>
                <w:color w:val="C00000"/>
              </w:rPr>
              <w:t>The FR-139 "Firm Admin" is the Firm Super Admin under the client's own name. There is no ninth — now eighth — system role</w:t>
            </w:r>
            <w:r>
              <w:rPr>
                <w:b w:val="0"/>
                <w:i w:val="0"/>
                <w:strike w:val="0"/>
              </w:rPr>
              <w:t xml:space="preserve"> </w:t>
            </w:r>
            <w:r>
              <w:rPr>
                <w:b w:val="0"/>
                <w:i/>
                <w:strike w:val="0"/>
                <w:color w:val="C00000"/>
                <w:sz w:val="16"/>
              </w:rPr>
              <w:t xml:space="preserve"> [Sep 2026 scope decision]</w:t>
            </w:r>
          </w:p>
        </w:tc>
        <w:tc>
          <w:tcPr>
            <w:tcW w:type="dxa" w:w="2880"/>
          </w:tcPr>
          <w:p>
            <w:r/>
            <w:r>
              <w:rPr>
                <w:b/>
                <w:i/>
                <w:strike w:val="0"/>
              </w:rPr>
              <w:t>Section 10.2 — FR-139; Section 15 — UM-01</w:t>
            </w:r>
          </w:p>
        </w:tc>
        <w:tc>
          <w:tcPr>
            <w:tcW w:type="dxa" w:w="2880"/>
          </w:tcPr>
          <w:p>
            <w:r/>
            <w:r>
              <w:rPr>
                <w:b/>
                <w:i/>
                <w:strike w:val="0"/>
              </w:rPr>
              <w:t>Closes UM-01 as the document predicted. Org chart edits are Firm Super Admin permissions; every other firm role sees the org chart and its analytics read-only</w:t>
            </w:r>
          </w:p>
        </w:tc>
      </w:tr>
      <w:tr>
        <w:tc>
          <w:tcPr>
            <w:tcW w:type="dxa" w:w="2880"/>
          </w:tcPr>
          <w:p>
            <w:r/>
            <w:r>
              <w:rPr>
                <w:b/>
                <w:i/>
                <w:strike w:val="0"/>
                <w:color w:val="C00000"/>
              </w:rPr>
              <w:t>The business unit owner reaches their request items through a scoped, expiring link. There is no business-owner dashboard and no login-bearing business-owner role</w:t>
            </w:r>
            <w:r>
              <w:rPr>
                <w:b w:val="0"/>
                <w:i w:val="0"/>
                <w:strike w:val="0"/>
              </w:rPr>
              <w:t xml:space="preserve"> </w:t>
            </w:r>
            <w:r>
              <w:rPr>
                <w:b w:val="0"/>
                <w:i/>
                <w:strike w:val="0"/>
                <w:color w:val="C00000"/>
                <w:sz w:val="16"/>
              </w:rPr>
              <w:t xml:space="preserve"> [Sep 2026 scope decision]</w:t>
            </w:r>
          </w:p>
        </w:tc>
        <w:tc>
          <w:tcPr>
            <w:tcW w:type="dxa" w:w="2880"/>
          </w:tcPr>
          <w:p>
            <w:r/>
            <w:r>
              <w:rPr>
                <w:b/>
                <w:i/>
                <w:strike w:val="0"/>
              </w:rPr>
              <w:t>Section 7.4 — FR-133 revised; Section 15 — EV-03</w:t>
            </w:r>
          </w:p>
        </w:tc>
        <w:tc>
          <w:tcPr>
            <w:tcW w:type="dxa" w:w="2880"/>
          </w:tcPr>
          <w:p>
            <w:r/>
            <w:r>
              <w:rPr>
                <w:b/>
                <w:i/>
                <w:strike w:val="0"/>
              </w:rPr>
              <w:t>Closes EV-03, the last authentication question on the records-request critical path. The link is scoped to one test's request items for one business unit and expires; it grants no persistent surface, no session and no view of anything else. FR-134's upload-or-reason behaviour is unchanged — it now happens on the link's page rather than on a dashboard</w:t>
            </w:r>
          </w:p>
        </w:tc>
      </w:tr>
    </w:tbl>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v9.0)</w:t>
            </w:r>
          </w:p>
          <w:p>
            <w:r>
              <w:rPr>
                <w:b/>
                <w:i w:val="0"/>
                <w:strike w:val="0"/>
              </w:rPr>
              <w:t>📌 Note</w:t>
            </w:r>
          </w:p>
          <w:p>
            <w:pPr>
              <w:pStyle w:val="ListBullet"/>
            </w:pPr>
            <w:r>
              <w:rPr>
                <w:b/>
                <w:i/>
                <w:strike w:val="0"/>
                <w:color w:val="C00000"/>
              </w:rPr>
              <w:t>Section numbers are deliberately not renumbered. Section 11 stays in place as a removal stub so that every "Section 12", "Section 13" and "Section 16" reference in this document, in the tech-spec set and in the Cross-Document Traceability Matrix continues to resolve. Renumbering would silently break more cross-references than the removal itself touches.</w:t>
            </w:r>
            <w:r>
              <w:rPr>
                <w:b w:val="0"/>
                <w:i w:val="0"/>
                <w:strike w:val="0"/>
              </w:rPr>
              <w:t xml:space="preserve"> </w:t>
            </w:r>
            <w:r>
              <w:rPr>
                <w:b w:val="0"/>
                <w:i/>
                <w:strike w:val="0"/>
                <w:color w:val="C00000"/>
                <w:sz w:val="16"/>
              </w:rPr>
              <w:t xml:space="preserve"> [Sep 2026 scope decision]</w:t>
            </w:r>
          </w:p>
          <w:p>
            <w:pPr>
              <w:pStyle w:val="ListBullet"/>
            </w:pPr>
            <w:r>
              <w:rPr>
                <w:b/>
                <w:i/>
                <w:strike w:val="0"/>
                <w:color w:val="C00000"/>
              </w:rPr>
              <w:t>Estimation impact: removing Section 11 removes a module, not a feature. It takes the IT system inventory, vendor register, incident workflow and BCP/DR store out of the build. The four-hour notification clock in FR-76 was the only hard real-time obligation in the product and it goes with it.</w:t>
            </w:r>
            <w:r>
              <w:rPr>
                <w:b w:val="0"/>
                <w:i w:val="0"/>
                <w:strike w:val="0"/>
              </w:rPr>
              <w:t xml:space="preserve"> </w:t>
            </w:r>
            <w:r>
              <w:rPr>
                <w:b w:val="0"/>
                <w:i/>
                <w:strike w:val="0"/>
                <w:color w:val="C00000"/>
                <w:sz w:val="16"/>
              </w:rPr>
              <w:t xml:space="preserve"> [Sep 2026 scope decision]</w:t>
            </w:r>
          </w:p>
          <w:p>
            <w:pPr>
              <w:pStyle w:val="ListBullet"/>
            </w:pPr>
            <w:r>
              <w:rPr>
                <w:b/>
                <w:i/>
                <w:strike w:val="0"/>
                <w:color w:val="C00000"/>
              </w:rPr>
              <w:t>Roles impact: RBAC now enforces seven system roles, six of which carry a firm-side login (Firm Super Admin, CCO / Compliance Manager, Compliance Officer, Senior Management, Remediation Owner, and the Portal-only Platform Super Admin), plus Staff / Employee which carries none.</w:t>
            </w:r>
            <w:r>
              <w:rPr>
                <w:b w:val="0"/>
                <w:i w:val="0"/>
                <w:strike w:val="0"/>
              </w:rPr>
              <w:t xml:space="preserve"> </w:t>
            </w:r>
            <w:r>
              <w:rPr>
                <w:b w:val="0"/>
                <w:i/>
                <w:strike w:val="0"/>
                <w:color w:val="C00000"/>
                <w:sz w:val="16"/>
              </w:rPr>
              <w:t xml:space="preserve"> [Sep 2026 scope decision]</w:t>
            </w:r>
          </w:p>
          <w:p>
            <w:pPr>
              <w:pStyle w:val="ListBullet"/>
            </w:pPr>
            <w:r>
              <w:rPr>
                <w:b/>
                <w:i/>
                <w:strike w:val="0"/>
                <w:color w:val="C00000"/>
              </w:rPr>
              <w:t>Anyone estimating from v8.0 must re-baseline. The removed IDs are FR-72 to FR-77 inclusive.</w:t>
            </w:r>
            <w:r>
              <w:rPr>
                <w:b w:val="0"/>
                <w:i w:val="0"/>
                <w:strike w:val="0"/>
              </w:rPr>
              <w:t xml:space="preserve"> </w:t>
            </w:r>
            <w:r>
              <w:rPr>
                <w:b w:val="0"/>
                <w:i/>
                <w:strike w:val="0"/>
                <w:color w:val="C00000"/>
                <w:sz w:val="16"/>
              </w:rPr>
              <w:t xml:space="preserve"> [Sep 2026 scope decision]</w:t>
            </w:r>
          </w:p>
        </w:tc>
      </w:tr>
    </w:tbl>
    <w:p>
      <w:pPr>
        <w:pStyle w:val="Heading2"/>
      </w:pPr>
      <w:r>
        <w:t>What Changed in v8.0</w:t>
      </w:r>
    </w:p>
    <w:p>
      <w:r>
        <w:rPr>
          <w:b/>
          <w:i/>
          <w:strike w:val="0"/>
          <w:color w:val="CC00CC"/>
        </w:rPr>
        <w:t>The 14 August 2026 client meeting walked the testing workflow from the business owner's side for the first time, settled how the CCO closes out a test, and added several platform-wide items. Where the minutes confirm v5.0–v7.0 text — audit trails, deactivate-don't-delete, call-tree gap evaluation, test versioning, rule-change alerts — the existing requirement is left standing and marked confirmed. The table below lists what is genuinely new or changed.</w:t>
      </w:r>
      <w:r>
        <w:rPr>
          <w:b w:val="0"/>
          <w:i w:val="0"/>
          <w:strike w:val="0"/>
        </w:rPr>
        <w:t xml:space="preserve"> </w:t>
      </w:r>
      <w:r>
        <w:rPr>
          <w:b w:val="0"/>
          <w:i/>
          <w:strike w:val="0"/>
          <w:color w:val="CC00CC"/>
          <w:sz w:val="16"/>
        </w:rPr>
        <w:t xml:space="preserve"> [14 Aug 2026 MOM]</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Change</w:t>
            </w:r>
          </w:p>
        </w:tc>
        <w:tc>
          <w:tcPr>
            <w:tcW w:type="dxa" w:w="2880"/>
            <w:shd w:val="clear" w:fill="1F4E79"/>
          </w:tcPr>
          <w:p>
            <w:r>
              <w:rPr>
                <w:b/>
                <w:color w:val="FFFFFF"/>
              </w:rPr>
            </w:r>
            <w:r>
              <w:rPr>
                <w:b/>
                <w:i w:val="0"/>
                <w:strike w:val="0"/>
                <w:color w:val="FFFFFF"/>
              </w:rPr>
              <w:t>Where</w:t>
            </w:r>
          </w:p>
        </w:tc>
        <w:tc>
          <w:tcPr>
            <w:tcW w:type="dxa" w:w="2880"/>
            <w:shd w:val="clear" w:fill="1F4E79"/>
          </w:tcPr>
          <w:p>
            <w:r>
              <w:rPr>
                <w:b/>
                <w:color w:val="FFFFFF"/>
              </w:rPr>
            </w:r>
            <w:r>
              <w:rPr>
                <w:b/>
                <w:i w:val="0"/>
                <w:strike w:val="0"/>
                <w:color w:val="FFFFFF"/>
              </w:rPr>
              <w:t>Why it matters</w:t>
            </w:r>
          </w:p>
        </w:tc>
      </w:tr>
      <w:tr>
        <w:tc>
          <w:tcPr>
            <w:tcW w:type="dxa" w:w="2880"/>
          </w:tcPr>
          <w:p>
            <w:r/>
            <w:r>
              <w:rPr>
                <w:b w:val="0"/>
                <w:i w:val="0"/>
                <w:strike w:val="0"/>
              </w:rPr>
              <w:t xml:space="preserve">The test announcement letter goes to a </w:t>
            </w:r>
            <w:r>
              <w:rPr>
                <w:b/>
                <w:i w:val="0"/>
                <w:strike w:val="0"/>
              </w:rPr>
              <w:t>distribution list</w:t>
            </w:r>
            <w:r>
              <w:rPr>
                <w:b w:val="0"/>
                <w:i w:val="0"/>
                <w:strike w:val="0"/>
              </w:rPr>
              <w:t xml:space="preserve"> of all relevant business units, auto-populated by the platform; the CCO can add or edit recipients, but only with a recorded justification</w:t>
            </w:r>
          </w:p>
        </w:tc>
        <w:tc>
          <w:tcPr>
            <w:tcW w:type="dxa" w:w="2880"/>
          </w:tcPr>
          <w:p>
            <w:r/>
            <w:r>
              <w:rPr>
                <w:b w:val="0"/>
                <w:i w:val="0"/>
                <w:strike w:val="0"/>
              </w:rPr>
              <w:t>Section 7.4 — FR-83 revised, FR-132</w:t>
            </w:r>
          </w:p>
        </w:tc>
        <w:tc>
          <w:tcPr>
            <w:tcW w:type="dxa" w:w="2880"/>
          </w:tcPr>
          <w:p>
            <w:r/>
            <w:r>
              <w:rPr>
                <w:b w:val="0"/>
                <w:i w:val="0"/>
                <w:strike w:val="0"/>
              </w:rPr>
              <w:t>The letter was previously addressed to a single business owner. Editing the auto-populated list is now itself an audited decision</w:t>
            </w:r>
          </w:p>
        </w:tc>
      </w:tr>
      <w:tr>
        <w:tc>
          <w:tcPr>
            <w:tcW w:type="dxa" w:w="2880"/>
          </w:tcPr>
          <w:p>
            <w:r/>
            <w:r>
              <w:rPr>
                <w:b w:val="0"/>
                <w:i w:val="0"/>
                <w:strike w:val="0"/>
              </w:rPr>
              <w:t>Every test shows an overview and the request list needed to execute it</w:t>
            </w:r>
          </w:p>
        </w:tc>
        <w:tc>
          <w:tcPr>
            <w:tcW w:type="dxa" w:w="2880"/>
          </w:tcPr>
          <w:p>
            <w:r/>
            <w:r>
              <w:rPr>
                <w:b w:val="0"/>
                <w:i w:val="0"/>
                <w:strike w:val="0"/>
              </w:rPr>
              <w:t>Section 7.2 — FR-129</w:t>
            </w:r>
          </w:p>
        </w:tc>
        <w:tc>
          <w:tcPr>
            <w:tcW w:type="dxa" w:w="2880"/>
          </w:tcPr>
          <w:p>
            <w:r/>
            <w:r>
              <w:rPr>
                <w:b w:val="0"/>
                <w:i w:val="0"/>
                <w:strike w:val="0"/>
              </w:rPr>
              <w:t>The request list stops being a hidden artefact of Section 7.4 and becomes part of the test's own surface</w:t>
            </w:r>
          </w:p>
        </w:tc>
      </w:tr>
      <w:tr>
        <w:tc>
          <w:tcPr>
            <w:tcW w:type="dxa" w:w="2880"/>
          </w:tcPr>
          <w:p>
            <w:r/>
            <w:r>
              <w:rPr>
                <w:b w:val="0"/>
                <w:i w:val="0"/>
                <w:strike w:val="0"/>
              </w:rPr>
              <w:t xml:space="preserve">Each request list item is mapped to a </w:t>
            </w:r>
            <w:r>
              <w:rPr>
                <w:b/>
                <w:i w:val="0"/>
                <w:strike w:val="0"/>
              </w:rPr>
              <w:t>business unit</w:t>
            </w:r>
          </w:p>
        </w:tc>
        <w:tc>
          <w:tcPr>
            <w:tcW w:type="dxa" w:w="2880"/>
          </w:tcPr>
          <w:p>
            <w:r/>
            <w:r>
              <w:rPr>
                <w:b w:val="0"/>
                <w:i w:val="0"/>
                <w:strike w:val="0"/>
              </w:rPr>
              <w:t>Section 7.4 — FR-131</w:t>
            </w:r>
          </w:p>
        </w:tc>
        <w:tc>
          <w:tcPr>
            <w:tcW w:type="dxa" w:w="2880"/>
          </w:tcPr>
          <w:p>
            <w:r/>
            <w:r>
              <w:rPr>
                <w:b w:val="0"/>
                <w:i w:val="0"/>
                <w:strike w:val="0"/>
              </w:rPr>
              <w:t>Accountability moves from one owner per test to a unit per item — different items on one test can belong to different units</w:t>
            </w:r>
          </w:p>
        </w:tc>
      </w:tr>
      <w:tr>
        <w:tc>
          <w:tcPr>
            <w:tcW w:type="dxa" w:w="2880"/>
          </w:tcPr>
          <w:p>
            <w:r/>
            <w:r>
              <w:rPr>
                <w:b w:val="0"/>
                <w:i w:val="0"/>
                <w:strike w:val="0"/>
              </w:rPr>
              <w:t xml:space="preserve">The business owner clicks the link in the announcement letter and lands on a dashboard showing the test and every request item on their side </w:t>
            </w:r>
            <w:r>
              <w:rPr>
                <w:b/>
                <w:i/>
                <w:strike w:val="0"/>
                <w:color w:val="C00000"/>
              </w:rPr>
              <w:t>— superseded in v9.0: a scoped expiring link, no dashboard</w:t>
            </w:r>
            <w:r>
              <w:rPr>
                <w:b w:val="0"/>
                <w:i w:val="0"/>
                <w:strike w:val="0"/>
              </w:rPr>
              <w:t xml:space="preserve"> </w:t>
            </w:r>
            <w:r>
              <w:rPr>
                <w:b w:val="0"/>
                <w:i/>
                <w:strike w:val="0"/>
                <w:color w:val="C00000"/>
                <w:sz w:val="16"/>
              </w:rPr>
              <w:t xml:space="preserve"> [Sep 2026 scope decision]</w:t>
            </w:r>
          </w:p>
        </w:tc>
        <w:tc>
          <w:tcPr>
            <w:tcW w:type="dxa" w:w="2880"/>
          </w:tcPr>
          <w:p>
            <w:r/>
            <w:r>
              <w:rPr>
                <w:b w:val="0"/>
                <w:i w:val="0"/>
                <w:strike w:val="0"/>
              </w:rPr>
              <w:t>Section 7.4 — FR-133</w:t>
            </w:r>
          </w:p>
        </w:tc>
        <w:tc>
          <w:tcPr>
            <w:tcW w:type="dxa" w:w="2880"/>
          </w:tcPr>
          <w:p>
            <w:r/>
            <w:r>
              <w:rPr>
                <w:b w:val="0"/>
                <w:i w:val="0"/>
                <w:strike w:val="0"/>
              </w:rPr>
              <w:t>Resolves TS-04. The business side finally has a defined surface; how they authenticate is still EV-03</w:t>
            </w:r>
          </w:p>
        </w:tc>
      </w:tr>
      <w:tr>
        <w:tc>
          <w:tcPr>
            <w:tcW w:type="dxa" w:w="2880"/>
          </w:tcPr>
          <w:p>
            <w:r/>
            <w:r>
              <w:rPr>
                <w:b w:val="0"/>
                <w:i w:val="0"/>
                <w:strike w:val="0"/>
              </w:rPr>
              <w:t>Against each request item the business owner uploads the document — or, where no document exists, records a reason</w:t>
            </w:r>
          </w:p>
        </w:tc>
        <w:tc>
          <w:tcPr>
            <w:tcW w:type="dxa" w:w="2880"/>
          </w:tcPr>
          <w:p>
            <w:r/>
            <w:r>
              <w:rPr>
                <w:b w:val="0"/>
                <w:i w:val="0"/>
                <w:strike w:val="0"/>
              </w:rPr>
              <w:t>Section 7.4 — FR-134</w:t>
            </w:r>
          </w:p>
        </w:tc>
        <w:tc>
          <w:tcPr>
            <w:tcW w:type="dxa" w:w="2880"/>
          </w:tcPr>
          <w:p>
            <w:r/>
            <w:r>
              <w:rPr>
                <w:b w:val="0"/>
                <w:i w:val="0"/>
                <w:strike w:val="0"/>
              </w:rPr>
              <w:t>"We don't have that" becomes recorded compliance information instead of silence</w:t>
            </w:r>
          </w:p>
        </w:tc>
      </w:tr>
      <w:tr>
        <w:tc>
          <w:tcPr>
            <w:tcW w:type="dxa" w:w="2880"/>
          </w:tcPr>
          <w:p>
            <w:r/>
            <w:r>
              <w:rPr>
                <w:b w:val="0"/>
                <w:i w:val="0"/>
                <w:strike w:val="0"/>
              </w:rPr>
              <w:t xml:space="preserve">Each request item records when it was asked, when it was received, and </w:t>
            </w:r>
            <w:r>
              <w:rPr>
                <w:b/>
                <w:i w:val="0"/>
                <w:strike w:val="0"/>
              </w:rPr>
              <w:t>who uploaded it</w:t>
            </w:r>
          </w:p>
        </w:tc>
        <w:tc>
          <w:tcPr>
            <w:tcW w:type="dxa" w:w="2880"/>
          </w:tcPr>
          <w:p>
            <w:r/>
            <w:r>
              <w:rPr>
                <w:b w:val="0"/>
                <w:i w:val="0"/>
                <w:strike w:val="0"/>
              </w:rPr>
              <w:t>Section 7.4 — FR-85 revised</w:t>
            </w:r>
          </w:p>
        </w:tc>
        <w:tc>
          <w:tcPr>
            <w:tcW w:type="dxa" w:w="2880"/>
          </w:tcPr>
          <w:p>
            <w:r/>
            <w:r>
              <w:rPr>
                <w:b w:val="0"/>
                <w:i w:val="0"/>
                <w:strike w:val="0"/>
              </w:rPr>
              <w:t>The uploader's identity joins the request/receipt dates in the audit trail</w:t>
            </w:r>
          </w:p>
        </w:tc>
      </w:tr>
      <w:tr>
        <w:tc>
          <w:tcPr>
            <w:tcW w:type="dxa" w:w="2880"/>
          </w:tcPr>
          <w:p>
            <w:r/>
            <w:r>
              <w:rPr>
                <w:b w:val="0"/>
                <w:i w:val="0"/>
                <w:strike w:val="0"/>
              </w:rPr>
              <w:t>The Lead Tester sees the AI-identified gaps against each test step and records a status per step</w:t>
            </w:r>
          </w:p>
        </w:tc>
        <w:tc>
          <w:tcPr>
            <w:tcW w:type="dxa" w:w="2880"/>
          </w:tcPr>
          <w:p>
            <w:r/>
            <w:r>
              <w:rPr>
                <w:b w:val="0"/>
                <w:i w:val="0"/>
                <w:strike w:val="0"/>
              </w:rPr>
              <w:t>Section 7.5 — FR-135</w:t>
            </w:r>
          </w:p>
        </w:tc>
        <w:tc>
          <w:tcPr>
            <w:tcW w:type="dxa" w:w="2880"/>
          </w:tcPr>
          <w:p>
            <w:r/>
            <w:r>
              <w:rPr>
                <w:b w:val="0"/>
                <w:i w:val="0"/>
                <w:strike w:val="0"/>
              </w:rPr>
              <w:t>Gap review happens inside the step-by-step execution, not as a separate afterthought</w:t>
            </w:r>
          </w:p>
        </w:tc>
      </w:tr>
      <w:tr>
        <w:tc>
          <w:tcPr>
            <w:tcW w:type="dxa" w:w="2880"/>
          </w:tcPr>
          <w:p>
            <w:r/>
            <w:r>
              <w:rPr>
                <w:b w:val="0"/>
                <w:i w:val="0"/>
                <w:strike w:val="0"/>
              </w:rPr>
              <w:t xml:space="preserve">The Lead Tester submits the finished test for CCO review; the CCO has exactly three outcomes — mark completed, assign a remediation owner, or return it to the Lead Tester. </w:t>
            </w:r>
            <w:r>
              <w:rPr>
                <w:b/>
                <w:i w:val="0"/>
                <w:strike w:val="0"/>
              </w:rPr>
              <w:t>Only the CCO can assign a remediation owner to a test</w:t>
            </w:r>
          </w:p>
        </w:tc>
        <w:tc>
          <w:tcPr>
            <w:tcW w:type="dxa" w:w="2880"/>
          </w:tcPr>
          <w:p>
            <w:r/>
            <w:r>
              <w:rPr>
                <w:b w:val="0"/>
                <w:i w:val="0"/>
                <w:strike w:val="0"/>
              </w:rPr>
              <w:t>Sections 7.1 and 8.3 — FR-136</w:t>
            </w:r>
          </w:p>
        </w:tc>
        <w:tc>
          <w:tcPr>
            <w:tcW w:type="dxa" w:w="2880"/>
          </w:tcPr>
          <w:p>
            <w:r/>
            <w:r>
              <w:rPr>
                <w:b w:val="0"/>
                <w:i w:val="0"/>
                <w:strike w:val="0"/>
              </w:rPr>
              <w:t>Closes part of GAP-06, but a test-level remediation owner conflicts with the per-milestone owners in FR-41 — logged as GAP-21</w:t>
            </w:r>
          </w:p>
        </w:tc>
      </w:tr>
      <w:tr>
        <w:tc>
          <w:tcPr>
            <w:tcW w:type="dxa" w:w="2880"/>
          </w:tcPr>
          <w:p>
            <w:r/>
            <w:r>
              <w:rPr>
                <w:b w:val="0"/>
                <w:i w:val="0"/>
                <w:strike w:val="0"/>
              </w:rPr>
              <w:t>Tests marked Not Applicable are shown separately, with reason, who decided, and when</w:t>
            </w:r>
          </w:p>
        </w:tc>
        <w:tc>
          <w:tcPr>
            <w:tcW w:type="dxa" w:w="2880"/>
          </w:tcPr>
          <w:p>
            <w:r/>
            <w:r>
              <w:rPr>
                <w:b w:val="0"/>
                <w:i w:val="0"/>
                <w:strike w:val="0"/>
              </w:rPr>
              <w:t>Section 7.2 — FR-130</w:t>
            </w:r>
          </w:p>
        </w:tc>
        <w:tc>
          <w:tcPr>
            <w:tcW w:type="dxa" w:w="2880"/>
          </w:tcPr>
          <w:p>
            <w:r/>
            <w:r>
              <w:rPr>
                <w:b w:val="0"/>
                <w:i w:val="0"/>
                <w:strike w:val="0"/>
              </w:rPr>
              <w:t>The N/A appendix (FR-99) gains an in-platform register counterpart</w:t>
            </w:r>
          </w:p>
        </w:tc>
      </w:tr>
      <w:tr>
        <w:tc>
          <w:tcPr>
            <w:tcW w:type="dxa" w:w="2880"/>
          </w:tcPr>
          <w:p>
            <w:r/>
            <w:r>
              <w:rPr>
                <w:b w:val="0"/>
                <w:i w:val="0"/>
                <w:strike w:val="0"/>
              </w:rPr>
              <w:t>Users are deactivated, never deleted; system logs remain intact</w:t>
            </w:r>
          </w:p>
        </w:tc>
        <w:tc>
          <w:tcPr>
            <w:tcW w:type="dxa" w:w="2880"/>
          </w:tcPr>
          <w:p>
            <w:r/>
            <w:r>
              <w:rPr>
                <w:b w:val="0"/>
                <w:i w:val="0"/>
                <w:strike w:val="0"/>
              </w:rPr>
              <w:t>Section 3.3 — FR-14 confirmed</w:t>
            </w:r>
          </w:p>
        </w:tc>
        <w:tc>
          <w:tcPr>
            <w:tcW w:type="dxa" w:w="2880"/>
          </w:tcPr>
          <w:p>
            <w:r/>
            <w:r>
              <w:rPr>
                <w:b w:val="0"/>
                <w:i w:val="0"/>
                <w:strike w:val="0"/>
              </w:rPr>
              <w:t>Restates FR-14 and the immutable audit trail — no change, marked confirmed</w:t>
            </w:r>
          </w:p>
        </w:tc>
      </w:tr>
      <w:tr>
        <w:tc>
          <w:tcPr>
            <w:tcW w:type="dxa" w:w="2880"/>
          </w:tcPr>
          <w:p>
            <w:r/>
            <w:r>
              <w:rPr>
                <w:b w:val="0"/>
                <w:i w:val="0"/>
                <w:strike w:val="0"/>
              </w:rPr>
              <w:t>Manual person-by-person staff entry is removed; staff enter the org only by spreadsheet upload</w:t>
            </w:r>
          </w:p>
        </w:tc>
        <w:tc>
          <w:tcPr>
            <w:tcW w:type="dxa" w:w="2880"/>
          </w:tcPr>
          <w:p>
            <w:r/>
            <w:r>
              <w:rPr>
                <w:b w:val="0"/>
                <w:i w:val="0"/>
                <w:strike w:val="0"/>
              </w:rPr>
              <w:t>Section 10.1 — FR-62 revised</w:t>
            </w:r>
          </w:p>
        </w:tc>
        <w:tc>
          <w:tcPr>
            <w:tcW w:type="dxa" w:w="2880"/>
          </w:tcPr>
          <w:p>
            <w:r/>
            <w:r>
              <w:rPr>
                <w:b w:val="0"/>
                <w:i w:val="0"/>
                <w:strike w:val="0"/>
              </w:rPr>
              <w:t>The dual entry route in FR-62 is cut to one. Onboarding (FR-120) inherits the same change</w:t>
            </w:r>
          </w:p>
        </w:tc>
      </w:tr>
      <w:tr>
        <w:tc>
          <w:tcPr>
            <w:tcW w:type="dxa" w:w="2880"/>
          </w:tcPr>
          <w:p>
            <w:r/>
            <w:r>
              <w:rPr>
                <w:b w:val="0"/>
                <w:i w:val="0"/>
                <w:strike w:val="0"/>
              </w:rPr>
              <w:t xml:space="preserve">Org chart level changes require the </w:t>
            </w:r>
            <w:r>
              <w:rPr>
                <w:b/>
                <w:i w:val="0"/>
                <w:strike w:val="0"/>
              </w:rPr>
              <w:t>"Firm Admin"</w:t>
            </w:r>
            <w:r>
              <w:rPr>
                <w:b w:val="0"/>
                <w:i w:val="0"/>
                <w:strike w:val="0"/>
              </w:rPr>
              <w:t xml:space="preserve"> role</w:t>
            </w:r>
          </w:p>
        </w:tc>
        <w:tc>
          <w:tcPr>
            <w:tcW w:type="dxa" w:w="2880"/>
          </w:tcPr>
          <w:p>
            <w:r/>
            <w:r>
              <w:rPr>
                <w:b w:val="0"/>
                <w:i w:val="0"/>
                <w:strike w:val="0"/>
              </w:rPr>
              <w:t>Section 10.2 — FR-139</w:t>
            </w:r>
          </w:p>
        </w:tc>
        <w:tc>
          <w:tcPr>
            <w:tcW w:type="dxa" w:w="2880"/>
          </w:tcPr>
          <w:p>
            <w:r/>
            <w:r>
              <w:rPr>
                <w:b w:val="0"/>
                <w:i w:val="0"/>
                <w:strike w:val="0"/>
              </w:rPr>
              <w:t xml:space="preserve">Presumed to be the Firm Super Admin system role under the client's name for it — confirmed as open question UM-01. </w:t>
            </w:r>
            <w:r>
              <w:rPr>
                <w:b/>
                <w:i/>
                <w:strike w:val="0"/>
                <w:color w:val="C00000"/>
              </w:rPr>
              <w:t>CONFIRMED in v9.0: it is the Firm Super Admin. UM-01 closed</w:t>
            </w:r>
            <w:r>
              <w:rPr>
                <w:b w:val="0"/>
                <w:i w:val="0"/>
                <w:strike w:val="0"/>
              </w:rPr>
              <w:t xml:space="preserve"> </w:t>
            </w:r>
            <w:r>
              <w:rPr>
                <w:b w:val="0"/>
                <w:i/>
                <w:strike w:val="0"/>
                <w:color w:val="C00000"/>
                <w:sz w:val="16"/>
              </w:rPr>
              <w:t xml:space="preserve"> [Sep 2026 scope decision]</w:t>
            </w:r>
          </w:p>
        </w:tc>
      </w:tr>
      <w:tr>
        <w:tc>
          <w:tcPr>
            <w:tcW w:type="dxa" w:w="2880"/>
          </w:tcPr>
          <w:p>
            <w:r/>
            <w:r>
              <w:rPr>
                <w:b w:val="0"/>
                <w:i w:val="0"/>
                <w:strike w:val="0"/>
              </w:rPr>
              <w:t>No page displays the org call tree</w:t>
            </w:r>
          </w:p>
        </w:tc>
        <w:tc>
          <w:tcPr>
            <w:tcW w:type="dxa" w:w="2880"/>
          </w:tcPr>
          <w:p>
            <w:r/>
            <w:r>
              <w:rPr>
                <w:b w:val="0"/>
                <w:i w:val="0"/>
                <w:strike w:val="0"/>
              </w:rPr>
              <w:t>Section 10.5 — FR-70 note</w:t>
            </w:r>
          </w:p>
        </w:tc>
        <w:tc>
          <w:tcPr>
            <w:tcW w:type="dxa" w:w="2880"/>
          </w:tcPr>
          <w:p>
            <w:r/>
            <w:r>
              <w:rPr>
                <w:b w:val="0"/>
                <w:i w:val="0"/>
                <w:strike w:val="0"/>
              </w:rPr>
              <w:t>The call tree is captured and gap-checked but deliberately not visualised. A descope decision, recorded so nobody builds it</w:t>
            </w:r>
          </w:p>
        </w:tc>
      </w:tr>
      <w:tr>
        <w:tc>
          <w:tcPr>
            <w:tcW w:type="dxa" w:w="2880"/>
          </w:tcPr>
          <w:p>
            <w:r/>
            <w:r>
              <w:rPr>
                <w:b w:val="0"/>
                <w:i w:val="0"/>
                <w:strike w:val="0"/>
              </w:rPr>
              <w:t>Rule fetches also save each rule's execution frequency and priority</w:t>
            </w:r>
          </w:p>
        </w:tc>
        <w:tc>
          <w:tcPr>
            <w:tcW w:type="dxa" w:w="2880"/>
          </w:tcPr>
          <w:p>
            <w:r/>
            <w:r>
              <w:rPr>
                <w:b w:val="0"/>
                <w:i w:val="0"/>
                <w:strike w:val="0"/>
              </w:rPr>
              <w:t>Section 4.5 — SA-23</w:t>
            </w:r>
          </w:p>
        </w:tc>
        <w:tc>
          <w:tcPr>
            <w:tcW w:type="dxa" w:w="2880"/>
          </w:tcPr>
          <w:p>
            <w:r/>
            <w:r>
              <w:rPr>
                <w:b w:val="0"/>
                <w:i w:val="0"/>
                <w:strike w:val="0"/>
              </w:rPr>
              <w:t>The fetched record now carries the two fields the pool model and SA-10 tagging consume</w:t>
            </w:r>
          </w:p>
        </w:tc>
      </w:tr>
      <w:tr>
        <w:tc>
          <w:tcPr>
            <w:tcW w:type="dxa" w:w="2880"/>
          </w:tcPr>
          <w:p>
            <w:r/>
            <w:r>
              <w:rPr>
                <w:b w:val="0"/>
                <w:i w:val="0"/>
                <w:strike w:val="0"/>
              </w:rPr>
              <w:t>The Super Admin can clone a test as a new one; the platform records the clone history</w:t>
            </w:r>
          </w:p>
        </w:tc>
        <w:tc>
          <w:tcPr>
            <w:tcW w:type="dxa" w:w="2880"/>
          </w:tcPr>
          <w:p>
            <w:r/>
            <w:r>
              <w:rPr>
                <w:b w:val="0"/>
                <w:i w:val="0"/>
                <w:strike w:val="0"/>
              </w:rPr>
              <w:t>Section 4.1 — SA-22</w:t>
            </w:r>
          </w:p>
        </w:tc>
        <w:tc>
          <w:tcPr>
            <w:tcW w:type="dxa" w:w="2880"/>
          </w:tcPr>
          <w:p>
            <w:r/>
            <w:r>
              <w:rPr>
                <w:b w:val="0"/>
                <w:i w:val="0"/>
                <w:strike w:val="0"/>
              </w:rPr>
              <w:t>Content reuse without losing provenance — every clone records what it came from</w:t>
            </w:r>
          </w:p>
        </w:tc>
      </w:tr>
      <w:tr>
        <w:tc>
          <w:tcPr>
            <w:tcW w:type="dxa" w:w="2880"/>
          </w:tcPr>
          <w:p>
            <w:r/>
            <w:r>
              <w:rPr>
                <w:b w:val="0"/>
                <w:i w:val="0"/>
                <w:strike w:val="0"/>
              </w:rPr>
              <w:t>The Super Admin has associate admin roles; final confirmation of their actions rests with Sosinna</w:t>
            </w:r>
          </w:p>
        </w:tc>
        <w:tc>
          <w:tcPr>
            <w:tcW w:type="dxa" w:w="2880"/>
          </w:tcPr>
          <w:p>
            <w:r/>
            <w:r>
              <w:rPr>
                <w:b w:val="0"/>
                <w:i w:val="0"/>
                <w:strike w:val="0"/>
              </w:rPr>
              <w:t>Section 4.6 — SA-24</w:t>
            </w:r>
          </w:p>
        </w:tc>
        <w:tc>
          <w:tcPr>
            <w:tcW w:type="dxa" w:w="2880"/>
          </w:tcPr>
          <w:p>
            <w:r/>
            <w:r>
              <w:rPr>
                <w:b w:val="0"/>
                <w:i w:val="0"/>
                <w:strike w:val="0"/>
              </w:rPr>
              <w:t>The Portal gains a two-tier admin model. What exactly needs Sosinna's confirmation is AD-01</w:t>
            </w:r>
          </w:p>
        </w:tc>
      </w:tr>
      <w:tr>
        <w:tc>
          <w:tcPr>
            <w:tcW w:type="dxa" w:w="2880"/>
          </w:tcPr>
          <w:p>
            <w:r/>
            <w:r>
              <w:rPr>
                <w:b w:val="0"/>
                <w:i w:val="0"/>
                <w:strike w:val="0"/>
              </w:rPr>
              <w:t>A glossary and guidance page in the firm application, managed from a Super Admin page in the Portal</w:t>
            </w:r>
          </w:p>
        </w:tc>
        <w:tc>
          <w:tcPr>
            <w:tcW w:type="dxa" w:w="2880"/>
          </w:tcPr>
          <w:p>
            <w:r/>
            <w:r>
              <w:rPr>
                <w:b w:val="0"/>
                <w:i w:val="0"/>
                <w:strike w:val="0"/>
              </w:rPr>
              <w:t>Sections 9.3 and 4.6 — FR-137, SA-25</w:t>
            </w:r>
          </w:p>
        </w:tc>
        <w:tc>
          <w:tcPr>
            <w:tcW w:type="dxa" w:w="2880"/>
          </w:tcPr>
          <w:p>
            <w:r/>
            <w:r>
              <w:rPr>
                <w:b w:val="0"/>
                <w:i w:val="0"/>
                <w:strike w:val="0"/>
              </w:rPr>
              <w:t>Net-new content surface, both sides</w:t>
            </w:r>
          </w:p>
        </w:tc>
      </w:tr>
      <w:tr>
        <w:tc>
          <w:tcPr>
            <w:tcW w:type="dxa" w:w="2880"/>
          </w:tcPr>
          <w:p>
            <w:r/>
            <w:r>
              <w:rPr>
                <w:b w:val="0"/>
                <w:i w:val="0"/>
                <w:strike w:val="0"/>
              </w:rPr>
              <w:t>The news feed ingests data and AML alerts from vendor sources such as NICE Actimize's AML pages</w:t>
            </w:r>
          </w:p>
        </w:tc>
        <w:tc>
          <w:tcPr>
            <w:tcW w:type="dxa" w:w="2880"/>
          </w:tcPr>
          <w:p>
            <w:r/>
            <w:r>
              <w:rPr>
                <w:b w:val="0"/>
                <w:i w:val="0"/>
                <w:strike w:val="0"/>
              </w:rPr>
              <w:t>Section 9.1 — FR-138</w:t>
            </w:r>
          </w:p>
        </w:tc>
        <w:tc>
          <w:tcPr>
            <w:tcW w:type="dxa" w:w="2880"/>
          </w:tcPr>
          <w:p>
            <w:r/>
            <w:r>
              <w:rPr>
                <w:b w:val="0"/>
                <w:i w:val="0"/>
                <w:strike w:val="0"/>
              </w:rPr>
              <w:t>Extends FR-54, but collides with the official-APIs-only MVP constraint — see NF-01 and RE-05</w:t>
            </w:r>
          </w:p>
        </w:tc>
      </w:tr>
      <w:tr>
        <w:tc>
          <w:tcPr>
            <w:tcW w:type="dxa" w:w="2880"/>
          </w:tcPr>
          <w:p>
            <w:r/>
            <w:r>
              <w:rPr>
                <w:b w:val="0"/>
                <w:i w:val="0"/>
                <w:strike w:val="0"/>
              </w:rPr>
              <w:t>Sosinna's team decides, before onboarding, whether a firm has all the requirements to be evaluated with ControlIQ</w:t>
            </w:r>
          </w:p>
        </w:tc>
        <w:tc>
          <w:tcPr>
            <w:tcW w:type="dxa" w:w="2880"/>
          </w:tcPr>
          <w:p>
            <w:r/>
            <w:r>
              <w:rPr>
                <w:b w:val="0"/>
                <w:i w:val="0"/>
                <w:strike w:val="0"/>
              </w:rPr>
              <w:t>Section 5.2 — SA-18 note</w:t>
            </w:r>
          </w:p>
        </w:tc>
        <w:tc>
          <w:tcPr>
            <w:tcW w:type="dxa" w:w="2880"/>
          </w:tcPr>
          <w:p>
            <w:r/>
            <w:r>
              <w:rPr>
                <w:b w:val="0"/>
                <w:i w:val="0"/>
                <w:strike w:val="0"/>
              </w:rPr>
              <w:t>Names the qualification judgement already implicit in the SA-18 status flow</w:t>
            </w:r>
          </w:p>
        </w:tc>
      </w:tr>
      <w:tr>
        <w:tc>
          <w:tcPr>
            <w:tcW w:type="dxa" w:w="2880"/>
          </w:tcPr>
          <w:p>
            <w:r/>
            <w:r>
              <w:rPr>
                <w:b w:val="0"/>
                <w:i w:val="0"/>
                <w:strike w:val="0"/>
              </w:rPr>
              <w:t xml:space="preserve">Logo and website colour are </w:t>
            </w:r>
            <w:r>
              <w:rPr>
                <w:b/>
                <w:i w:val="0"/>
                <w:strike w:val="0"/>
              </w:rPr>
              <w:t>blue and white</w:t>
            </w:r>
            <w:r>
              <w:rPr>
                <w:b w:val="0"/>
                <w:i w:val="0"/>
                <w:strike w:val="0"/>
              </w:rPr>
              <w:t>; exact colour codes to be finalised in the next discussion</w:t>
            </w:r>
          </w:p>
        </w:tc>
        <w:tc>
          <w:tcPr>
            <w:tcW w:type="dxa" w:w="2880"/>
          </w:tcPr>
          <w:p>
            <w:r/>
            <w:r>
              <w:rPr>
                <w:b w:val="0"/>
                <w:i w:val="0"/>
                <w:strike w:val="0"/>
              </w:rPr>
              <w:t>Section 14 — CC-02</w:t>
            </w:r>
          </w:p>
        </w:tc>
        <w:tc>
          <w:tcPr>
            <w:tcW w:type="dxa" w:w="2880"/>
          </w:tcPr>
          <w:p>
            <w:r/>
            <w:r>
              <w:rPr>
                <w:b w:val="0"/>
                <w:i w:val="0"/>
                <w:strike w:val="0"/>
              </w:rPr>
              <w:t>First concrete branding decision. Codes pending as BR-01</w:t>
            </w:r>
          </w:p>
        </w:tc>
      </w:tr>
    </w:tbl>
    <w:p>
      <w:pPr>
        <w:pStyle w:val="Heading2"/>
      </w:pPr>
      <w:r>
        <w:t>What Changed in v7.0</w:t>
      </w:r>
    </w:p>
    <w:p>
      <w:r>
        <w:rPr>
          <w:b/>
          <w:i/>
          <w:strike w:val="0"/>
          <w:color w:val="843C0C"/>
        </w:rPr>
        <w:t>The client specified the firm onboarding journey end to end. Section 5 is restructured around it: what was a description of the setup wizard is now the whole path from enquiry to first login. Two capabilities are genuinely new to the product — managing enquiries for firms that are not yet customers, and taking payment.</w:t>
      </w:r>
      <w:r>
        <w:rPr>
          <w:b w:val="0"/>
          <w:i w:val="0"/>
          <w:strike w:val="0"/>
        </w:rPr>
        <w:t xml:space="preserve"> </w:t>
      </w:r>
      <w:r>
        <w:rPr>
          <w:b w:val="0"/>
          <w:i/>
          <w:strike w:val="0"/>
          <w:color w:val="843C0C"/>
          <w:sz w:val="16"/>
        </w:rPr>
        <w:t xml:space="preserve"> [Aug 2026 onboarding flow]</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Change</w:t>
            </w:r>
          </w:p>
        </w:tc>
        <w:tc>
          <w:tcPr>
            <w:tcW w:type="dxa" w:w="2880"/>
            <w:shd w:val="clear" w:fill="1F4E79"/>
          </w:tcPr>
          <w:p>
            <w:r>
              <w:rPr>
                <w:b/>
                <w:color w:val="FFFFFF"/>
              </w:rPr>
            </w:r>
            <w:r>
              <w:rPr>
                <w:b/>
                <w:i w:val="0"/>
                <w:strike w:val="0"/>
                <w:color w:val="FFFFFF"/>
              </w:rPr>
              <w:t>Where</w:t>
            </w:r>
          </w:p>
        </w:tc>
        <w:tc>
          <w:tcPr>
            <w:tcW w:type="dxa" w:w="2880"/>
            <w:shd w:val="clear" w:fill="1F4E79"/>
          </w:tcPr>
          <w:p>
            <w:r>
              <w:rPr>
                <w:b/>
                <w:color w:val="FFFFFF"/>
              </w:rPr>
            </w:r>
            <w:r>
              <w:rPr>
                <w:b/>
                <w:i w:val="0"/>
                <w:strike w:val="0"/>
                <w:color w:val="FFFFFF"/>
              </w:rPr>
              <w:t>Why it matters</w:t>
            </w:r>
          </w:p>
        </w:tc>
      </w:tr>
      <w:tr>
        <w:tc>
          <w:tcPr>
            <w:tcW w:type="dxa" w:w="2880"/>
          </w:tcPr>
          <w:p>
            <w:r/>
            <w:r>
              <w:rPr>
                <w:b w:val="0"/>
                <w:i w:val="0"/>
                <w:strike w:val="0"/>
              </w:rPr>
              <w:t>Enquiries are received by the platform and worked from a list on Sosinna's dashboard</w:t>
            </w:r>
          </w:p>
        </w:tc>
        <w:tc>
          <w:tcPr>
            <w:tcW w:type="dxa" w:w="2880"/>
          </w:tcPr>
          <w:p>
            <w:r/>
            <w:r>
              <w:rPr>
                <w:b w:val="0"/>
                <w:i w:val="0"/>
                <w:strike w:val="0"/>
              </w:rPr>
              <w:t>Section 5.2 — SA-16 to SA-18</w:t>
            </w:r>
          </w:p>
        </w:tc>
        <w:tc>
          <w:tcPr>
            <w:tcW w:type="dxa" w:w="2880"/>
          </w:tcPr>
          <w:p>
            <w:r/>
            <w:r>
              <w:rPr>
                <w:b w:val="0"/>
                <w:i w:val="0"/>
                <w:strike w:val="0"/>
              </w:rPr>
              <w:t>The Portal now holds records for firms that are not customers and may never be. A new data class with its own retention question (ON-08)</w:t>
            </w:r>
          </w:p>
        </w:tc>
      </w:tr>
      <w:tr>
        <w:tc>
          <w:tcPr>
            <w:tcW w:type="dxa" w:w="2880"/>
          </w:tcPr>
          <w:p>
            <w:r/>
            <w:r>
              <w:rPr>
                <w:b w:val="0"/>
                <w:i w:val="0"/>
                <w:strike w:val="0"/>
              </w:rPr>
              <w:t>The legal agreement stays offline; the platform records only that it happened</w:t>
            </w:r>
          </w:p>
        </w:tc>
        <w:tc>
          <w:tcPr>
            <w:tcW w:type="dxa" w:w="2880"/>
          </w:tcPr>
          <w:p>
            <w:r/>
            <w:r>
              <w:rPr>
                <w:b w:val="0"/>
                <w:i w:val="0"/>
                <w:strike w:val="0"/>
              </w:rPr>
              <w:t>Section 5.3 — SA-19</w:t>
            </w:r>
          </w:p>
        </w:tc>
        <w:tc>
          <w:tcPr>
            <w:tcW w:type="dxa" w:w="2880"/>
          </w:tcPr>
          <w:p>
            <w:r/>
            <w:r>
              <w:rPr>
                <w:b w:val="0"/>
                <w:i w:val="0"/>
                <w:strike w:val="0"/>
              </w:rPr>
              <w:t>Explicitly excludes contract management and e-signature from scope. The record is what authorises the link and sets the amount payable</w:t>
            </w:r>
          </w:p>
        </w:tc>
      </w:tr>
      <w:tr>
        <w:tc>
          <w:tcPr>
            <w:tcW w:type="dxa" w:w="2880"/>
          </w:tcPr>
          <w:p>
            <w:r/>
            <w:r>
              <w:rPr>
                <w:b w:val="0"/>
                <w:i w:val="0"/>
                <w:strike w:val="0"/>
              </w:rPr>
              <w:t>Entry is by an emailed onboarding link generated by Sosinna's team</w:t>
            </w:r>
          </w:p>
        </w:tc>
        <w:tc>
          <w:tcPr>
            <w:tcW w:type="dxa" w:w="2880"/>
          </w:tcPr>
          <w:p>
            <w:r/>
            <w:r>
              <w:rPr>
                <w:b w:val="0"/>
                <w:i w:val="0"/>
                <w:strike w:val="0"/>
              </w:rPr>
              <w:t>Section 5.4 — SA-20, SA-21</w:t>
            </w:r>
          </w:p>
        </w:tc>
        <w:tc>
          <w:tcPr>
            <w:tcW w:type="dxa" w:w="2880"/>
          </w:tcPr>
          <w:p>
            <w:r/>
            <w:r>
              <w:rPr>
                <w:b w:val="0"/>
                <w:i w:val="0"/>
                <w:strike w:val="0"/>
              </w:rPr>
              <w:t>Supersedes MKT-03. The firm creates its own account from the link; there is no self-registration and no admin-created password</w:t>
            </w:r>
          </w:p>
        </w:tc>
      </w:tr>
      <w:tr>
        <w:tc>
          <w:tcPr>
            <w:tcW w:type="dxa" w:w="2880"/>
          </w:tcPr>
          <w:p>
            <w:r/>
            <w:r>
              <w:rPr>
                <w:b w:val="0"/>
                <w:i w:val="0"/>
                <w:strike w:val="0"/>
              </w:rPr>
              <w:t>The firm's first administrator account is created from the link, with MFA, and a second admin must be invited before completion</w:t>
            </w:r>
          </w:p>
        </w:tc>
        <w:tc>
          <w:tcPr>
            <w:tcW w:type="dxa" w:w="2880"/>
          </w:tcPr>
          <w:p>
            <w:r/>
            <w:r>
              <w:rPr>
                <w:b w:val="0"/>
                <w:i w:val="0"/>
                <w:strike w:val="0"/>
              </w:rPr>
              <w:t>Section 5.5 — FR-117</w:t>
            </w:r>
          </w:p>
        </w:tc>
        <w:tc>
          <w:tcPr>
            <w:tcW w:type="dxa" w:w="2880"/>
          </w:tcPr>
          <w:p>
            <w:r/>
            <w:r>
              <w:rPr>
                <w:b w:val="0"/>
                <w:i w:val="0"/>
                <w:strike w:val="0"/>
              </w:rPr>
              <w:t>Satisfies the two-admin rule in FR-15 before first login instead of warning about it afterwards</w:t>
            </w:r>
          </w:p>
        </w:tc>
      </w:tr>
      <w:tr>
        <w:tc>
          <w:tcPr>
            <w:tcW w:type="dxa" w:w="2880"/>
          </w:tcPr>
          <w:p>
            <w:r/>
            <w:r>
              <w:rPr>
                <w:b w:val="0"/>
                <w:i w:val="0"/>
                <w:strike w:val="0"/>
              </w:rPr>
              <w:t>Onboarding is resumable and validates each step</w:t>
            </w:r>
          </w:p>
        </w:tc>
        <w:tc>
          <w:tcPr>
            <w:tcW w:type="dxa" w:w="2880"/>
          </w:tcPr>
          <w:p>
            <w:r/>
            <w:r>
              <w:rPr>
                <w:b w:val="0"/>
                <w:i w:val="0"/>
                <w:strike w:val="0"/>
              </w:rPr>
              <w:t>Section 5.5 — FR-118, FR-119</w:t>
            </w:r>
          </w:p>
        </w:tc>
        <w:tc>
          <w:tcPr>
            <w:tcW w:type="dxa" w:w="2880"/>
          </w:tcPr>
          <w:p>
            <w:r/>
            <w:r>
              <w:rPr>
                <w:b w:val="0"/>
                <w:i w:val="0"/>
                <w:strike w:val="0"/>
              </w:rPr>
              <w:t>A firm gathering financial reports and staff data will not finish in one sitting</w:t>
            </w:r>
          </w:p>
        </w:tc>
      </w:tr>
      <w:tr>
        <w:tc>
          <w:tcPr>
            <w:tcW w:type="dxa" w:w="2880"/>
          </w:tcPr>
          <w:p>
            <w:r/>
            <w:r>
              <w:rPr>
                <w:b w:val="0"/>
                <w:i w:val="0"/>
                <w:strike w:val="0"/>
              </w:rPr>
              <w:t>Staff, reporting lines and the call tree are captured during onboarding and reviewed for gaps</w:t>
            </w:r>
          </w:p>
        </w:tc>
        <w:tc>
          <w:tcPr>
            <w:tcW w:type="dxa" w:w="2880"/>
          </w:tcPr>
          <w:p>
            <w:r/>
            <w:r>
              <w:rPr>
                <w:b w:val="0"/>
                <w:i w:val="0"/>
                <w:strike w:val="0"/>
              </w:rPr>
              <w:t>Section 5.6 — FR-120 to FR-122</w:t>
            </w:r>
          </w:p>
        </w:tc>
        <w:tc>
          <w:tcPr>
            <w:tcW w:type="dxa" w:w="2880"/>
          </w:tcPr>
          <w:p>
            <w:r/>
            <w:r>
              <w:rPr>
                <w:b w:val="0"/>
                <w:i w:val="0"/>
                <w:strike w:val="0"/>
              </w:rPr>
              <w:t>Every employee needs a call contact and a reporting manager. Also closes a real dependency: FR-82 tags tests to business owners drawn from these records</w:t>
            </w:r>
          </w:p>
        </w:tc>
      </w:tr>
      <w:tr>
        <w:tc>
          <w:tcPr>
            <w:tcW w:type="dxa" w:w="2880"/>
          </w:tcPr>
          <w:p>
            <w:r/>
            <w:r>
              <w:rPr>
                <w:b/>
                <w:i w:val="0"/>
                <w:strike w:val="0"/>
              </w:rPr>
              <w:t>Payment happens in the platform, after the details and before first login</w:t>
            </w:r>
          </w:p>
        </w:tc>
        <w:tc>
          <w:tcPr>
            <w:tcW w:type="dxa" w:w="2880"/>
          </w:tcPr>
          <w:p>
            <w:r/>
            <w:r>
              <w:rPr>
                <w:b w:val="0"/>
                <w:i w:val="0"/>
                <w:strike w:val="0"/>
              </w:rPr>
              <w:t>Section 5.7 — FR-123 to FR-126</w:t>
            </w:r>
          </w:p>
        </w:tc>
        <w:tc>
          <w:tcPr>
            <w:tcW w:type="dxa" w:w="2880"/>
          </w:tcPr>
          <w:p>
            <w:r/>
            <w:r>
              <w:rPr>
                <w:b w:val="0"/>
                <w:i w:val="0"/>
                <w:strike w:val="0"/>
              </w:rPr>
              <w:t>The largest net-new build in this revision, and the first time money moves through the product. Contradicts MKT-02 and CC-06 as written — see GAP-18, GAP-19, ON-01</w:t>
            </w:r>
          </w:p>
        </w:tc>
      </w:tr>
      <w:tr>
        <w:tc>
          <w:tcPr>
            <w:tcW w:type="dxa" w:w="2880"/>
          </w:tcPr>
          <w:p>
            <w:r/>
            <w:r>
              <w:rPr>
                <w:b w:val="0"/>
                <w:i w:val="0"/>
                <w:strike w:val="0"/>
              </w:rPr>
              <w:t>A failed payment can be retried with nothing lost</w:t>
            </w:r>
          </w:p>
        </w:tc>
        <w:tc>
          <w:tcPr>
            <w:tcW w:type="dxa" w:w="2880"/>
          </w:tcPr>
          <w:p>
            <w:r/>
            <w:r>
              <w:rPr>
                <w:b w:val="0"/>
                <w:i w:val="0"/>
                <w:strike w:val="0"/>
              </w:rPr>
              <w:t>Section 5.7 — FR-126</w:t>
            </w:r>
          </w:p>
        </w:tc>
        <w:tc>
          <w:tcPr>
            <w:tcW w:type="dxa" w:w="2880"/>
          </w:tcPr>
          <w:p>
            <w:r/>
            <w:r>
              <w:rPr>
                <w:b w:val="0"/>
                <w:i w:val="0"/>
                <w:strike w:val="0"/>
              </w:rPr>
              <w:t>A firm stuck at payment has already done all the work and cannot get in</w:t>
            </w:r>
          </w:p>
        </w:tc>
      </w:tr>
      <w:tr>
        <w:tc>
          <w:tcPr>
            <w:tcW w:type="dxa" w:w="2880"/>
          </w:tcPr>
          <w:p>
            <w:r/>
            <w:r>
              <w:rPr>
                <w:b w:val="0"/>
                <w:i w:val="0"/>
                <w:strike w:val="0"/>
              </w:rPr>
              <w:t>Login is gated on activation; no partial or read-only access before payment</w:t>
            </w:r>
          </w:p>
        </w:tc>
        <w:tc>
          <w:tcPr>
            <w:tcW w:type="dxa" w:w="2880"/>
          </w:tcPr>
          <w:p>
            <w:r/>
            <w:r>
              <w:rPr>
                <w:b w:val="0"/>
                <w:i w:val="0"/>
                <w:strike w:val="0"/>
              </w:rPr>
              <w:t>Section 5.8 — FR-127</w:t>
            </w:r>
          </w:p>
        </w:tc>
        <w:tc>
          <w:tcPr>
            <w:tcW w:type="dxa" w:w="2880"/>
          </w:tcPr>
          <w:p>
            <w:r/>
            <w:r>
              <w:rPr>
                <w:b w:val="0"/>
                <w:i w:val="0"/>
                <w:strike w:val="0"/>
              </w:rPr>
              <w:t>Makes the tenant's billing state a hard access control, not a banner</w:t>
            </w:r>
          </w:p>
        </w:tc>
      </w:tr>
      <w:tr>
        <w:tc>
          <w:tcPr>
            <w:tcW w:type="dxa" w:w="2880"/>
          </w:tcPr>
          <w:p>
            <w:r/>
            <w:r>
              <w:rPr>
                <w:b w:val="0"/>
                <w:i w:val="0"/>
                <w:strike w:val="0"/>
              </w:rPr>
              <w:t>"Onboarded" is defined as a checklist the Portal reports against</w:t>
            </w:r>
          </w:p>
        </w:tc>
        <w:tc>
          <w:tcPr>
            <w:tcW w:type="dxa" w:w="2880"/>
          </w:tcPr>
          <w:p>
            <w:r/>
            <w:r>
              <w:rPr>
                <w:b w:val="0"/>
                <w:i w:val="0"/>
                <w:strike w:val="0"/>
              </w:rPr>
              <w:t>Section 5.8 — FR-128</w:t>
            </w:r>
          </w:p>
        </w:tc>
        <w:tc>
          <w:tcPr>
            <w:tcW w:type="dxa" w:w="2880"/>
          </w:tcPr>
          <w:p>
            <w:r/>
            <w:r>
              <w:rPr>
                <w:b w:val="0"/>
                <w:i w:val="0"/>
                <w:strike w:val="0"/>
              </w:rPr>
              <w:t>Sosinna's team can see exactly where a stalled firm stopped</w:t>
            </w:r>
          </w:p>
        </w:tc>
      </w:tr>
      <w:tr>
        <w:tc>
          <w:tcPr>
            <w:tcW w:type="dxa" w:w="2880"/>
          </w:tcPr>
          <w:p>
            <w:r/>
            <w:r>
              <w:rPr>
                <w:b w:val="0"/>
                <w:i w:val="0"/>
                <w:strike w:val="0"/>
              </w:rPr>
              <w:t>Card data never touches the platform</w:t>
            </w:r>
          </w:p>
        </w:tc>
        <w:tc>
          <w:tcPr>
            <w:tcW w:type="dxa" w:w="2880"/>
          </w:tcPr>
          <w:p>
            <w:r/>
            <w:r>
              <w:rPr>
                <w:b w:val="0"/>
                <w:i w:val="0"/>
                <w:strike w:val="0"/>
              </w:rPr>
              <w:t>Section 13.1 — NFR-12</w:t>
            </w:r>
          </w:p>
        </w:tc>
        <w:tc>
          <w:tcPr>
            <w:tcW w:type="dxa" w:w="2880"/>
          </w:tcPr>
          <w:p>
            <w:r/>
            <w:r>
              <w:rPr>
                <w:b w:val="0"/>
                <w:i w:val="0"/>
                <w:strike w:val="0"/>
              </w:rPr>
              <w:t>Keeps PCI obligations at the lightest tier and keeps card data out of the six-year retention regime, where it must not be</w:t>
            </w:r>
          </w:p>
        </w:tc>
      </w:tr>
    </w:tbl>
    <w:p>
      <w:pPr>
        <w:pStyle w:val="Heading2"/>
      </w:pPr>
      <w:r>
        <w:t>What Changed in v6.0</w:t>
      </w:r>
    </w:p>
    <w:p>
      <w:r>
        <w:rPr>
          <w:b/>
          <w:i/>
          <w:strike w:val="0"/>
          <w:color w:val="008080"/>
        </w:rPr>
        <w:t>The 11 August 2026 Compliance Testing Workflow Review walked the end-to-end workflow and the wireframes. Its main effect is confirmation: the pending-item pool, the records-request workflow, the AI document check, the priority configuration, the business-owner tagging, the N/A rules and the org chart analytics were all restated by the client in the same shape v5.0 records them. Where the minutes only confirm, this document says so and leaves the requirement standing. The table below lists what is genuinely new or changed.</w:t>
      </w:r>
      <w:r>
        <w:rPr>
          <w:b w:val="0"/>
          <w:i w:val="0"/>
          <w:strike w:val="0"/>
        </w:rPr>
        <w:t xml:space="preserve"> </w:t>
      </w:r>
      <w:r>
        <w:rPr>
          <w:b w:val="0"/>
          <w:i/>
          <w:strike w:val="0"/>
          <w:color w:val="008080"/>
          <w:sz w:val="16"/>
        </w:rPr>
        <w:t xml:space="preserve"> [11 Aug 2026 MOM]</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Change</w:t>
            </w:r>
          </w:p>
        </w:tc>
        <w:tc>
          <w:tcPr>
            <w:tcW w:type="dxa" w:w="2880"/>
            <w:shd w:val="clear" w:fill="1F4E79"/>
          </w:tcPr>
          <w:p>
            <w:r>
              <w:rPr>
                <w:b/>
                <w:color w:val="FFFFFF"/>
              </w:rPr>
            </w:r>
            <w:r>
              <w:rPr>
                <w:b/>
                <w:i w:val="0"/>
                <w:strike w:val="0"/>
                <w:color w:val="FFFFFF"/>
              </w:rPr>
              <w:t>Where</w:t>
            </w:r>
          </w:p>
        </w:tc>
        <w:tc>
          <w:tcPr>
            <w:tcW w:type="dxa" w:w="2880"/>
            <w:shd w:val="clear" w:fill="1F4E79"/>
          </w:tcPr>
          <w:p>
            <w:r>
              <w:rPr>
                <w:b/>
                <w:color w:val="FFFFFF"/>
              </w:rPr>
            </w:r>
            <w:r>
              <w:rPr>
                <w:b/>
                <w:i w:val="0"/>
                <w:strike w:val="0"/>
                <w:color w:val="FFFFFF"/>
              </w:rPr>
              <w:t>Why it matters</w:t>
            </w:r>
          </w:p>
        </w:tc>
      </w:tr>
      <w:tr>
        <w:tc>
          <w:tcPr>
            <w:tcW w:type="dxa" w:w="2880"/>
          </w:tcPr>
          <w:p>
            <w:r/>
            <w:r>
              <w:rPr>
                <w:b w:val="0"/>
                <w:i w:val="0"/>
                <w:strike w:val="0"/>
              </w:rPr>
              <w:t>One test can be split by article across several testers — the CCO "fans out" a large regulation</w:t>
            </w:r>
          </w:p>
        </w:tc>
        <w:tc>
          <w:tcPr>
            <w:tcW w:type="dxa" w:w="2880"/>
          </w:tcPr>
          <w:p>
            <w:r/>
            <w:r>
              <w:rPr>
                <w:b w:val="0"/>
                <w:i w:val="0"/>
                <w:strike w:val="0"/>
              </w:rPr>
              <w:t>Section 7.2 — FR-106</w:t>
            </w:r>
          </w:p>
        </w:tc>
        <w:tc>
          <w:tcPr>
            <w:tcW w:type="dxa" w:w="2880"/>
          </w:tcPr>
          <w:p>
            <w:r/>
            <w:r>
              <w:rPr>
                <w:b w:val="0"/>
                <w:i w:val="0"/>
                <w:strike w:val="0"/>
              </w:rPr>
              <w:t>A DORA-scale test finishes faster, but it breaks the v5.0 one-Lead-Tester-per-test rule and needs an accountability answer (GAP-15)</w:t>
            </w:r>
          </w:p>
        </w:tc>
      </w:tr>
      <w:tr>
        <w:tc>
          <w:tcPr>
            <w:tcW w:type="dxa" w:w="2880"/>
          </w:tcPr>
          <w:p>
            <w:r/>
            <w:r>
              <w:rPr>
                <w:b w:val="0"/>
                <w:i w:val="0"/>
                <w:strike w:val="0"/>
              </w:rPr>
              <w:t xml:space="preserve">Scope is now explicitly two-dimensional: a date range </w:t>
            </w:r>
            <w:r>
              <w:rPr>
                <w:b/>
                <w:i w:val="0"/>
                <w:strike w:val="0"/>
              </w:rPr>
              <w:t>and</w:t>
            </w:r>
            <w:r>
              <w:rPr>
                <w:b w:val="0"/>
                <w:i w:val="0"/>
                <w:strike w:val="0"/>
              </w:rPr>
              <w:t xml:space="preserve"> a named subset of articles</w:t>
            </w:r>
          </w:p>
        </w:tc>
        <w:tc>
          <w:tcPr>
            <w:tcW w:type="dxa" w:w="2880"/>
          </w:tcPr>
          <w:p>
            <w:r/>
            <w:r>
              <w:rPr>
                <w:b w:val="0"/>
                <w:i w:val="0"/>
                <w:strike w:val="0"/>
              </w:rPr>
              <w:t>Section 7.2 — FR-105</w:t>
            </w:r>
          </w:p>
        </w:tc>
        <w:tc>
          <w:tcPr>
            <w:tcW w:type="dxa" w:w="2880"/>
          </w:tcPr>
          <w:p>
            <w:r/>
            <w:r>
              <w:rPr>
                <w:b w:val="0"/>
                <w:i w:val="0"/>
                <w:strike w:val="0"/>
              </w:rPr>
              <w:t>FR-80 already fixed the date range; the minutes added article scoping for regulations too big to test whole</w:t>
            </w:r>
          </w:p>
        </w:tc>
      </w:tr>
      <w:tr>
        <w:tc>
          <w:tcPr>
            <w:tcW w:type="dxa" w:w="2880"/>
          </w:tcPr>
          <w:p>
            <w:r/>
            <w:r>
              <w:rPr>
                <w:b w:val="0"/>
                <w:i w:val="0"/>
                <w:strike w:val="0"/>
              </w:rPr>
              <w:t>A two-week response window is the default turnaround for a records request</w:t>
            </w:r>
          </w:p>
        </w:tc>
        <w:tc>
          <w:tcPr>
            <w:tcW w:type="dxa" w:w="2880"/>
          </w:tcPr>
          <w:p>
            <w:r/>
            <w:r>
              <w:rPr>
                <w:b w:val="0"/>
                <w:i w:val="0"/>
                <w:strike w:val="0"/>
              </w:rPr>
              <w:t>Section 7.4 — FR-109</w:t>
            </w:r>
          </w:p>
        </w:tc>
        <w:tc>
          <w:tcPr>
            <w:tcW w:type="dxa" w:w="2880"/>
          </w:tcPr>
          <w:p>
            <w:r/>
            <w:r>
              <w:rPr>
                <w:b w:val="0"/>
                <w:i w:val="0"/>
                <w:strike w:val="0"/>
              </w:rPr>
              <w:t>Gives the delay analytics in FR-85 to FR-87 an expected baseline to measure against. Resolves EV-04</w:t>
            </w:r>
          </w:p>
        </w:tc>
      </w:tr>
      <w:tr>
        <w:tc>
          <w:tcPr>
            <w:tcW w:type="dxa" w:w="2880"/>
          </w:tcPr>
          <w:p>
            <w:r/>
            <w:r>
              <w:rPr>
                <w:b w:val="0"/>
                <w:i w:val="0"/>
                <w:strike w:val="0"/>
              </w:rPr>
              <w:t>Evidence must be uploaded to the platform — email and WhatsApp are not acceptable channels</w:t>
            </w:r>
          </w:p>
        </w:tc>
        <w:tc>
          <w:tcPr>
            <w:tcW w:type="dxa" w:w="2880"/>
          </w:tcPr>
          <w:p>
            <w:r/>
            <w:r>
              <w:rPr>
                <w:b w:val="0"/>
                <w:i w:val="0"/>
                <w:strike w:val="0"/>
              </w:rPr>
              <w:t>Section 7.4 — FR-108</w:t>
            </w:r>
          </w:p>
        </w:tc>
        <w:tc>
          <w:tcPr>
            <w:tcW w:type="dxa" w:w="2880"/>
          </w:tcPr>
          <w:p>
            <w:r/>
            <w:r>
              <w:rPr>
                <w:b w:val="0"/>
                <w:i w:val="0"/>
                <w:strike w:val="0"/>
              </w:rPr>
              <w:t>Stated as an audit-trail requirement, not a preference. Was implied by FR-83; now explicit</w:t>
            </w:r>
          </w:p>
        </w:tc>
      </w:tr>
      <w:tr>
        <w:tc>
          <w:tcPr>
            <w:tcW w:type="dxa" w:w="2880"/>
          </w:tcPr>
          <w:p>
            <w:r/>
            <w:r>
              <w:rPr>
                <w:b w:val="0"/>
                <w:i w:val="0"/>
                <w:strike w:val="0"/>
              </w:rPr>
              <w:t>The AI document check is justified as cost control as well as quality control</w:t>
            </w:r>
          </w:p>
        </w:tc>
        <w:tc>
          <w:tcPr>
            <w:tcW w:type="dxa" w:w="2880"/>
          </w:tcPr>
          <w:p>
            <w:r/>
            <w:r>
              <w:rPr>
                <w:b w:val="0"/>
                <w:i w:val="0"/>
                <w:strike w:val="0"/>
              </w:rPr>
              <w:t>Section 7.4 — FR-110</w:t>
            </w:r>
          </w:p>
        </w:tc>
        <w:tc>
          <w:tcPr>
            <w:tcW w:type="dxa" w:w="2880"/>
          </w:tcPr>
          <w:p>
            <w:r/>
            <w:r>
              <w:rPr>
                <w:b w:val="0"/>
                <w:i w:val="0"/>
                <w:strike w:val="0"/>
              </w:rPr>
              <w:t>A mismatched file must not be allowed to consume a full AI test run. Changes where the check sits in the pipeline</w:t>
            </w:r>
          </w:p>
        </w:tc>
      </w:tr>
      <w:tr>
        <w:tc>
          <w:tcPr>
            <w:tcW w:type="dxa" w:w="2880"/>
          </w:tcPr>
          <w:p>
            <w:r/>
            <w:r>
              <w:rPr>
                <w:b w:val="0"/>
                <w:i w:val="0"/>
                <w:strike w:val="0"/>
              </w:rPr>
              <w:t>Gap identification after evidence review: firm policy vs. regulatory requirement</w:t>
            </w:r>
          </w:p>
        </w:tc>
        <w:tc>
          <w:tcPr>
            <w:tcW w:type="dxa" w:w="2880"/>
          </w:tcPr>
          <w:p>
            <w:r/>
            <w:r>
              <w:rPr>
                <w:b w:val="0"/>
                <w:i w:val="0"/>
                <w:strike w:val="0"/>
              </w:rPr>
              <w:t>New Section 7.5 — FR-112</w:t>
            </w:r>
          </w:p>
        </w:tc>
        <w:tc>
          <w:tcPr>
            <w:tcW w:type="dxa" w:w="2880"/>
          </w:tcPr>
          <w:p>
            <w:r/>
            <w:r>
              <w:rPr>
                <w:b w:val="0"/>
                <w:i w:val="0"/>
                <w:strike w:val="0"/>
              </w:rPr>
              <w:t>The testing module produces gaps of its own; previously only the WSP module (FR-34) did</w:t>
            </w:r>
          </w:p>
        </w:tc>
      </w:tr>
      <w:tr>
        <w:tc>
          <w:tcPr>
            <w:tcW w:type="dxa" w:w="2880"/>
          </w:tcPr>
          <w:p>
            <w:r/>
            <w:r>
              <w:rPr>
                <w:b w:val="0"/>
                <w:i w:val="0"/>
                <w:strike w:val="0"/>
              </w:rPr>
              <w:t xml:space="preserve">N/A requires an uploaded justification </w:t>
            </w:r>
            <w:r>
              <w:rPr>
                <w:b/>
                <w:i w:val="0"/>
                <w:strike w:val="0"/>
              </w:rPr>
              <w:t>file</w:t>
            </w:r>
            <w:r>
              <w:rPr>
                <w:b w:val="0"/>
                <w:i w:val="0"/>
                <w:strike w:val="0"/>
              </w:rPr>
              <w:t>, not only written text</w:t>
            </w:r>
          </w:p>
        </w:tc>
        <w:tc>
          <w:tcPr>
            <w:tcW w:type="dxa" w:w="2880"/>
          </w:tcPr>
          <w:p>
            <w:r/>
            <w:r>
              <w:rPr>
                <w:b w:val="0"/>
                <w:i w:val="0"/>
                <w:strike w:val="0"/>
              </w:rPr>
              <w:t>Section 7.2 — FR-107</w:t>
            </w:r>
          </w:p>
        </w:tc>
        <w:tc>
          <w:tcPr>
            <w:tcW w:type="dxa" w:w="2880"/>
          </w:tcPr>
          <w:p>
            <w:r/>
            <w:r>
              <w:rPr>
                <w:b w:val="0"/>
                <w:i w:val="0"/>
                <w:strike w:val="0"/>
              </w:rPr>
              <w:t>Tightens FR-94. The file is what goes in the report appendix</w:t>
            </w:r>
          </w:p>
        </w:tc>
      </w:tr>
      <w:tr>
        <w:tc>
          <w:tcPr>
            <w:tcW w:type="dxa" w:w="2880"/>
          </w:tcPr>
          <w:p>
            <w:r/>
            <w:r>
              <w:rPr>
                <w:b w:val="0"/>
                <w:i w:val="0"/>
                <w:strike w:val="0"/>
              </w:rPr>
              <w:t>Wireframes reviewed and accepted in principle: CCO Kanban board, calendar of scheduled reviews, remediation dashboards</w:t>
            </w:r>
          </w:p>
        </w:tc>
        <w:tc>
          <w:tcPr>
            <w:tcW w:type="dxa" w:w="2880"/>
          </w:tcPr>
          <w:p>
            <w:r/>
            <w:r>
              <w:rPr>
                <w:b w:val="0"/>
                <w:i w:val="0"/>
                <w:strike w:val="0"/>
              </w:rPr>
              <w:t>Section 9.1 — FR-113 to FR-115</w:t>
            </w:r>
          </w:p>
        </w:tc>
        <w:tc>
          <w:tcPr>
            <w:tcW w:type="dxa" w:w="2880"/>
          </w:tcPr>
          <w:p>
            <w:r/>
            <w:r>
              <w:rPr>
                <w:b w:val="0"/>
                <w:i w:val="0"/>
                <w:strike w:val="0"/>
              </w:rPr>
              <w:t>Confirms a calendar survives the pool model — for assigned work only</w:t>
            </w:r>
          </w:p>
        </w:tc>
      </w:tr>
      <w:tr>
        <w:tc>
          <w:tcPr>
            <w:tcW w:type="dxa" w:w="2880"/>
          </w:tcPr>
          <w:p>
            <w:r/>
            <w:r>
              <w:rPr>
                <w:b w:val="0"/>
                <w:i w:val="0"/>
                <w:strike w:val="0"/>
              </w:rPr>
              <w:t>A follow-up "request portal" for back-and-forth on missing or incorrect documents was proposed</w:t>
            </w:r>
          </w:p>
        </w:tc>
        <w:tc>
          <w:tcPr>
            <w:tcW w:type="dxa" w:w="2880"/>
          </w:tcPr>
          <w:p>
            <w:r/>
            <w:r>
              <w:rPr>
                <w:b w:val="0"/>
                <w:i w:val="0"/>
                <w:strike w:val="0"/>
              </w:rPr>
              <w:t>Section 7.4 — FR-111</w:t>
            </w:r>
          </w:p>
        </w:tc>
        <w:tc>
          <w:tcPr>
            <w:tcW w:type="dxa" w:w="2880"/>
          </w:tcPr>
          <w:p>
            <w:r/>
            <w:r>
              <w:rPr>
                <w:b w:val="0"/>
                <w:i w:val="0"/>
                <w:strike w:val="0"/>
              </w:rPr>
              <w:t xml:space="preserve">Explicitly </w:t>
            </w:r>
            <w:r>
              <w:rPr>
                <w:b/>
                <w:i w:val="0"/>
                <w:strike w:val="0"/>
              </w:rPr>
              <w:t>not yet approved</w:t>
            </w:r>
            <w:r>
              <w:rPr>
                <w:b w:val="0"/>
                <w:i w:val="0"/>
                <w:strike w:val="0"/>
              </w:rPr>
              <w:t xml:space="preserve"> — the client asked for a development-effort assessment first</w:t>
            </w:r>
          </w:p>
        </w:tc>
      </w:tr>
      <w:tr>
        <w:tc>
          <w:tcPr>
            <w:tcW w:type="dxa" w:w="2880"/>
          </w:tcPr>
          <w:p>
            <w:r/>
            <w:r>
              <w:rPr>
                <w:b w:val="0"/>
                <w:i w:val="0"/>
                <w:strike w:val="0"/>
              </w:rPr>
              <w:t xml:space="preserve">Onboarding derives applicable </w:t>
            </w:r>
            <w:r>
              <w:rPr>
                <w:b/>
                <w:i w:val="0"/>
                <w:strike w:val="0"/>
              </w:rPr>
              <w:t>regulations</w:t>
            </w:r>
            <w:r>
              <w:rPr>
                <w:b w:val="0"/>
                <w:i w:val="0"/>
                <w:strike w:val="0"/>
              </w:rPr>
              <w:t xml:space="preserve"> as well as service lines</w:t>
            </w:r>
          </w:p>
        </w:tc>
        <w:tc>
          <w:tcPr>
            <w:tcW w:type="dxa" w:w="2880"/>
          </w:tcPr>
          <w:p>
            <w:r/>
            <w:r>
              <w:rPr>
                <w:b w:val="0"/>
                <w:i w:val="0"/>
                <w:strike w:val="0"/>
              </w:rPr>
              <w:t>Section 5 — FR-104</w:t>
            </w:r>
          </w:p>
        </w:tc>
        <w:tc>
          <w:tcPr>
            <w:tcW w:type="dxa" w:w="2880"/>
          </w:tcPr>
          <w:p>
            <w:r/>
            <w:r>
              <w:rPr>
                <w:b w:val="0"/>
                <w:i w:val="0"/>
                <w:strike w:val="0"/>
              </w:rPr>
              <w:t>The wizard's output is the firm's regulatory perimeter, not just its test set</w:t>
            </w:r>
          </w:p>
        </w:tc>
      </w:tr>
      <w:tr>
        <w:tc>
          <w:tcPr>
            <w:tcW w:type="dxa" w:w="2880"/>
          </w:tcPr>
          <w:p>
            <w:r/>
            <w:r>
              <w:rPr>
                <w:b w:val="0"/>
                <w:i w:val="0"/>
                <w:strike w:val="0"/>
              </w:rPr>
              <w:t>The org chart doubles as an employee directory that highlights compliance staff</w:t>
            </w:r>
          </w:p>
        </w:tc>
        <w:tc>
          <w:tcPr>
            <w:tcW w:type="dxa" w:w="2880"/>
          </w:tcPr>
          <w:p>
            <w:r/>
            <w:r>
              <w:rPr>
                <w:b w:val="0"/>
                <w:i w:val="0"/>
                <w:strike w:val="0"/>
              </w:rPr>
              <w:t>Section 10.6 — FR-116</w:t>
            </w:r>
          </w:p>
        </w:tc>
        <w:tc>
          <w:tcPr>
            <w:tcW w:type="dxa" w:w="2880"/>
          </w:tcPr>
          <w:p>
            <w:r/>
            <w:r>
              <w:rPr>
                <w:b w:val="0"/>
                <w:i w:val="0"/>
                <w:strike w:val="0"/>
              </w:rPr>
              <w:t>The analytics dashboard in FR-102 counted; the directory is the list behind the counts</w:t>
            </w:r>
          </w:p>
        </w:tc>
      </w:tr>
      <w:tr>
        <w:tc>
          <w:tcPr>
            <w:tcW w:type="dxa" w:w="2880"/>
          </w:tcPr>
          <w:p>
            <w:r/>
            <w:r>
              <w:rPr>
                <w:b w:val="0"/>
                <w:i w:val="0"/>
                <w:strike w:val="0"/>
              </w:rPr>
              <w:t>Super Admin is notified in the dashboard when MiCA or DORA is updated</w:t>
            </w:r>
          </w:p>
        </w:tc>
        <w:tc>
          <w:tcPr>
            <w:tcW w:type="dxa" w:w="2880"/>
          </w:tcPr>
          <w:p>
            <w:r/>
            <w:r>
              <w:rPr>
                <w:b w:val="0"/>
                <w:i w:val="0"/>
                <w:strike w:val="0"/>
              </w:rPr>
              <w:t>Section 4.5 — SA-15</w:t>
            </w:r>
          </w:p>
        </w:tc>
        <w:tc>
          <w:tcPr>
            <w:tcW w:type="dxa" w:w="2880"/>
          </w:tcPr>
          <w:p>
            <w:r/>
            <w:r>
              <w:rPr>
                <w:b w:val="0"/>
                <w:i w:val="0"/>
                <w:strike w:val="0"/>
              </w:rPr>
              <w:t>Names the trigger that restarts the SA-13 review-edit-tag-publish cycle</w:t>
            </w:r>
          </w:p>
        </w:tc>
      </w:tr>
    </w:tbl>
    <w:p>
      <w:pPr>
        <w:pStyle w:val="Heading2"/>
      </w:pPr>
      <w:r>
        <w:t>What Changed in v5.0</w:t>
      </w:r>
    </w:p>
    <w:p>
      <w:r>
        <w:rPr>
          <w:b/>
          <w:i/>
          <w:strike w:val="0"/>
          <w:color w:val="7030A0"/>
        </w:rPr>
        <w:t>This table is the short version of the August 2026 meeting. Every row is expanded, with feature IDs, in the section named.</w:t>
      </w:r>
      <w:r>
        <w:rPr>
          <w:b w:val="0"/>
          <w:i w:val="0"/>
          <w:strike w:val="0"/>
        </w:rPr>
        <w:t xml:space="preserve"> </w:t>
      </w:r>
      <w:r>
        <w:rPr>
          <w:b w:val="0"/>
          <w:i/>
          <w:strike w:val="0"/>
          <w:color w:val="7030A0"/>
          <w:sz w:val="16"/>
        </w:rPr>
        <w:t xml:space="preserve"> [Aug 2026 client MOM]</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Change</w:t>
            </w:r>
          </w:p>
        </w:tc>
        <w:tc>
          <w:tcPr>
            <w:tcW w:type="dxa" w:w="2880"/>
            <w:shd w:val="clear" w:fill="1F4E79"/>
          </w:tcPr>
          <w:p>
            <w:r>
              <w:rPr>
                <w:b/>
                <w:color w:val="FFFFFF"/>
              </w:rPr>
            </w:r>
            <w:r>
              <w:rPr>
                <w:b/>
                <w:i w:val="0"/>
                <w:strike w:val="0"/>
                <w:color w:val="FFFFFF"/>
              </w:rPr>
              <w:t>Where</w:t>
            </w:r>
          </w:p>
        </w:tc>
        <w:tc>
          <w:tcPr>
            <w:tcW w:type="dxa" w:w="2880"/>
            <w:shd w:val="clear" w:fill="1F4E79"/>
          </w:tcPr>
          <w:p>
            <w:r>
              <w:rPr>
                <w:b/>
                <w:color w:val="FFFFFF"/>
              </w:rPr>
            </w:r>
            <w:r>
              <w:rPr>
                <w:b/>
                <w:i w:val="0"/>
                <w:strike w:val="0"/>
                <w:color w:val="FFFFFF"/>
              </w:rPr>
              <w:t>Why it matters</w:t>
            </w:r>
          </w:p>
        </w:tc>
      </w:tr>
      <w:tr>
        <w:tc>
          <w:tcPr>
            <w:tcW w:type="dxa" w:w="2880"/>
          </w:tcPr>
          <w:p>
            <w:r/>
            <w:r>
              <w:rPr>
                <w:b/>
                <w:i w:val="0"/>
                <w:strike w:val="0"/>
              </w:rPr>
              <w:t>The product is renamed ComplianceIQ → ControlIQ</w:t>
            </w:r>
          </w:p>
        </w:tc>
        <w:tc>
          <w:tcPr>
            <w:tcW w:type="dxa" w:w="2880"/>
          </w:tcPr>
          <w:p>
            <w:r/>
            <w:r>
              <w:rPr>
                <w:b w:val="0"/>
                <w:i w:val="0"/>
                <w:strike w:val="0"/>
              </w:rPr>
              <w:t>Document-wide; branding in Section 14, CC-02</w:t>
            </w:r>
          </w:p>
        </w:tc>
        <w:tc>
          <w:tcPr>
            <w:tcW w:type="dxa" w:w="2880"/>
          </w:tcPr>
          <w:p>
            <w:r/>
            <w:r>
              <w:rPr>
                <w:b w:val="0"/>
                <w:i w:val="0"/>
                <w:strike w:val="0"/>
              </w:rPr>
              <w:t>Affects report branding, the marketing site, the UI, email templates, and the domain decision</w:t>
            </w:r>
          </w:p>
        </w:tc>
      </w:tr>
      <w:tr>
        <w:tc>
          <w:tcPr>
            <w:tcW w:type="dxa" w:w="2880"/>
          </w:tcPr>
          <w:p>
            <w:r/>
            <w:r>
              <w:rPr>
                <w:b w:val="0"/>
                <w:i w:val="0"/>
                <w:strike w:val="0"/>
              </w:rPr>
              <w:t>Test priority is configured by hand in the Admin Portal (high vs. low risk) and read by the firm application</w:t>
            </w:r>
          </w:p>
        </w:tc>
        <w:tc>
          <w:tcPr>
            <w:tcW w:type="dxa" w:w="2880"/>
          </w:tcPr>
          <w:p>
            <w:r/>
            <w:r>
              <w:rPr>
                <w:b w:val="0"/>
                <w:i w:val="0"/>
                <w:strike w:val="0"/>
              </w:rPr>
              <w:t>Section 4.4 — SA-09 to SA-11</w:t>
            </w:r>
          </w:p>
        </w:tc>
        <w:tc>
          <w:tcPr>
            <w:tcW w:type="dxa" w:w="2880"/>
          </w:tcPr>
          <w:p>
            <w:r/>
            <w:r>
              <w:rPr>
                <w:b w:val="0"/>
                <w:i w:val="0"/>
                <w:strike w:val="0"/>
              </w:rPr>
              <w:t>The platform does not guess what matters most; Sosinna's team decides, centrally, once</w:t>
            </w:r>
          </w:p>
        </w:tc>
      </w:tr>
      <w:tr>
        <w:tc>
          <w:tcPr>
            <w:tcW w:type="dxa" w:w="2880"/>
          </w:tcPr>
          <w:p>
            <w:r/>
            <w:r>
              <w:rPr>
                <w:b w:val="0"/>
                <w:i w:val="0"/>
                <w:strike w:val="0"/>
              </w:rPr>
              <w:t>EU regulations are fetched from official APIs, formatted, then reviewed, edited, tagged and published</w:t>
            </w:r>
          </w:p>
        </w:tc>
        <w:tc>
          <w:tcPr>
            <w:tcW w:type="dxa" w:w="2880"/>
          </w:tcPr>
          <w:p>
            <w:r/>
            <w:r>
              <w:rPr>
                <w:b w:val="0"/>
                <w:i w:val="0"/>
                <w:strike w:val="0"/>
              </w:rPr>
              <w:t>Section 4.5 — SA-12 to SA-14</w:t>
            </w:r>
          </w:p>
        </w:tc>
        <w:tc>
          <w:tcPr>
            <w:tcW w:type="dxa" w:w="2880"/>
          </w:tcPr>
          <w:p>
            <w:r/>
            <w:r>
              <w:rPr>
                <w:b w:val="0"/>
                <w:i w:val="0"/>
                <w:strike w:val="0"/>
              </w:rPr>
              <w:t>Turns regulation monitoring into a content pipeline with a human gate, not just a change alert</w:t>
            </w:r>
          </w:p>
        </w:tc>
      </w:tr>
      <w:tr>
        <w:tc>
          <w:tcPr>
            <w:tcW w:type="dxa" w:w="2880"/>
          </w:tcPr>
          <w:p>
            <w:r/>
            <w:r>
              <w:rPr>
                <w:b w:val="0"/>
                <w:i w:val="0"/>
                <w:strike w:val="0"/>
              </w:rPr>
              <w:t>Scheduling changed: no more auto-scheduled entry per test. Pending work sits in a pool the CCO assigns from</w:t>
            </w:r>
          </w:p>
        </w:tc>
        <w:tc>
          <w:tcPr>
            <w:tcW w:type="dxa" w:w="2880"/>
          </w:tcPr>
          <w:p>
            <w:r/>
            <w:r>
              <w:rPr>
                <w:b w:val="0"/>
                <w:i w:val="0"/>
                <w:strike w:val="0"/>
              </w:rPr>
              <w:t>Section 7.2 — FR-78, FR-79</w:t>
            </w:r>
          </w:p>
        </w:tc>
        <w:tc>
          <w:tcPr>
            <w:tcW w:type="dxa" w:w="2880"/>
          </w:tcPr>
          <w:p>
            <w:r/>
            <w:r>
              <w:rPr>
                <w:b w:val="0"/>
                <w:i w:val="0"/>
                <w:strike w:val="0"/>
              </w:rPr>
              <w:t>Avoids a calendar with hundreds of entries nobody is working on</w:t>
            </w:r>
          </w:p>
        </w:tc>
      </w:tr>
      <w:tr>
        <w:tc>
          <w:tcPr>
            <w:tcW w:type="dxa" w:w="2880"/>
          </w:tcPr>
          <w:p>
            <w:r/>
            <w:r>
              <w:rPr>
                <w:b w:val="0"/>
                <w:i w:val="0"/>
                <w:strike w:val="0"/>
              </w:rPr>
              <w:t>Every test now has a mandatory scope period (e.g. January to June 2026)</w:t>
            </w:r>
          </w:p>
        </w:tc>
        <w:tc>
          <w:tcPr>
            <w:tcW w:type="dxa" w:w="2880"/>
          </w:tcPr>
          <w:p>
            <w:r/>
            <w:r>
              <w:rPr>
                <w:b w:val="0"/>
                <w:i w:val="0"/>
                <w:strike w:val="0"/>
              </w:rPr>
              <w:t>Section 7.2 — FR-80</w:t>
            </w:r>
          </w:p>
        </w:tc>
        <w:tc>
          <w:tcPr>
            <w:tcW w:type="dxa" w:w="2880"/>
          </w:tcPr>
          <w:p>
            <w:r/>
            <w:r>
              <w:rPr>
                <w:b w:val="0"/>
                <w:i w:val="0"/>
                <w:strike w:val="0"/>
              </w:rPr>
              <w:t>Stops a tester having to review "everything under the sun"</w:t>
            </w:r>
          </w:p>
        </w:tc>
      </w:tr>
      <w:tr>
        <w:tc>
          <w:tcPr>
            <w:tcW w:type="dxa" w:w="2880"/>
          </w:tcPr>
          <w:p>
            <w:r/>
            <w:r>
              <w:rPr>
                <w:b w:val="0"/>
                <w:i w:val="0"/>
                <w:strike w:val="0"/>
              </w:rPr>
              <w:t>New Records Request workflow: announcement letter, request list, request and receipt dates, delay analytics</w:t>
            </w:r>
          </w:p>
        </w:tc>
        <w:tc>
          <w:tcPr>
            <w:tcW w:type="dxa" w:w="2880"/>
          </w:tcPr>
          <w:p>
            <w:r/>
            <w:r>
              <w:rPr>
                <w:b w:val="0"/>
                <w:i w:val="0"/>
                <w:strike w:val="0"/>
              </w:rPr>
              <w:t>Section 7.4 — FR-83 to FR-87</w:t>
            </w:r>
          </w:p>
        </w:tc>
        <w:tc>
          <w:tcPr>
            <w:tcW w:type="dxa" w:w="2880"/>
          </w:tcPr>
          <w:p>
            <w:r/>
            <w:r>
              <w:rPr>
                <w:b w:val="0"/>
                <w:i w:val="0"/>
                <w:strike w:val="0"/>
              </w:rPr>
              <w:t>Collection delay is treated as compliance information, because it indicates weak internal control</w:t>
            </w:r>
          </w:p>
        </w:tc>
      </w:tr>
      <w:tr>
        <w:tc>
          <w:tcPr>
            <w:tcW w:type="dxa" w:w="2880"/>
          </w:tcPr>
          <w:p>
            <w:r/>
            <w:r>
              <w:rPr>
                <w:b w:val="0"/>
                <w:i w:val="0"/>
                <w:strike w:val="0"/>
              </w:rPr>
              <w:t>Uploaded documents are checked — initially by AI — against what was actually requested</w:t>
            </w:r>
          </w:p>
        </w:tc>
        <w:tc>
          <w:tcPr>
            <w:tcW w:type="dxa" w:w="2880"/>
          </w:tcPr>
          <w:p>
            <w:r/>
            <w:r>
              <w:rPr>
                <w:b w:val="0"/>
                <w:i w:val="0"/>
                <w:strike w:val="0"/>
              </w:rPr>
              <w:t>Section 7.4 — FR-88, FR-89</w:t>
            </w:r>
          </w:p>
        </w:tc>
        <w:tc>
          <w:tcPr>
            <w:tcW w:type="dxa" w:w="2880"/>
          </w:tcPr>
          <w:p>
            <w:r/>
            <w:r>
              <w:rPr>
                <w:b w:val="0"/>
                <w:i w:val="0"/>
                <w:strike w:val="0"/>
              </w:rPr>
              <w:t>Catches the lunch-receipt-instead-of-call-tree case before a tester's time is spent on it</w:t>
            </w:r>
          </w:p>
        </w:tc>
      </w:tr>
      <w:tr>
        <w:tc>
          <w:tcPr>
            <w:tcW w:type="dxa" w:w="2880"/>
          </w:tcPr>
          <w:p>
            <w:r/>
            <w:r>
              <w:rPr>
                <w:b w:val="0"/>
                <w:i w:val="0"/>
                <w:strike w:val="0"/>
              </w:rPr>
              <w:t>Human verification stays mandatory for financial systems and critical controls</w:t>
            </w:r>
          </w:p>
        </w:tc>
        <w:tc>
          <w:tcPr>
            <w:tcW w:type="dxa" w:w="2880"/>
          </w:tcPr>
          <w:p>
            <w:r/>
            <w:r>
              <w:rPr>
                <w:b w:val="0"/>
                <w:i w:val="0"/>
                <w:strike w:val="0"/>
              </w:rPr>
              <w:t>Section 7.4 — FR-90</w:t>
            </w:r>
          </w:p>
        </w:tc>
        <w:tc>
          <w:tcPr>
            <w:tcW w:type="dxa" w:w="2880"/>
          </w:tcPr>
          <w:p>
            <w:r/>
            <w:r>
              <w:rPr>
                <w:b w:val="0"/>
                <w:i w:val="0"/>
                <w:strike w:val="0"/>
              </w:rPr>
              <w:t>AI screens; a person still signs off, until comfort is established</w:t>
            </w:r>
          </w:p>
        </w:tc>
      </w:tr>
      <w:tr>
        <w:tc>
          <w:tcPr>
            <w:tcW w:type="dxa" w:w="2880"/>
          </w:tcPr>
          <w:p>
            <w:r/>
            <w:r>
              <w:rPr>
                <w:b w:val="0"/>
                <w:i w:val="0"/>
                <w:strike w:val="0"/>
              </w:rPr>
              <w:t>Tests are tagged to a business owner (e.g. the CTO for system tests)</w:t>
            </w:r>
          </w:p>
        </w:tc>
        <w:tc>
          <w:tcPr>
            <w:tcW w:type="dxa" w:w="2880"/>
          </w:tcPr>
          <w:p>
            <w:r/>
            <w:r>
              <w:rPr>
                <w:b w:val="0"/>
                <w:i w:val="0"/>
                <w:strike w:val="0"/>
              </w:rPr>
              <w:t>Section 7.2 — FR-82</w:t>
            </w:r>
          </w:p>
        </w:tc>
        <w:tc>
          <w:tcPr>
            <w:tcW w:type="dxa" w:w="2880"/>
          </w:tcPr>
          <w:p>
            <w:r/>
            <w:r>
              <w:rPr>
                <w:b w:val="0"/>
                <w:i w:val="0"/>
                <w:strike w:val="0"/>
              </w:rPr>
              <w:t>Accountability for producing records sits with a named person</w:t>
            </w:r>
          </w:p>
        </w:tc>
      </w:tr>
      <w:tr>
        <w:tc>
          <w:tcPr>
            <w:tcW w:type="dxa" w:w="2880"/>
          </w:tcPr>
          <w:p>
            <w:r/>
            <w:r>
              <w:rPr>
                <w:b w:val="0"/>
                <w:i w:val="0"/>
                <w:strike w:val="0"/>
              </w:rPr>
              <w:t>The CCO gets a holistic view of all testers and their progress across regulation pillars</w:t>
            </w:r>
          </w:p>
        </w:tc>
        <w:tc>
          <w:tcPr>
            <w:tcW w:type="dxa" w:w="2880"/>
          </w:tcPr>
          <w:p>
            <w:r/>
            <w:r>
              <w:rPr>
                <w:b w:val="0"/>
                <w:i w:val="0"/>
                <w:strike w:val="0"/>
              </w:rPr>
              <w:t>Sections 7.2 and 9.1 — FR-81, FR-97</w:t>
            </w:r>
          </w:p>
        </w:tc>
        <w:tc>
          <w:tcPr>
            <w:tcW w:type="dxa" w:w="2880"/>
          </w:tcPr>
          <w:p>
            <w:r/>
            <w:r>
              <w:rPr>
                <w:b w:val="0"/>
                <w:i w:val="0"/>
                <w:strike w:val="0"/>
              </w:rPr>
              <w:t>One lead tester per unit, but one CCO watching the whole programme</w:t>
            </w:r>
          </w:p>
        </w:tc>
      </w:tr>
      <w:tr>
        <w:tc>
          <w:tcPr>
            <w:tcW w:type="dxa" w:w="2880"/>
          </w:tcPr>
          <w:p>
            <w:r/>
            <w:r>
              <w:rPr>
                <w:b w:val="0"/>
                <w:i w:val="0"/>
                <w:strike w:val="0"/>
              </w:rPr>
              <w:t>Not Applicable is a CCO decision, needs written justification, and appears in a report appendix</w:t>
            </w:r>
          </w:p>
        </w:tc>
        <w:tc>
          <w:tcPr>
            <w:tcW w:type="dxa" w:w="2880"/>
          </w:tcPr>
          <w:p>
            <w:r/>
            <w:r>
              <w:rPr>
                <w:b w:val="0"/>
                <w:i w:val="0"/>
                <w:strike w:val="0"/>
              </w:rPr>
              <w:t>Sections 7.2 and 9.2 — FR-94, FR-99</w:t>
            </w:r>
          </w:p>
        </w:tc>
        <w:tc>
          <w:tcPr>
            <w:tcW w:type="dxa" w:w="2880"/>
          </w:tcPr>
          <w:p>
            <w:r/>
            <w:r>
              <w:rPr>
                <w:b w:val="0"/>
                <w:i w:val="0"/>
                <w:strike w:val="0"/>
              </w:rPr>
              <w:t>N/A becomes a documented, reviewable decision</w:t>
            </w:r>
          </w:p>
        </w:tc>
      </w:tr>
      <w:tr>
        <w:tc>
          <w:tcPr>
            <w:tcW w:type="dxa" w:w="2880"/>
          </w:tcPr>
          <w:p>
            <w:r/>
            <w:r>
              <w:rPr>
                <w:b w:val="0"/>
                <w:i w:val="0"/>
                <w:strike w:val="0"/>
              </w:rPr>
              <w:t>Financial reports are collected at onboarding to help derive service lines</w:t>
            </w:r>
          </w:p>
        </w:tc>
        <w:tc>
          <w:tcPr>
            <w:tcW w:type="dxa" w:w="2880"/>
          </w:tcPr>
          <w:p>
            <w:r/>
            <w:r>
              <w:rPr>
                <w:b w:val="0"/>
                <w:i w:val="0"/>
                <w:strike w:val="0"/>
              </w:rPr>
              <w:t>Section 5 — FR-92, FR-93</w:t>
            </w:r>
          </w:p>
        </w:tc>
        <w:tc>
          <w:tcPr>
            <w:tcW w:type="dxa" w:w="2880"/>
          </w:tcPr>
          <w:p>
            <w:r/>
            <w:r>
              <w:rPr>
                <w:b w:val="0"/>
                <w:i w:val="0"/>
                <w:strike w:val="0"/>
              </w:rPr>
              <w:t>A second input alongside the revenue template; the CCO still confirms</w:t>
            </w:r>
          </w:p>
        </w:tc>
      </w:tr>
      <w:tr>
        <w:tc>
          <w:tcPr>
            <w:tcW w:type="dxa" w:w="2880"/>
          </w:tcPr>
          <w:p>
            <w:r/>
            <w:r>
              <w:rPr>
                <w:b w:val="0"/>
                <w:i w:val="0"/>
                <w:strike w:val="0"/>
              </w:rPr>
              <w:t>Org chart tracks headcount versus system entitlements, with an analytics dashboard</w:t>
            </w:r>
          </w:p>
        </w:tc>
        <w:tc>
          <w:tcPr>
            <w:tcW w:type="dxa" w:w="2880"/>
          </w:tcPr>
          <w:p>
            <w:r/>
            <w:r>
              <w:rPr>
                <w:b w:val="0"/>
                <w:i w:val="0"/>
                <w:strike w:val="0"/>
              </w:rPr>
              <w:t>Section 10 — FR-101 to FR-103</w:t>
            </w:r>
          </w:p>
        </w:tc>
        <w:tc>
          <w:tcPr>
            <w:tcW w:type="dxa" w:w="2880"/>
          </w:tcPr>
          <w:p>
            <w:r/>
            <w:r>
              <w:rPr>
                <w:b w:val="0"/>
                <w:i w:val="0"/>
                <w:strike w:val="0"/>
              </w:rPr>
              <w:t>Surfaces staff without managers, staff without communication channels, and total hardware</w:t>
            </w:r>
          </w:p>
        </w:tc>
      </w:tr>
      <w:tr>
        <w:tc>
          <w:tcPr>
            <w:tcW w:type="dxa" w:w="2880"/>
          </w:tcPr>
          <w:p>
            <w:r/>
            <w:r>
              <w:rPr>
                <w:b w:val="0"/>
                <w:i w:val="0"/>
                <w:strike w:val="0"/>
              </w:rPr>
              <w:t>The final report states the calculated risk rating and current remediation status</w:t>
            </w:r>
          </w:p>
        </w:tc>
        <w:tc>
          <w:tcPr>
            <w:tcW w:type="dxa" w:w="2880"/>
          </w:tcPr>
          <w:p>
            <w:r/>
            <w:r>
              <w:rPr>
                <w:b w:val="0"/>
                <w:i w:val="0"/>
                <w:strike w:val="0"/>
              </w:rPr>
              <w:t>Section 9.2 — FR-98 to FR-100</w:t>
            </w:r>
          </w:p>
        </w:tc>
        <w:tc>
          <w:tcPr>
            <w:tcW w:type="dxa" w:w="2880"/>
          </w:tcPr>
          <w:p>
            <w:r/>
            <w:r>
              <w:rPr>
                <w:b w:val="0"/>
                <w:i w:val="0"/>
                <w:strike w:val="0"/>
              </w:rPr>
              <w:t>Report reads: findings, then risk ratings from the gaps found, then remediation status</w:t>
            </w:r>
          </w:p>
        </w:tc>
      </w:tr>
    </w:tbl>
    <w:p>
      <w:pPr>
        <w:pStyle w:val="Heading1"/>
      </w:pPr>
      <w:r>
        <w:t>1. What Is ControlIQ?</w:t>
      </w:r>
    </w:p>
    <w:p>
      <w:r>
        <w:rPr>
          <w:b w:val="0"/>
          <w:i w:val="0"/>
          <w:strike w:val="0"/>
        </w:rPr>
        <w:t>ControlIQ is a software platform that helps crypto companies stay on the right side of European financial regulation. It is built specifically for Crypto Asset Service Providers — companies that are licensed by a national financial regulator (such as the Banco de Portugal or the BaFin in Germany) to offer services involving crypto-assets.</w:t>
      </w:r>
    </w:p>
    <w:p>
      <w:r>
        <w:rPr>
          <w:b w:val="0"/>
          <w:i w:val="0"/>
          <w:strike w:val="0"/>
        </w:rPr>
        <w:t>Right now, most compliance work at these companies happens in spreadsheets, shared drives, and email threads. Testing is done manually. Evidence is scattered. Reports are produced by consultants at high cost and low frequency. If a regulator asks to see proof of compliance, pulling it all together takes weeks.</w:t>
      </w:r>
    </w:p>
    <w:p>
      <w:r>
        <w:rPr>
          <w:b w:val="0"/>
          <w:i w:val="0"/>
          <w:strike w:val="0"/>
        </w:rPr>
        <w:t>ControlIQ replaces that with a single, structured platform where the compliance team can plan tests, run them step by step, store evidence, record what they found, agree on how to fix problems, and produce a professional report — all in one place, continuously, not just at audit time.</w:t>
      </w:r>
    </w:p>
    <w:p>
      <w:r>
        <w:rPr>
          <w:b w:val="0"/>
          <w:i w:val="0"/>
          <w:strike w:val="0"/>
        </w:rPr>
        <w:t>The platform is built around two major EU regulations:</w:t>
      </w:r>
    </w:p>
    <w:p>
      <w:pPr>
        <w:pStyle w:val="ListBullet"/>
      </w:pPr>
      <w:r>
        <w:rPr>
          <w:b w:val="0"/>
          <w:i w:val="0"/>
          <w:strike w:val="0"/>
        </w:rPr>
        <w:t>MiCA (Markets in Crypto-Assets Regulation, EU 2023/1114) — the main licensing and conduct regulation for crypto companies operating in Europe.</w:t>
      </w:r>
    </w:p>
    <w:p>
      <w:pPr>
        <w:pStyle w:val="ListBullet"/>
      </w:pPr>
      <w:r>
        <w:rPr>
          <w:b w:val="0"/>
          <w:i w:val="0"/>
          <w:strike w:val="0"/>
        </w:rPr>
        <w:t>DORA (Digital Operational Resilience Act, EU 2022/2554) — the regulation that governs how financial firms manage their IT systems, deal with IT incidents, and oversee third-party technology providers.</w:t>
      </w:r>
    </w:p>
    <w:p>
      <w:r>
        <w:rPr>
          <w:b w:val="0"/>
          <w:i w:val="0"/>
          <w:strike w:val="0"/>
        </w:rPr>
        <w:t>ControlIQ is a B2B SaaS product. 'B2B' means it sells to businesses, not individuals. 'SaaS' (Software as a Service) means it runs in the cloud and is accessed through a web browser — there is nothing to install. Each client company pays a subscription fee to use it.</w:t>
      </w:r>
    </w:p>
    <w:p>
      <w:pPr>
        <w:pStyle w:val="Heading2"/>
      </w:pPr>
      <w:r>
        <w:t>1.1 The Two Parts of the Platform</w:t>
      </w:r>
    </w:p>
    <w:p>
      <w:r>
        <w:rPr>
          <w:b w:val="0"/>
          <w:i w:val="0"/>
          <w:strike w:val="0"/>
        </w:rPr>
        <w:t>ControlIQ is made up of two separate but connected applications: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Application</w:t>
            </w:r>
          </w:p>
        </w:tc>
        <w:tc>
          <w:tcPr>
            <w:tcW w:type="dxa" w:w="2880"/>
            <w:shd w:val="clear" w:fill="1F4E79"/>
          </w:tcPr>
          <w:p>
            <w:r>
              <w:rPr>
                <w:b/>
                <w:color w:val="FFFFFF"/>
              </w:rPr>
            </w:r>
            <w:r>
              <w:rPr>
                <w:b/>
                <w:i w:val="0"/>
                <w:strike w:val="0"/>
                <w:color w:val="FFFFFF"/>
              </w:rPr>
              <w:t>Who uses it</w:t>
            </w:r>
          </w:p>
        </w:tc>
        <w:tc>
          <w:tcPr>
            <w:tcW w:type="dxa" w:w="2880"/>
            <w:shd w:val="clear" w:fill="1F4E79"/>
          </w:tcPr>
          <w:p>
            <w:r>
              <w:rPr>
                <w:b/>
                <w:color w:val="FFFFFF"/>
              </w:rPr>
            </w:r>
            <w:r>
              <w:rPr>
                <w:b/>
                <w:i w:val="0"/>
                <w:strike w:val="0"/>
                <w:color w:val="FFFFFF"/>
              </w:rPr>
              <w:t>What it is for</w:t>
            </w:r>
          </w:p>
        </w:tc>
      </w:tr>
      <w:tr>
        <w:tc>
          <w:tcPr>
            <w:tcW w:type="dxa" w:w="2880"/>
          </w:tcPr>
          <w:p>
            <w:r/>
            <w:r>
              <w:rPr>
                <w:b w:val="0"/>
                <w:i w:val="0"/>
                <w:strike w:val="0"/>
              </w:rPr>
              <w:t>The Firm Application</w:t>
            </w:r>
          </w:p>
        </w:tc>
        <w:tc>
          <w:tcPr>
            <w:tcW w:type="dxa" w:w="2880"/>
          </w:tcPr>
          <w:p>
            <w:r/>
            <w:r>
              <w:rPr>
                <w:b w:val="0"/>
                <w:i w:val="0"/>
                <w:strike w:val="0"/>
              </w:rPr>
              <w:t xml:space="preserve">The compliance team at each crypto company (CCO, compliance officers, senior management) </w:t>
            </w:r>
            <w:r>
              <w:rPr>
                <w:b/>
                <w:i/>
                <w:strike w:val="0"/>
                <w:color w:val="C00000"/>
              </w:rPr>
              <w:t>— v9.0: IT staff removed from this list with Section 11</w:t>
            </w:r>
            <w:r>
              <w:rPr>
                <w:b w:val="0"/>
                <w:i w:val="0"/>
                <w:strike w:val="0"/>
              </w:rPr>
              <w:t xml:space="preserve"> </w:t>
            </w:r>
            <w:r>
              <w:rPr>
                <w:b w:val="0"/>
                <w:i/>
                <w:strike w:val="0"/>
                <w:color w:val="C00000"/>
                <w:sz w:val="16"/>
              </w:rPr>
              <w:t xml:space="preserve"> [Sep 2026 scope decision]</w:t>
            </w:r>
          </w:p>
        </w:tc>
        <w:tc>
          <w:tcPr>
            <w:tcW w:type="dxa" w:w="2880"/>
          </w:tcPr>
          <w:p>
            <w:r/>
            <w:r>
              <w:rPr>
                <w:b w:val="0"/>
                <w:i w:val="0"/>
                <w:strike w:val="0"/>
              </w:rPr>
              <w:t>The day-to-day compliance platform. Running tests, managing findings, tracking remediation, generating reports.</w:t>
            </w:r>
          </w:p>
        </w:tc>
      </w:tr>
      <w:tr>
        <w:tc>
          <w:tcPr>
            <w:tcW w:type="dxa" w:w="2880"/>
          </w:tcPr>
          <w:p>
            <w:r/>
            <w:r>
              <w:rPr>
                <w:b w:val="0"/>
                <w:i w:val="0"/>
                <w:strike w:val="0"/>
              </w:rPr>
              <w:t>The Platform Admin Portal</w:t>
            </w:r>
          </w:p>
        </w:tc>
        <w:tc>
          <w:tcPr>
            <w:tcW w:type="dxa" w:w="2880"/>
          </w:tcPr>
          <w:p>
            <w:r/>
            <w:r>
              <w:rPr>
                <w:b w:val="0"/>
                <w:i w:val="0"/>
                <w:strike w:val="0"/>
              </w:rPr>
              <w:t>Sosinna's team at Synergy Consulting Group</w:t>
            </w:r>
          </w:p>
        </w:tc>
        <w:tc>
          <w:tcPr>
            <w:tcW w:type="dxa" w:w="2880"/>
          </w:tcPr>
          <w:p>
            <w:r/>
            <w:r>
              <w:rPr>
                <w:b w:val="0"/>
                <w:i w:val="0"/>
                <w:strike w:val="0"/>
              </w:rPr>
              <w:t>The back-office tool where the compliance testing library is built and maintained. This is where test procedures are written, regulation changes are tracked, and client firms are managed.</w:t>
            </w:r>
          </w:p>
        </w:tc>
      </w:tr>
    </w:tbl>
    <w:tbl>
      <w:tblPr>
        <w:tblStyle w:val="TableGrid"/>
        <w:tblW w:type="auto" w:w="0"/>
        <w:tblLook w:firstColumn="1" w:firstRow="1" w:lastColumn="0" w:lastRow="0" w:noHBand="0" w:noVBand="1" w:val="04A0"/>
      </w:tblPr>
      <w:tblGrid>
        <w:gridCol w:w="8640"/>
      </w:tblGrid>
      <w:tr>
        <w:tc>
          <w:tcPr>
            <w:tcW w:type="dxa" w:w="8640"/>
            <w:shd w:val="clear" w:fill="DDEBF7"/>
          </w:tcPr>
          <w:p>
            <w:r>
              <w:rPr>
                <w:b/>
                <w:i w:val="0"/>
                <w:strike w:val="0"/>
              </w:rPr>
              <w:t>📌 Note</w:t>
            </w:r>
          </w:p>
          <w:p>
            <w:pPr>
              <w:pStyle w:val="ListBullet"/>
            </w:pPr>
            <w:r>
              <w:rPr>
                <w:b w:val="0"/>
                <w:i w:val="0"/>
                <w:strike w:val="0"/>
              </w:rPr>
              <w:t>The Platform Admin Portal is in scope for the initial build. Without it, there are no tests for firms to run.</w:t>
            </w:r>
          </w:p>
          <w:p>
            <w:pPr>
              <w:pStyle w:val="ListBullet"/>
            </w:pPr>
            <w:r>
              <w:rPr>
                <w:b w:val="0"/>
                <w:i w:val="0"/>
                <w:strike w:val="0"/>
              </w:rPr>
              <w:t>The Portal is not visible to any firm's users. It is a separate login, separate interface, used only by Sosinna's team.</w:t>
            </w:r>
          </w:p>
          <w:p>
            <w:pPr>
              <w:pStyle w:val="ListBullet"/>
            </w:pPr>
            <w:r>
              <w:rPr>
                <w:b w:val="0"/>
                <w:i w:val="0"/>
                <w:strike w:val="0"/>
              </w:rPr>
              <w:t>The compliance testing content in the Portal — the test procedures, the requirement IDs, the evidence checklists — is the core intellectual property of ControlIQ.</w:t>
            </w:r>
          </w:p>
          <w:p>
            <w:pPr>
              <w:pStyle w:val="ListBullet"/>
            </w:pPr>
            <w:r>
              <w:rPr>
                <w:b/>
                <w:i/>
                <w:strike w:val="0"/>
                <w:color w:val="C55A11"/>
              </w:rPr>
              <w:t>See Section 14, CC-03 for the full, now-confirmed IP ownership terms — the scope is broader than just this content.</w:t>
            </w:r>
            <w:r>
              <w:rPr>
                <w:b w:val="0"/>
                <w:i w:val="0"/>
                <w:strike w:val="0"/>
              </w:rPr>
              <w:t xml:space="preserve"> </w:t>
            </w:r>
            <w:r>
              <w:rPr>
                <w:b w:val="0"/>
                <w:i/>
                <w:strike w:val="0"/>
                <w:color w:val="C55A11"/>
                <w:sz w:val="16"/>
              </w:rPr>
              <w:t xml:space="preserve"> [Sosinna's Drive comment]</w:t>
            </w:r>
          </w:p>
        </w:tc>
      </w:tr>
    </w:tbl>
    <w:p>
      <w:pPr>
        <w:pStyle w:val="Heading2"/>
      </w:pPr>
      <w:r>
        <w:t>1.3 Marketing Website &amp; Subscription Entry Point</w:t>
      </w:r>
    </w:p>
    <w:p>
      <w:r>
        <w:rPr>
          <w:b/>
          <w:i/>
          <w:strike w:val="0"/>
          <w:color w:val="1155CC"/>
        </w:rPr>
        <w:t>NEW — added following the 25 Jun FRD Review call, approved for scope by Jomin (3 Jul 2026)</w:t>
      </w:r>
      <w:r>
        <w:rPr>
          <w:b w:val="0"/>
          <w:i w:val="0"/>
          <w:strike w:val="0"/>
        </w:rPr>
        <w:t xml:space="preserve"> </w:t>
      </w:r>
      <w:r>
        <w:rPr>
          <w:b w:val="0"/>
          <w:i/>
          <w:strike w:val="0"/>
          <w:color w:val="1155CC"/>
          <w:sz w:val="16"/>
        </w:rPr>
        <w:t xml:space="preserve"> [25 Jun FRD call]</w:t>
      </w:r>
    </w:p>
    <w:p>
      <w:r>
        <w:rPr>
          <w:b w:val="0"/>
          <w:i w:val="0"/>
          <w:strike w:val="0"/>
        </w:rPr>
        <w:t>This was not part of earlier versions of this document. It surfaced as a gap during the FRD Review call: the platform needs a public-facing marketing website that introduces ControlIQ before a firm ever reaches the onboarding wizard in Section 5.</w:t>
      </w:r>
    </w:p>
    <w:p>
      <w:r>
        <w:rPr>
          <w:b/>
          <w:i w:val="0"/>
          <w:strike w:val="0"/>
          <w:color w:val="1155CC"/>
        </w:rPr>
        <w:t>[MKT-01]</w:t>
      </w:r>
      <w:r>
        <w:rPr>
          <w:b w:val="0"/>
          <w:i w:val="0"/>
          <w:strike w:val="0"/>
        </w:rPr>
        <w:t xml:space="preserve"> A public marketing website introduces ControlIQ, explains the two-application structure at a high level, and describes the two indicative plan types (Enterprise vs. seat-based) without publishing fixed prices.</w:t>
      </w:r>
    </w:p>
    <w:p>
      <w:r>
        <w:rPr>
          <w:b/>
          <w:i w:val="0"/>
          <w:strike w:val="0"/>
          <w:color w:val="1155CC"/>
        </w:rPr>
        <w:t>[MKT-02]</w:t>
      </w:r>
      <w:r>
        <w:rPr>
          <w:b w:val="0"/>
          <w:i w:val="0"/>
          <w:strike w:val="0"/>
        </w:rPr>
        <w:t xml:space="preserve"> The marketing site does not process payment or plan selection directly. There is no self-serve checkout. </w:t>
      </w:r>
      <w:r>
        <w:rPr>
          <w:b/>
          <w:i w:val="0"/>
          <w:strike w:val="0"/>
        </w:rPr>
        <w:t>📞 From the 25 Jun FRD Review call:</w:t>
      </w:r>
      <w:r>
        <w:rPr>
          <w:b w:val="0"/>
          <w:i w:val="0"/>
          <w:strike w:val="0"/>
        </w:rPr>
        <w:t xml:space="preserve"> </w:t>
      </w:r>
      <w:r>
        <w:rPr>
          <w:b w:val="0"/>
          <w:i/>
          <w:strike w:val="0"/>
          <w:color w:val="1155CC"/>
        </w:rPr>
        <w:t>Confirmed on the call — pricing is sales-assisted, not self-serve. Every prospective firm goes through a demo and scoping conversation with Sosinna's team before an account is created (see Section 14, CC-01). The site's job is lead capture — a 'request a demo' flow — not a shopping cart.</w:t>
      </w:r>
      <w:r>
        <w:rPr>
          <w:b w:val="0"/>
          <w:i w:val="0"/>
          <w:strike w:val="0"/>
        </w:rPr>
        <w:t xml:space="preserve"> </w:t>
      </w:r>
      <w:r>
        <w:rPr>
          <w:b w:val="0"/>
          <w:i/>
          <w:strike w:val="0"/>
          <w:color w:val="1155CC"/>
          <w:sz w:val="16"/>
        </w:rPr>
        <w:t xml:space="preserve"> [25 Jun FRD call]</w:t>
      </w:r>
    </w:p>
    <w:p>
      <w:r>
        <w:rPr>
          <w:b/>
          <w:i w:val="0"/>
          <w:strike w:val="0"/>
          <w:color w:val="1155CC"/>
        </w:rPr>
        <w:t>[MKT-03]</w:t>
      </w:r>
      <w:r>
        <w:rPr>
          <w:b w:val="0"/>
          <w:i w:val="0"/>
          <w:strike w:val="0"/>
        </w:rPr>
        <w:t xml:space="preserve"> Once a firm is qualified and a plan is agreed off-platform, Sosinna's team (or Jomin's team during onboarding support) creates the account and the firm proceeds through the Section 5 setup wizard. </w:t>
      </w:r>
      <w:r>
        <w:rPr>
          <w:b/>
          <w:i/>
          <w:strike w:val="0"/>
          <w:color w:val="843C0C"/>
        </w:rPr>
        <w:t>REVISED in v7.0: Sosinna's team no longer creates the account. They record that the offline agreement is complete (SA-19) and generate an onboarding link, which is emailed to the firm; the firm then creates its own first administrator account from that link (FR-117). The sales-assisted principle is unchanged — a firm still cannot get in without Sosinna's team acting — but the mechanism is an invitation, not an admin-provisioned login.</w:t>
      </w:r>
      <w:r>
        <w:rPr>
          <w:b w:val="0"/>
          <w:i w:val="0"/>
          <w:strike w:val="0"/>
        </w:rPr>
        <w:t xml:space="preserve"> </w:t>
      </w:r>
      <w:r>
        <w:rPr>
          <w:b w:val="0"/>
          <w:i/>
          <w:strike w:val="0"/>
          <w:color w:val="843C0C"/>
          <w:sz w:val="16"/>
        </w:rPr>
        <w:t xml:space="preserve"> [Aug 2026 onboarding flow]</w:t>
      </w:r>
    </w:p>
    <w:tbl>
      <w:tblPr>
        <w:tblStyle w:val="TableGrid"/>
        <w:tblW w:type="auto" w:w="0"/>
        <w:tblLook w:firstColumn="1" w:firstRow="1" w:lastColumn="0" w:lastRow="0" w:noHBand="0" w:noVBand="1" w:val="04A0"/>
      </w:tblPr>
      <w:tblGrid>
        <w:gridCol w:w="8640"/>
      </w:tblGrid>
      <w:tr>
        <w:tc>
          <w:tcPr>
            <w:tcW w:type="dxa" w:w="8640"/>
            <w:shd w:val="clear" w:fill="F5E6D9"/>
          </w:tcPr>
          <w:p>
            <w:r>
              <w:rPr>
                <w:b/>
                <w:i w:val="0"/>
                <w:strike w:val="0"/>
              </w:rPr>
              <w:t>NOTE</w:t>
            </w:r>
            <w:r>
              <w:rPr>
                <w:b w:val="0"/>
                <w:i w:val="0"/>
                <w:strike w:val="0"/>
              </w:rPr>
              <w:t xml:space="preserve"> </w:t>
            </w:r>
            <w:r>
              <w:rPr>
                <w:b w:val="0"/>
                <w:i/>
                <w:strike w:val="0"/>
              </w:rPr>
              <w:t>(brown — new in v7.0)</w:t>
            </w:r>
          </w:p>
          <w:p>
            <w:r>
              <w:rPr>
                <w:b/>
                <w:i/>
                <w:strike w:val="0"/>
                <w:color w:val="843C0C"/>
              </w:rPr>
              <w:t xml:space="preserve">⚠ MKT-02 needs restating. It says the marketing site does not process payment and there is no self-serve checkout. That remains true of the </w:t>
            </w:r>
            <w:r>
              <w:rPr>
                <w:b/>
                <w:i/>
                <w:strike w:val="0"/>
                <w:color w:val="843C0C"/>
              </w:rPr>
              <w:t>marketing site</w:t>
            </w:r>
            <w:r>
              <w:rPr>
                <w:b/>
                <w:i/>
                <w:strike w:val="0"/>
                <w:color w:val="843C0C"/>
              </w:rPr>
              <w:t xml:space="preserve"> — enquiries there are still lead capture only, and the demo-and-scoping conversation still happens before anything else. What changed is that payment now happens </w:t>
            </w:r>
            <w:r>
              <w:rPr>
                <w:b/>
                <w:i/>
                <w:strike w:val="0"/>
                <w:color w:val="843C0C"/>
              </w:rPr>
              <w:t>inside the platform</w:t>
            </w:r>
            <w:r>
              <w:rPr>
                <w:b/>
                <w:i/>
                <w:strike w:val="0"/>
                <w:color w:val="843C0C"/>
              </w:rPr>
              <w:t>, at the end of onboarding (FR-123), against a price agreed offline rather than chosen from a public tier. Whether that counts as the "self-serve checkout" MKT-02 rules out is a commercial judgement, not a technical one — logged as GAP-18.</w:t>
            </w:r>
            <w:r>
              <w:rPr>
                <w:b w:val="0"/>
                <w:i w:val="0"/>
                <w:strike w:val="0"/>
              </w:rPr>
              <w:t xml:space="preserve"> </w:t>
            </w:r>
            <w:r>
              <w:rPr>
                <w:b w:val="0"/>
                <w:i/>
                <w:strike w:val="0"/>
                <w:color w:val="843C0C"/>
                <w:sz w:val="16"/>
              </w:rPr>
              <w:t xml:space="preserve"> [Aug 2026 onboarding flow]</w:t>
            </w:r>
          </w:p>
          <w:p>
            <w:r>
              <w:rPr>
                <w:b/>
                <w:i/>
                <w:strike w:val="0"/>
                <w:color w:val="843C0C"/>
              </w:rPr>
              <w:t>The enquiry submitted on this site is now received by the platform under SA-16, which makes MKT-04 (static site vs. CMS) more consequential than it was: the site needs a route to post enquiries into ControlIQ, or Sosinna's team re-keys them by hand. See ON-07.</w:t>
            </w:r>
            <w:r>
              <w:rPr>
                <w:b w:val="0"/>
                <w:i w:val="0"/>
                <w:strike w:val="0"/>
              </w:rPr>
              <w:t xml:space="preserve"> </w:t>
            </w:r>
            <w:r>
              <w:rPr>
                <w:b w:val="0"/>
                <w:i/>
                <w:strike w:val="0"/>
                <w:color w:val="843C0C"/>
                <w:sz w:val="16"/>
              </w:rPr>
              <w:t xml:space="preserve"> [Aug 2026 onboarding flow]</w:t>
            </w:r>
          </w:p>
        </w:tc>
      </w:tr>
    </w:tbl>
    <w:tbl>
      <w:tblPr>
        <w:tblStyle w:val="TableGrid"/>
        <w:tblW w:type="auto" w:w="0"/>
        <w:tblLook w:firstColumn="1" w:firstRow="1" w:lastColumn="0" w:lastRow="0" w:noHBand="0" w:noVBand="1" w:val="04A0"/>
      </w:tblPr>
      <w:tblGrid>
        <w:gridCol w:w="8640"/>
      </w:tblGrid>
      <w:tr>
        <w:tc>
          <w:tcPr>
            <w:tcW w:type="dxa" w:w="8640"/>
            <w:shd w:val="clear" w:fill="FFF2CC"/>
          </w:tcPr>
          <w:p>
            <w:r>
              <w:rPr>
                <w:b/>
                <w:i w:val="0"/>
                <w:strike w:val="0"/>
              </w:rPr>
              <w:t>OPEN QUESTION</w:t>
            </w:r>
            <w:r>
              <w:rPr>
                <w:b w:val="0"/>
                <w:i w:val="0"/>
                <w:strike w:val="0"/>
              </w:rPr>
              <w:t xml:space="preserve"> </w:t>
            </w:r>
            <w:r>
              <w:rPr>
                <w:b w:val="0"/>
                <w:i/>
                <w:strike w:val="0"/>
              </w:rPr>
              <w:t>(amber — unresolved)</w:t>
            </w:r>
          </w:p>
          <w:p>
            <w:r>
              <w:rPr>
                <w:b/>
                <w:i w:val="0"/>
                <w:strike w:val="0"/>
              </w:rPr>
              <w:t>💬 Questions still to confirm</w:t>
            </w:r>
          </w:p>
          <w:p>
            <w:pPr>
              <w:pStyle w:val="ListBullet"/>
            </w:pPr>
            <w:r>
              <w:rPr>
                <w:b w:val="0"/>
                <w:i w:val="0"/>
                <w:strike w:val="0"/>
              </w:rPr>
              <w:t>Hosting / CMS (MKT-04): should this be a simple static site, or does it need a CMS Sosinna's team can edit without a developer?</w:t>
            </w:r>
          </w:p>
          <w:p>
            <w:pPr>
              <w:pStyle w:val="ListBullet"/>
            </w:pPr>
            <w:r>
              <w:rPr>
                <w:b w:val="0"/>
                <w:i w:val="0"/>
                <w:strike w:val="0"/>
              </w:rPr>
              <w:t>Domain (MKT-05): does this live on a SayOne-managed domain, a Synergy-owned domain, or the eventual ControlIQ product domain? Ties into the CC-02 branding question below.</w:t>
            </w:r>
          </w:p>
        </w:tc>
      </w:tr>
    </w:tbl>
    <w:p>
      <w:pPr>
        <w:pStyle w:val="Heading1"/>
      </w:pPr>
      <w:r>
        <w:t>2. The Data ControlIQ Stores</w:t>
      </w:r>
    </w:p>
    <w:p>
      <w:r>
        <w:rPr>
          <w:b w:val="0"/>
          <w:i w:val="0"/>
          <w:strike w:val="0"/>
        </w:rPr>
        <w:t>ControlIQ is the permanent record of a firm's compliance activity. This is important: regulators can ask a firm to produce evidence of their compliance programme going back years. Everything the platform stores must be kept securely, and most of it cannot be deleted.</w:t>
      </w:r>
    </w:p>
    <w:p>
      <w:r>
        <w:rPr>
          <w:b w:val="0"/>
          <w:i w:val="0"/>
          <w:strike w:val="0"/>
        </w:rPr>
        <w:t>Here is what the platform stores, and for how long: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What we store</w:t>
            </w:r>
          </w:p>
        </w:tc>
        <w:tc>
          <w:tcPr>
            <w:tcW w:type="dxa" w:w="2880"/>
            <w:shd w:val="clear" w:fill="1F4E79"/>
          </w:tcPr>
          <w:p>
            <w:r>
              <w:rPr>
                <w:b/>
                <w:color w:val="FFFFFF"/>
              </w:rPr>
            </w:r>
            <w:r>
              <w:rPr>
                <w:b/>
                <w:i w:val="0"/>
                <w:strike w:val="0"/>
                <w:color w:val="FFFFFF"/>
              </w:rPr>
              <w:t>Why</w:t>
            </w:r>
          </w:p>
        </w:tc>
        <w:tc>
          <w:tcPr>
            <w:tcW w:type="dxa" w:w="2880"/>
            <w:shd w:val="clear" w:fill="1F4E79"/>
          </w:tcPr>
          <w:p>
            <w:r>
              <w:rPr>
                <w:b/>
                <w:color w:val="FFFFFF"/>
              </w:rPr>
            </w:r>
            <w:r>
              <w:rPr>
                <w:b/>
                <w:i w:val="0"/>
                <w:strike w:val="0"/>
                <w:color w:val="FFFFFF"/>
              </w:rPr>
              <w:t>How long</w:t>
            </w:r>
          </w:p>
        </w:tc>
      </w:tr>
      <w:tr>
        <w:tc>
          <w:tcPr>
            <w:tcW w:type="dxa" w:w="2880"/>
          </w:tcPr>
          <w:p>
            <w:r/>
            <w:r>
              <w:rPr>
                <w:b w:val="0"/>
                <w:i w:val="0"/>
                <w:strike w:val="0"/>
              </w:rPr>
              <w:t>Firm profile</w:t>
            </w:r>
          </w:p>
        </w:tc>
        <w:tc>
          <w:tcPr>
            <w:tcW w:type="dxa" w:w="2880"/>
          </w:tcPr>
          <w:p>
            <w:r/>
            <w:r>
              <w:rPr>
                <w:b w:val="0"/>
                <w:i w:val="0"/>
                <w:strike w:val="0"/>
              </w:rPr>
              <w:t>Jurisdiction, licence number, services offered, client base. This drives which tests the firm needs to run.</w:t>
            </w:r>
          </w:p>
        </w:tc>
        <w:tc>
          <w:tcPr>
            <w:tcW w:type="dxa" w:w="2880"/>
          </w:tcPr>
          <w:p>
            <w:r/>
            <w:r>
              <w:rPr>
                <w:b w:val="0"/>
                <w:i w:val="0"/>
                <w:strike w:val="0"/>
              </w:rPr>
              <w:t>Kept for as long as the firm is a client</w:t>
            </w:r>
          </w:p>
        </w:tc>
      </w:tr>
      <w:tr>
        <w:tc>
          <w:tcPr>
            <w:tcW w:type="dxa" w:w="2880"/>
          </w:tcPr>
          <w:p>
            <w:r/>
            <w:r>
              <w:rPr>
                <w:b w:val="0"/>
                <w:i w:val="0"/>
                <w:strike w:val="0"/>
              </w:rPr>
              <w:t>Regulatory requirement IDs and test procedures</w:t>
            </w:r>
          </w:p>
        </w:tc>
        <w:tc>
          <w:tcPr>
            <w:tcW w:type="dxa" w:w="2880"/>
          </w:tcPr>
          <w:p>
            <w:r/>
            <w:r>
              <w:rPr>
                <w:b w:val="0"/>
                <w:i w:val="0"/>
                <w:strike w:val="0"/>
              </w:rPr>
              <w:t>The library of tests the firm runs — built and maintained by Sosinna's team. Not fixed: these are updated as regulations change.</w:t>
            </w:r>
          </w:p>
        </w:tc>
        <w:tc>
          <w:tcPr>
            <w:tcW w:type="dxa" w:w="2880"/>
          </w:tcPr>
          <w:p>
            <w:r/>
            <w:r>
              <w:rPr>
                <w:b w:val="0"/>
                <w:i w:val="0"/>
                <w:strike w:val="0"/>
              </w:rPr>
              <w:t>Full history of every version kept forever</w:t>
            </w:r>
          </w:p>
        </w:tc>
      </w:tr>
      <w:tr>
        <w:tc>
          <w:tcPr>
            <w:tcW w:type="dxa" w:w="2880"/>
          </w:tcPr>
          <w:p>
            <w:r/>
            <w:r>
              <w:rPr>
                <w:b w:val="0"/>
                <w:i w:val="0"/>
                <w:strike w:val="0"/>
              </w:rPr>
              <w:t>Test executions</w:t>
            </w:r>
          </w:p>
        </w:tc>
        <w:tc>
          <w:tcPr>
            <w:tcW w:type="dxa" w:w="2880"/>
          </w:tcPr>
          <w:p>
            <w:r/>
            <w:r>
              <w:rPr>
                <w:b w:val="0"/>
                <w:i w:val="0"/>
                <w:strike w:val="0"/>
              </w:rPr>
              <w:t>A record of every test the firm has run: who ran it, when, what steps they completed, what they found.</w:t>
            </w:r>
          </w:p>
        </w:tc>
        <w:tc>
          <w:tcPr>
            <w:tcW w:type="dxa" w:w="2880"/>
          </w:tcPr>
          <w:p>
            <w:r/>
            <w:r>
              <w:rPr>
                <w:b w:val="0"/>
                <w:i w:val="0"/>
                <w:strike w:val="0"/>
              </w:rPr>
              <w:t>Minimum 6 years</w:t>
            </w:r>
          </w:p>
        </w:tc>
      </w:tr>
      <w:tr>
        <w:tc>
          <w:tcPr>
            <w:tcW w:type="dxa" w:w="2880"/>
          </w:tcPr>
          <w:p>
            <w:r/>
            <w:r>
              <w:rPr>
                <w:b w:val="0"/>
                <w:i w:val="0"/>
                <w:strike w:val="0"/>
              </w:rPr>
              <w:t>Test results</w:t>
            </w:r>
          </w:p>
        </w:tc>
        <w:tc>
          <w:tcPr>
            <w:tcW w:type="dxa" w:w="2880"/>
          </w:tcPr>
          <w:p>
            <w:r/>
            <w:r>
              <w:rPr>
                <w:b w:val="0"/>
                <w:i w:val="0"/>
                <w:strike w:val="0"/>
              </w:rPr>
              <w:t>The formal outcome of each test — Pass, Fail, or Observation — with supporting rationale.</w:t>
            </w:r>
          </w:p>
        </w:tc>
        <w:tc>
          <w:tcPr>
            <w:tcW w:type="dxa" w:w="2880"/>
          </w:tcPr>
          <w:p>
            <w:r/>
            <w:r>
              <w:rPr>
                <w:b w:val="0"/>
                <w:i w:val="0"/>
                <w:strike w:val="0"/>
              </w:rPr>
              <w:t>Minimum 6 years, and cannot be changed once signed off (only an amendment can be added on top)</w:t>
            </w:r>
          </w:p>
        </w:tc>
      </w:tr>
      <w:tr>
        <w:tc>
          <w:tcPr>
            <w:tcW w:type="dxa" w:w="2880"/>
          </w:tcPr>
          <w:p>
            <w:r/>
            <w:r>
              <w:rPr>
                <w:b w:val="0"/>
                <w:i w:val="0"/>
                <w:strike w:val="0"/>
              </w:rPr>
              <w:t>Evidence files</w:t>
            </w:r>
          </w:p>
        </w:tc>
        <w:tc>
          <w:tcPr>
            <w:tcW w:type="dxa" w:w="2880"/>
          </w:tcPr>
          <w:p>
            <w:r/>
            <w:r>
              <w:rPr>
                <w:b w:val="0"/>
                <w:i w:val="0"/>
                <w:strike w:val="0"/>
              </w:rPr>
              <w:t>Every document, screenshot, audio recording, video, spreadsheet, or other file uploaded as proof during a test.</w:t>
            </w:r>
          </w:p>
        </w:tc>
        <w:tc>
          <w:tcPr>
            <w:tcW w:type="dxa" w:w="2880"/>
          </w:tcPr>
          <w:p>
            <w:r/>
            <w:r>
              <w:rPr>
                <w:b w:val="0"/>
                <w:i w:val="0"/>
                <w:strike w:val="0"/>
              </w:rPr>
              <w:t>Minimum 6 years, cannot be deleted by anyone</w:t>
            </w:r>
          </w:p>
        </w:tc>
      </w:tr>
      <w:tr>
        <w:tc>
          <w:tcPr>
            <w:tcW w:type="dxa" w:w="2880"/>
          </w:tcPr>
          <w:p>
            <w:r/>
            <w:r>
              <w:rPr>
                <w:b w:val="0"/>
                <w:i w:val="0"/>
                <w:strike w:val="0"/>
              </w:rPr>
              <w:t>Sampling records</w:t>
            </w:r>
          </w:p>
        </w:tc>
        <w:tc>
          <w:tcPr>
            <w:tcW w:type="dxa" w:w="2880"/>
          </w:tcPr>
          <w:p>
            <w:r/>
            <w:r>
              <w:rPr>
                <w:b/>
                <w:i/>
                <w:strike w:val="0"/>
                <w:color w:val="2E7D32"/>
              </w:rPr>
              <w:t>For steps flagged as requiring sampling (SA-27): how big the full set was, how many were checked, and why those specific ones were chosen. A step flagged as requiring no sampling produces no sampling record — see FR-142. Superseded wording, kept for context: "For tests that check a sample of transactions or records", which held sampling at test level.</w:t>
            </w:r>
            <w:r>
              <w:rPr>
                <w:b w:val="0"/>
                <w:i w:val="0"/>
                <w:strike w:val="0"/>
              </w:rPr>
              <w:t xml:space="preserve"> </w:t>
            </w:r>
            <w:r>
              <w:rPr>
                <w:b w:val="0"/>
                <w:i/>
                <w:strike w:val="0"/>
                <w:color w:val="2E7D32"/>
                <w:sz w:val="16"/>
              </w:rPr>
              <w:t xml:space="preserve"> [Sep 2026 model revision]</w:t>
            </w:r>
          </w:p>
        </w:tc>
        <w:tc>
          <w:tcPr>
            <w:tcW w:type="dxa" w:w="2880"/>
          </w:tcPr>
          <w:p>
            <w:r/>
            <w:r>
              <w:rPr>
                <w:b w:val="0"/>
                <w:i w:val="0"/>
                <w:strike w:val="0"/>
              </w:rPr>
              <w:t>Minimum 6 years</w:t>
            </w:r>
          </w:p>
        </w:tc>
      </w:tr>
      <w:tr>
        <w:tc>
          <w:tcPr>
            <w:tcW w:type="dxa" w:w="2880"/>
          </w:tcPr>
          <w:p>
            <w:r/>
            <w:r>
              <w:rPr>
                <w:b w:val="0"/>
                <w:i w:val="0"/>
                <w:strike w:val="0"/>
              </w:rPr>
              <w:t>Findings</w:t>
            </w:r>
          </w:p>
        </w:tc>
        <w:tc>
          <w:tcPr>
            <w:tcW w:type="dxa" w:w="2880"/>
          </w:tcPr>
          <w:p>
            <w:r/>
            <w:r>
              <w:rPr>
                <w:b w:val="0"/>
                <w:i w:val="0"/>
                <w:strike w:val="0"/>
              </w:rPr>
              <w:t>Every compliance issue identified during testing: what the problem is, how serious it is, which regulation it relates to, and what the root cause was.</w:t>
            </w:r>
          </w:p>
        </w:tc>
        <w:tc>
          <w:tcPr>
            <w:tcW w:type="dxa" w:w="2880"/>
          </w:tcPr>
          <w:p>
            <w:r/>
            <w:r>
              <w:rPr>
                <w:b w:val="0"/>
                <w:i w:val="0"/>
                <w:strike w:val="0"/>
              </w:rPr>
              <w:t>Minimum 6 years</w:t>
            </w:r>
          </w:p>
        </w:tc>
      </w:tr>
      <w:tr>
        <w:tc>
          <w:tcPr>
            <w:tcW w:type="dxa" w:w="2880"/>
          </w:tcPr>
          <w:p>
            <w:r/>
            <w:r>
              <w:rPr>
                <w:b w:val="0"/>
                <w:i w:val="0"/>
                <w:strike w:val="0"/>
              </w:rPr>
              <w:t>Remediation action items</w:t>
            </w:r>
          </w:p>
        </w:tc>
        <w:tc>
          <w:tcPr>
            <w:tcW w:type="dxa" w:w="2880"/>
          </w:tcPr>
          <w:p>
            <w:r/>
            <w:r>
              <w:rPr>
                <w:b w:val="0"/>
                <w:i w:val="0"/>
                <w:strike w:val="0"/>
              </w:rPr>
              <w:t>The specific tasks assigned to fix each finding: who is responsible, when it is due, and what was done.</w:t>
            </w:r>
          </w:p>
        </w:tc>
        <w:tc>
          <w:tcPr>
            <w:tcW w:type="dxa" w:w="2880"/>
          </w:tcPr>
          <w:p>
            <w:r/>
            <w:r>
              <w:rPr>
                <w:b w:val="0"/>
                <w:i w:val="0"/>
                <w:strike w:val="0"/>
              </w:rPr>
              <w:t>Minimum 6 years</w:t>
            </w:r>
          </w:p>
        </w:tc>
      </w:tr>
      <w:tr>
        <w:tc>
          <w:tcPr>
            <w:tcW w:type="dxa" w:w="2880"/>
          </w:tcPr>
          <w:p>
            <w:r/>
            <w:r>
              <w:rPr>
                <w:b w:val="0"/>
                <w:i w:val="0"/>
                <w:strike w:val="0"/>
              </w:rPr>
              <w:t>Remediation evidence</w:t>
            </w:r>
          </w:p>
        </w:tc>
        <w:tc>
          <w:tcPr>
            <w:tcW w:type="dxa" w:w="2880"/>
          </w:tcPr>
          <w:p>
            <w:r/>
            <w:r>
              <w:rPr>
                <w:b w:val="0"/>
                <w:i w:val="0"/>
                <w:strike w:val="0"/>
              </w:rPr>
              <w:t>The files uploaded to prove a fix has been implemented.</w:t>
            </w:r>
          </w:p>
        </w:tc>
        <w:tc>
          <w:tcPr>
            <w:tcW w:type="dxa" w:w="2880"/>
          </w:tcPr>
          <w:p>
            <w:r/>
            <w:r>
              <w:rPr>
                <w:b w:val="0"/>
                <w:i w:val="0"/>
                <w:strike w:val="0"/>
              </w:rPr>
              <w:t>Minimum 6 years, cannot be deleted</w:t>
            </w:r>
          </w:p>
        </w:tc>
      </w:tr>
      <w:tr>
        <w:tc>
          <w:tcPr>
            <w:tcW w:type="dxa" w:w="2880"/>
          </w:tcPr>
          <w:p>
            <w:r/>
            <w:r>
              <w:rPr>
                <w:b w:val="0"/>
                <w:i w:val="0"/>
                <w:strike w:val="0"/>
              </w:rPr>
              <w:t>Compliance reports</w:t>
            </w:r>
          </w:p>
        </w:tc>
        <w:tc>
          <w:tcPr>
            <w:tcW w:type="dxa" w:w="2880"/>
          </w:tcPr>
          <w:p>
            <w:r/>
            <w:r>
              <w:rPr>
                <w:b w:val="0"/>
                <w:i w:val="0"/>
                <w:strike w:val="0"/>
              </w:rPr>
              <w:t>The formal reports generated at the end of each testing cycle.</w:t>
            </w:r>
          </w:p>
        </w:tc>
        <w:tc>
          <w:tcPr>
            <w:tcW w:type="dxa" w:w="2880"/>
          </w:tcPr>
          <w:p>
            <w:r/>
            <w:r>
              <w:rPr>
                <w:b w:val="0"/>
                <w:i w:val="0"/>
                <w:strike w:val="0"/>
              </w:rPr>
              <w:t>Minimum 6 years, cannot be changed after they are issued</w:t>
            </w:r>
          </w:p>
        </w:tc>
      </w:tr>
      <w:tr>
        <w:tc>
          <w:tcPr>
            <w:tcW w:type="dxa" w:w="2880"/>
          </w:tcPr>
          <w:p>
            <w:r/>
            <w:r>
              <w:rPr>
                <w:b w:val="0"/>
                <w:i w:val="0"/>
                <w:strike w:val="0"/>
              </w:rPr>
              <w:t>Staff records</w:t>
            </w:r>
          </w:p>
        </w:tc>
        <w:tc>
          <w:tcPr>
            <w:tcW w:type="dxa" w:w="2880"/>
          </w:tcPr>
          <w:p>
            <w:r/>
            <w:r>
              <w:rPr>
                <w:b w:val="0"/>
                <w:i w:val="0"/>
                <w:strike w:val="0"/>
              </w:rPr>
              <w:t>The firm's employee list, their roles, their qualifications, their hardware, their place in the emergency contact chain.</w:t>
            </w:r>
          </w:p>
        </w:tc>
        <w:tc>
          <w:tcPr>
            <w:tcW w:type="dxa" w:w="2880"/>
          </w:tcPr>
          <w:p>
            <w:r/>
            <w:r>
              <w:rPr>
                <w:b w:val="0"/>
                <w:i w:val="0"/>
                <w:strike w:val="0"/>
              </w:rPr>
              <w:t>Kept for the duration of employment plus retention period</w:t>
            </w:r>
          </w:p>
        </w:tc>
      </w:tr>
      <w:tr>
        <w:tc>
          <w:tcPr>
            <w:tcW w:type="dxa" w:w="2880"/>
          </w:tcPr>
          <w:p>
            <w:r/>
            <w:r>
              <w:rPr>
                <w:b w:val="0"/>
                <w:i w:val="0"/>
                <w:strike w:val="0"/>
              </w:rPr>
              <w:t>Audit log</w:t>
            </w:r>
          </w:p>
        </w:tc>
        <w:tc>
          <w:tcPr>
            <w:tcW w:type="dxa" w:w="2880"/>
          </w:tcPr>
          <w:p>
            <w:r/>
            <w:r>
              <w:rPr>
                <w:b w:val="0"/>
                <w:i w:val="0"/>
                <w:strike w:val="0"/>
              </w:rPr>
              <w:t>A complete, tamper-proof record of every action any user takes in the platform: what they did, when, from which device.</w:t>
            </w:r>
          </w:p>
        </w:tc>
        <w:tc>
          <w:tcPr>
            <w:tcW w:type="dxa" w:w="2880"/>
          </w:tcPr>
          <w:p>
            <w:r/>
            <w:r>
              <w:rPr>
                <w:b w:val="0"/>
                <w:i w:val="0"/>
                <w:strike w:val="0"/>
              </w:rPr>
              <w:t>Minimum 6 years, cannot be modified by anyone</w:t>
            </w:r>
          </w:p>
        </w:tc>
      </w:tr>
      <w:tr>
        <w:tc>
          <w:tcPr>
            <w:tcW w:type="dxa" w:w="2880"/>
          </w:tcPr>
          <w:p>
            <w:r/>
            <w:r>
              <w:rPr>
                <w:b w:val="0"/>
                <w:i w:val="0"/>
                <w:strike w:val="0"/>
              </w:rPr>
              <w:t>Notification log</w:t>
            </w:r>
          </w:p>
        </w:tc>
        <w:tc>
          <w:tcPr>
            <w:tcW w:type="dxa" w:w="2880"/>
          </w:tcPr>
          <w:p>
            <w:r/>
            <w:r>
              <w:rPr>
                <w:b w:val="0"/>
                <w:i w:val="0"/>
                <w:strike w:val="0"/>
              </w:rPr>
              <w:t>A record of every alert the platform sent, to whom, and whether it was acknowledged.</w:t>
            </w:r>
          </w:p>
        </w:tc>
        <w:tc>
          <w:tcPr>
            <w:tcW w:type="dxa" w:w="2880"/>
          </w:tcPr>
          <w:p>
            <w:r/>
            <w:r>
              <w:rPr>
                <w:b w:val="0"/>
                <w:i w:val="0"/>
                <w:strike w:val="0"/>
              </w:rPr>
              <w:t>Minimum 6 years</w:t>
            </w:r>
          </w:p>
        </w:tc>
      </w:tr>
      <w:tr>
        <w:tc>
          <w:tcPr>
            <w:tcW w:type="dxa" w:w="2880"/>
          </w:tcPr>
          <w:p>
            <w:r/>
            <w:r>
              <w:rPr>
                <w:b/>
                <w:i/>
                <w:strike w:val="0"/>
                <w:color w:val="843C0C"/>
              </w:rPr>
              <w:t>Enquiries</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Firms that approached the business: contact details, status history, the record that the offline agreement was completed, and every onboarding link issued or revoked. This is the record of who approached the business and what happened.</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NEW in v7.0. Retention is deliberately NOT set here — see ON-08. This is prospect data, including data from firms that never became clients, and the six-year never-delete rule was written for the compliance records of paying clients. It needs its own rule, decided against GDPR data minimisation.</w:t>
            </w:r>
            <w:r>
              <w:rPr>
                <w:b w:val="0"/>
                <w:i w:val="0"/>
                <w:strike w:val="0"/>
              </w:rPr>
              <w:t xml:space="preserve"> </w:t>
            </w:r>
            <w:r>
              <w:rPr>
                <w:b w:val="0"/>
                <w:i/>
                <w:strike w:val="0"/>
                <w:color w:val="843C0C"/>
                <w:sz w:val="16"/>
              </w:rPr>
              <w:t xml:space="preserve"> [Aug 2026 onboarding flow]</w:t>
            </w:r>
          </w:p>
        </w:tc>
      </w:tr>
      <w:tr>
        <w:tc>
          <w:tcPr>
            <w:tcW w:type="dxa" w:w="2880"/>
          </w:tcPr>
          <w:p>
            <w:r/>
            <w:r>
              <w:rPr>
                <w:b/>
                <w:i/>
                <w:strike w:val="0"/>
                <w:color w:val="843C0C"/>
              </w:rPr>
              <w:t>Payment records</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Every payment attempt against a firm: date, amount, outcome, and the payment provider's transaction reference. This is what the tenant's active status is derived from.</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 xml:space="preserve">NEW in v7.0. Retention follows the applicable financial record-keeping period. </w:t>
            </w:r>
            <w:r>
              <w:rPr>
                <w:b/>
                <w:i/>
                <w:strike w:val="0"/>
                <w:color w:val="843C0C"/>
              </w:rPr>
              <w:t>No card details are stored</w:t>
            </w:r>
            <w:r>
              <w:rPr>
                <w:b/>
                <w:i/>
                <w:strike w:val="0"/>
                <w:color w:val="843C0C"/>
              </w:rPr>
              <w:t xml:space="preserve"> — see NFR-12. The platform holds provider tokens and references only.</w:t>
            </w:r>
            <w:r>
              <w:rPr>
                <w:b w:val="0"/>
                <w:i w:val="0"/>
                <w:strike w:val="0"/>
              </w:rPr>
              <w:t xml:space="preserve"> </w:t>
            </w:r>
            <w:r>
              <w:rPr>
                <w:b w:val="0"/>
                <w:i/>
                <w:strike w:val="0"/>
                <w:color w:val="843C0C"/>
                <w:sz w:val="16"/>
              </w:rPr>
              <w:t xml:space="preserve"> [Aug 2026 onboarding flow]</w:t>
            </w:r>
          </w:p>
        </w:tc>
      </w:tr>
    </w:tbl>
    <w:tbl>
      <w:tblPr>
        <w:tblStyle w:val="TableGrid"/>
        <w:tblW w:type="auto" w:w="0"/>
        <w:tblLook w:firstColumn="1" w:firstRow="1" w:lastColumn="0" w:lastRow="0" w:noHBand="0" w:noVBand="1" w:val="04A0"/>
      </w:tblPr>
      <w:tblGrid>
        <w:gridCol w:w="8640"/>
      </w:tblGrid>
      <w:tr>
        <w:tc>
          <w:tcPr>
            <w:tcW w:type="dxa" w:w="8640"/>
            <w:shd w:val="clear" w:fill="DDEBF7"/>
          </w:tcPr>
          <w:p>
            <w:r>
              <w:rPr>
                <w:b/>
                <w:i w:val="0"/>
                <w:strike w:val="0"/>
              </w:rPr>
              <w:t>🔧 For the development team</w:t>
            </w:r>
          </w:p>
          <w:p>
            <w:pPr>
              <w:pStyle w:val="ListBullet"/>
            </w:pPr>
            <w:r>
              <w:rPr>
                <w:b w:val="0"/>
                <w:i w:val="0"/>
                <w:strike w:val="0"/>
              </w:rPr>
              <w:t>All data encrypted at rest using AES-256 (a standard military-grade encryption method) and in transit using TLS 1.3. Evidence files stored in encrypted object storage with per-tenant encryption keys.</w:t>
            </w:r>
          </w:p>
          <w:p>
            <w:pPr>
              <w:pStyle w:val="ListBullet"/>
            </w:pPr>
            <w:r>
              <w:rPr>
                <w:b w:val="0"/>
                <w:i w:val="0"/>
                <w:strike w:val="0"/>
              </w:rPr>
              <w:t>EU data residency required for all client data — EU data centres only.</w:t>
            </w:r>
          </w:p>
          <w:p>
            <w:pPr>
              <w:pStyle w:val="ListBullet"/>
            </w:pPr>
            <w:r>
              <w:rPr>
                <w:b/>
                <w:i/>
                <w:strike w:val="0"/>
                <w:color w:val="C55A11"/>
              </w:rPr>
              <w:t>Cloud provider and account ownership now confirmed — see Section 13, TI-01: AWS, EU-resident data centre, on an account owned solely by the Client.</w:t>
            </w:r>
            <w:r>
              <w:rPr>
                <w:b w:val="0"/>
                <w:i w:val="0"/>
                <w:strike w:val="0"/>
              </w:rPr>
              <w:t xml:space="preserve"> </w:t>
            </w:r>
            <w:r>
              <w:rPr>
                <w:b w:val="0"/>
                <w:i/>
                <w:strike w:val="0"/>
                <w:color w:val="C55A11"/>
                <w:sz w:val="16"/>
              </w:rPr>
              <w:t xml:space="preserve"> [Sosinna's Drive comment]</w:t>
            </w:r>
          </w:p>
          <w:p>
            <w:pPr>
              <w:pStyle w:val="ListBullet"/>
            </w:pPr>
            <w:r>
              <w:rPr>
                <w:b w:val="0"/>
                <w:i w:val="0"/>
                <w:strike w:val="0"/>
              </w:rPr>
              <w:t>Multi-tenant architecture (each firm's data lives in a completely separate data partition — no firm can ever see another firm's data) from day one.</w:t>
            </w:r>
          </w:p>
          <w:p>
            <w:pPr>
              <w:pStyle w:val="ListBullet"/>
            </w:pPr>
            <w:r>
              <w:rPr>
                <w:b w:val="0"/>
                <w:i w:val="0"/>
                <w:strike w:val="0"/>
              </w:rPr>
              <w:t>Audit log is immutable — append-only. No admin-level delete or modify capability.</w:t>
            </w:r>
          </w:p>
        </w:tc>
      </w:tr>
    </w:tbl>
    <w:p>
      <w:pPr>
        <w:pStyle w:val="Heading1"/>
      </w:pPr>
      <w:r>
        <w:t>3. Who Uses the Platform and What They Can Do</w:t>
      </w:r>
    </w:p>
    <w:p>
      <w:r>
        <w:rPr>
          <w:b w:val="0"/>
          <w:i w:val="0"/>
          <w:strike w:val="0"/>
        </w:rPr>
        <w:t>Everyone who uses ControlIQ has a role that determines what they can see and what they can do. There are two levels of roles:</w:t>
      </w:r>
    </w:p>
    <w:p>
      <w:pPr>
        <w:pStyle w:val="ListBullet"/>
      </w:pPr>
      <w:r>
        <w:rPr>
          <w:b w:val="0"/>
          <w:i w:val="0"/>
          <w:strike w:val="0"/>
        </w:rPr>
        <w:t>System roles — defined by SayOne and built into the platform. These carry fixed permissions. They cannot be changed by any firm.</w:t>
      </w:r>
    </w:p>
    <w:p>
      <w:pPr>
        <w:pStyle w:val="ListBullet"/>
      </w:pPr>
      <w:r>
        <w:rPr>
          <w:b w:val="0"/>
          <w:i w:val="0"/>
          <w:strike w:val="0"/>
        </w:rPr>
        <w:t>Firm roles — custom names that each firm creates to match their own job titles (for example, 'AML Analyst' or 'Head of IT'). Each firm role is linked to one system role, and that linkage determines the actual permissions.</w:t>
      </w:r>
    </w:p>
    <w:p>
      <w:r>
        <w:rPr>
          <w:b w:val="0"/>
          <w:i w:val="0"/>
          <w:strike w:val="0"/>
        </w:rPr>
        <w:t>This means a firm can call their roles whatever they like, but the underlying access rules are always controlled by the platform. For example, a firm might call someone 'VP of Compliance' — they link that title to the 'CCO / Compliance Manager' system role, and that person automatically gets CCO-level access.</w:t>
      </w:r>
    </w:p>
    <w:p>
      <w:pPr>
        <w:pStyle w:val="Heading2"/>
      </w:pPr>
      <w:r>
        <w:t>3.1 The Seven System Roles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Role</w:t>
            </w:r>
          </w:p>
        </w:tc>
        <w:tc>
          <w:tcPr>
            <w:tcW w:type="dxa" w:w="2880"/>
            <w:shd w:val="clear" w:fill="1F4E79"/>
          </w:tcPr>
          <w:p>
            <w:r>
              <w:rPr>
                <w:b/>
                <w:color w:val="FFFFFF"/>
              </w:rPr>
            </w:r>
            <w:r>
              <w:rPr>
                <w:b/>
                <w:i w:val="0"/>
                <w:strike w:val="0"/>
                <w:color w:val="FFFFFF"/>
              </w:rPr>
              <w:t>Has login?</w:t>
            </w:r>
          </w:p>
        </w:tc>
        <w:tc>
          <w:tcPr>
            <w:tcW w:type="dxa" w:w="2880"/>
            <w:shd w:val="clear" w:fill="1F4E79"/>
          </w:tcPr>
          <w:p>
            <w:r>
              <w:rPr>
                <w:b/>
                <w:color w:val="FFFFFF"/>
              </w:rPr>
            </w:r>
            <w:r>
              <w:rPr>
                <w:b/>
                <w:i w:val="0"/>
                <w:strike w:val="0"/>
                <w:color w:val="FFFFFF"/>
              </w:rPr>
              <w:t>What this person can do</w:t>
            </w:r>
          </w:p>
        </w:tc>
      </w:tr>
      <w:tr>
        <w:tc>
          <w:tcPr>
            <w:tcW w:type="dxa" w:w="2880"/>
          </w:tcPr>
          <w:p>
            <w:r/>
            <w:r>
              <w:rPr>
                <w:b w:val="0"/>
                <w:i w:val="0"/>
                <w:strike w:val="0"/>
              </w:rPr>
              <w:t>Platform Super Admin (Sosinna's team)</w:t>
            </w:r>
          </w:p>
        </w:tc>
        <w:tc>
          <w:tcPr>
            <w:tcW w:type="dxa" w:w="2880"/>
          </w:tcPr>
          <w:p>
            <w:r/>
            <w:r>
              <w:rPr>
                <w:b w:val="0"/>
                <w:i w:val="0"/>
                <w:strike w:val="0"/>
              </w:rPr>
              <w:t>Yes</w:t>
            </w:r>
          </w:p>
        </w:tc>
        <w:tc>
          <w:tcPr>
            <w:tcW w:type="dxa" w:w="2880"/>
          </w:tcPr>
          <w:p>
            <w:r/>
            <w:r>
              <w:rPr>
                <w:b w:val="0"/>
                <w:i w:val="0"/>
                <w:strike w:val="0"/>
              </w:rPr>
              <w:t>Manages all regulatory content, builds test procedures, configures the platform globally. Works in a separate administration portal that firm users never see.</w:t>
            </w:r>
          </w:p>
        </w:tc>
      </w:tr>
      <w:tr>
        <w:tc>
          <w:tcPr>
            <w:tcW w:type="dxa" w:w="2880"/>
          </w:tcPr>
          <w:p>
            <w:r/>
            <w:r>
              <w:rPr>
                <w:b w:val="0"/>
                <w:i w:val="0"/>
                <w:strike w:val="0"/>
              </w:rPr>
              <w:t>Firm Super Admin</w:t>
            </w:r>
          </w:p>
        </w:tc>
        <w:tc>
          <w:tcPr>
            <w:tcW w:type="dxa" w:w="2880"/>
          </w:tcPr>
          <w:p>
            <w:r/>
            <w:r>
              <w:rPr>
                <w:b w:val="0"/>
                <w:i w:val="0"/>
                <w:strike w:val="0"/>
              </w:rPr>
              <w:t>Yes</w:t>
            </w:r>
          </w:p>
        </w:tc>
        <w:tc>
          <w:tcPr>
            <w:tcW w:type="dxa" w:w="2880"/>
          </w:tcPr>
          <w:p>
            <w:r/>
            <w:r>
              <w:rPr>
                <w:b w:val="0"/>
                <w:i w:val="0"/>
                <w:strike w:val="0"/>
              </w:rPr>
              <w:t>Sets up the firm's account, invites users, creates custom job title roles, and manages firm settings. Each firm must always have at least two of these.</w:t>
            </w:r>
          </w:p>
        </w:tc>
      </w:tr>
      <w:tr>
        <w:tc>
          <w:tcPr>
            <w:tcW w:type="dxa" w:w="2880"/>
          </w:tcPr>
          <w:p>
            <w:r/>
            <w:r>
              <w:rPr>
                <w:b w:val="0"/>
                <w:i w:val="0"/>
                <w:strike w:val="0"/>
              </w:rPr>
              <w:t>CCO / Compliance Manager</w:t>
            </w:r>
          </w:p>
        </w:tc>
        <w:tc>
          <w:tcPr>
            <w:tcW w:type="dxa" w:w="2880"/>
          </w:tcPr>
          <w:p>
            <w:r/>
            <w:r>
              <w:rPr>
                <w:b w:val="0"/>
                <w:i w:val="0"/>
                <w:strike w:val="0"/>
              </w:rPr>
              <w:t>Yes</w:t>
            </w:r>
          </w:p>
        </w:tc>
        <w:tc>
          <w:tcPr>
            <w:tcW w:type="dxa" w:w="2880"/>
          </w:tcPr>
          <w:p>
            <w:r/>
            <w:r>
              <w:rPr>
                <w:b w:val="0"/>
                <w:i w:val="0"/>
                <w:strike w:val="0"/>
              </w:rPr>
              <w:t>The most important role in the firm-side application. Assigns tests to compliance officers, reviews and approves all test results, initiates thematic or selective reviews, closes findings, and generates the final report.</w:t>
            </w:r>
          </w:p>
        </w:tc>
      </w:tr>
      <w:tr>
        <w:tc>
          <w:tcPr>
            <w:tcW w:type="dxa" w:w="2880"/>
          </w:tcPr>
          <w:p>
            <w:r/>
            <w:r>
              <w:rPr>
                <w:b w:val="0"/>
                <w:i w:val="0"/>
                <w:strike w:val="0"/>
              </w:rPr>
              <w:t>Compliance Officer (Lead Tester)</w:t>
            </w:r>
          </w:p>
        </w:tc>
        <w:tc>
          <w:tcPr>
            <w:tcW w:type="dxa" w:w="2880"/>
          </w:tcPr>
          <w:p>
            <w:r/>
            <w:r>
              <w:rPr>
                <w:b w:val="0"/>
                <w:i w:val="0"/>
                <w:strike w:val="0"/>
              </w:rPr>
              <w:t>Yes</w:t>
            </w:r>
          </w:p>
        </w:tc>
        <w:tc>
          <w:tcPr>
            <w:tcW w:type="dxa" w:w="2880"/>
          </w:tcPr>
          <w:p>
            <w:r/>
            <w:r>
              <w:rPr>
                <w:b w:val="0"/>
                <w:i w:val="0"/>
                <w:strike w:val="0"/>
              </w:rPr>
              <w:t>Carries out tests day to day. Works through the test steps, uploads evidence, records what they found, and logs any issues. Cannot approve their own work — that always goes to the CCO.</w:t>
            </w:r>
          </w:p>
        </w:tc>
      </w:tr>
      <w:tr>
        <w:tc>
          <w:tcPr>
            <w:tcW w:type="dxa" w:w="2880"/>
          </w:tcPr>
          <w:p>
            <w:r/>
            <w:r>
              <w:rPr>
                <w:b w:val="0"/>
                <w:i w:val="0"/>
                <w:strike w:val="0"/>
              </w:rPr>
              <w:t>Senior Management</w:t>
            </w:r>
          </w:p>
        </w:tc>
        <w:tc>
          <w:tcPr>
            <w:tcW w:type="dxa" w:w="2880"/>
          </w:tcPr>
          <w:p>
            <w:r/>
            <w:r>
              <w:rPr>
                <w:b w:val="0"/>
                <w:i w:val="0"/>
                <w:strike w:val="0"/>
              </w:rPr>
              <w:t>Yes</w:t>
            </w:r>
          </w:p>
        </w:tc>
        <w:tc>
          <w:tcPr>
            <w:tcW w:type="dxa" w:w="2880"/>
          </w:tcPr>
          <w:p>
            <w:r/>
            <w:r>
              <w:rPr>
                <w:b w:val="0"/>
                <w:i w:val="0"/>
                <w:strike w:val="0"/>
              </w:rPr>
              <w:t>Read-only access to dashboards and reports. Receives escalation alerts when a serious issue is found. Provides formal sign-off at the end of a testing cycle.</w:t>
            </w:r>
          </w:p>
        </w:tc>
      </w:tr>
      <w:tr>
        <w:tc>
          <w:tcPr>
            <w:tcW w:type="dxa" w:w="2880"/>
          </w:tcPr>
          <w:p>
            <w:r/>
            <w:r>
              <w:rPr>
                <w:b w:val="0"/>
                <w:i w:val="0"/>
                <w:strike w:val="0"/>
              </w:rPr>
              <w:t>Remediation Owner</w:t>
            </w:r>
          </w:p>
        </w:tc>
        <w:tc>
          <w:tcPr>
            <w:tcW w:type="dxa" w:w="2880"/>
          </w:tcPr>
          <w:p>
            <w:r/>
            <w:r>
              <w:rPr>
                <w:b w:val="0"/>
                <w:i w:val="0"/>
                <w:strike w:val="0"/>
              </w:rPr>
              <w:t>Yes</w:t>
            </w:r>
          </w:p>
        </w:tc>
        <w:tc>
          <w:tcPr>
            <w:tcW w:type="dxa" w:w="2880"/>
          </w:tcPr>
          <w:p>
            <w:r/>
            <w:r>
              <w:rPr>
                <w:b w:val="0"/>
                <w:i w:val="0"/>
                <w:strike w:val="0"/>
              </w:rPr>
              <w:t>Receives action items when a compliance problem needs to be fixed. Sees only their own assigned tasks, updates the progress status, and uploads proof that the fix has been done.</w:t>
            </w:r>
          </w:p>
        </w:tc>
      </w:tr>
      <w:tr>
        <w:tc>
          <w:tcPr>
            <w:tcW w:type="dxa" w:w="2880"/>
          </w:tcPr>
          <w:p>
            <w:r/>
            <w:r>
              <w:rPr>
                <w:b w:val="0"/>
                <w:i w:val="0"/>
                <w:strike w:val="0"/>
              </w:rPr>
              <w:t>Staff / Employee (no login)</w:t>
            </w:r>
          </w:p>
        </w:tc>
        <w:tc>
          <w:tcPr>
            <w:tcW w:type="dxa" w:w="2880"/>
          </w:tcPr>
          <w:p>
            <w:r/>
            <w:r>
              <w:rPr>
                <w:b w:val="0"/>
                <w:i w:val="0"/>
                <w:strike w:val="0"/>
              </w:rPr>
              <w:t>No</w:t>
            </w:r>
          </w:p>
        </w:tc>
        <w:tc>
          <w:tcPr>
            <w:tcW w:type="dxa" w:w="2880"/>
          </w:tcPr>
          <w:p>
            <w:r/>
            <w:r>
              <w:rPr>
                <w:b w:val="0"/>
                <w:i w:val="0"/>
                <w:strike w:val="0"/>
              </w:rPr>
              <w:t xml:space="preserve">Any team member who does not need to use the platform but still needs to appear in the org chart, BCP contact list, or Fit &amp; Proper records. They are tracked in the system but cannot log in. </w:t>
            </w:r>
            <w:r>
              <w:rPr>
                <w:b/>
                <w:i/>
                <w:strike w:val="0"/>
                <w:color w:val="C00000"/>
              </w:rPr>
              <w:t>v9.0: this is also where IT and systems staff now sit — the IT / Systems Admin role is withdrawn with Section 11.</w:t>
            </w:r>
            <w:r>
              <w:rPr>
                <w:b w:val="0"/>
                <w:i w:val="0"/>
                <w:strike w:val="0"/>
              </w:rPr>
              <w:t xml:space="preserve"> </w:t>
            </w:r>
            <w:r>
              <w:rPr>
                <w:b w:val="0"/>
                <w:i/>
                <w:strike w:val="0"/>
                <w:color w:val="C00000"/>
                <w:sz w:val="16"/>
              </w:rPr>
              <w:t xml:space="preserve"> [Sep 2026 scope decision]</w:t>
            </w:r>
          </w:p>
        </w:tc>
      </w:tr>
    </w:tbl>
    <w:tbl>
      <w:tblPr>
        <w:tblStyle w:val="TableGrid"/>
        <w:tblW w:type="auto" w:w="0"/>
        <w:tblLook w:firstColumn="1" w:firstRow="1" w:lastColumn="0" w:lastRow="0" w:noHBand="0" w:noVBand="1" w:val="04A0"/>
      </w:tblPr>
      <w:tblGrid>
        <w:gridCol w:w="8640"/>
      </w:tblGrid>
      <w:tr>
        <w:tc>
          <w:tcPr>
            <w:tcW w:type="dxa" w:w="8640"/>
            <w:shd w:val="clear" w:fill="F9E0F9"/>
          </w:tcPr>
          <w:p>
            <w:r>
              <w:rPr>
                <w:b/>
                <w:i w:val="0"/>
                <w:strike w:val="0"/>
              </w:rPr>
              <w:t>NOTE</w:t>
            </w:r>
            <w:r>
              <w:rPr>
                <w:b w:val="0"/>
                <w:i w:val="0"/>
                <w:strike w:val="0"/>
              </w:rPr>
              <w:t xml:space="preserve"> </w:t>
            </w:r>
            <w:r>
              <w:rPr>
                <w:b w:val="0"/>
                <w:i/>
                <w:strike w:val="0"/>
              </w:rPr>
              <w:t>(magenta — revised in v9.0)</w:t>
            </w:r>
          </w:p>
          <w:p>
            <w:r>
              <w:rPr>
                <w:b/>
                <w:i/>
                <w:strike w:val="0"/>
                <w:color w:val="C00000"/>
              </w:rPr>
              <w:t>🔻 Withdrawn in v9.0 — the IT / Systems Admin role.</w:t>
            </w:r>
            <w:r>
              <w:rPr>
                <w:b w:val="0"/>
                <w:i w:val="0"/>
                <w:strike w:val="0"/>
              </w:rPr>
              <w:t xml:space="preserve"> </w:t>
            </w:r>
            <w:r>
              <w:rPr>
                <w:b w:val="0"/>
                <w:i/>
                <w:strike w:val="0"/>
                <w:color w:val="C00000"/>
                <w:sz w:val="16"/>
              </w:rPr>
              <w:t xml:space="preserve"> [Sep 2026 scope decision]</w:t>
            </w:r>
          </w:p>
          <w:p>
            <w:r>
              <w:rPr>
                <w:b/>
                <w:i/>
                <w:strike w:val="0"/>
                <w:color w:val="C00000"/>
              </w:rPr>
              <w:t>The role is withdrawn. It existed solely to work Section 11 (Systems and IT Risk), which is itself withdrawn in this revision, and it carried no action anywhere else in the platform. IT and systems people remain in the product as Staff / Employee governance records — they appear in the org chart, the BCP call tree, the hardware register (FR-69) and Fit &amp; Proper records exactly as before, and they hold no login. Firms that had mapped a custom role such as "IT Security Manager" to it remap that title to Staff / Employee.</w:t>
            </w:r>
            <w:r>
              <w:rPr>
                <w:b w:val="0"/>
                <w:i w:val="0"/>
                <w:strike w:val="0"/>
              </w:rPr>
              <w:t xml:space="preserve"> </w:t>
            </w:r>
            <w:r>
              <w:rPr>
                <w:b w:val="0"/>
                <w:i/>
                <w:strike w:val="0"/>
                <w:color w:val="C00000"/>
                <w:sz w:val="16"/>
              </w:rPr>
              <w:t xml:space="preserve"> [Sep 2026 scope decision]</w:t>
            </w:r>
          </w:p>
          <w:p>
            <w:r>
              <w:rPr>
                <w:b/>
                <w:i/>
                <w:strike w:val="0"/>
                <w:color w:val="C00000"/>
              </w:rPr>
              <w:t>This leaves seven system roles, six of them login-bearing on the firm side or the Portal. The count "eight system roles" appears in earlier versions of this document, in the tech-spec set and in the security architecture; all of those readings are superseded here.</w:t>
            </w:r>
            <w:r>
              <w:rPr>
                <w:b w:val="0"/>
                <w:i w:val="0"/>
                <w:strike w:val="0"/>
              </w:rPr>
              <w:t xml:space="preserve"> </w:t>
            </w:r>
            <w:r>
              <w:rPr>
                <w:b w:val="0"/>
                <w:i/>
                <w:strike w:val="0"/>
                <w:color w:val="C00000"/>
                <w:sz w:val="16"/>
              </w:rPr>
              <w:t xml:space="preserve"> [Sep 2026 scope decision]</w:t>
            </w:r>
          </w:p>
        </w:tc>
      </w:tr>
    </w:tbl>
    <w:tbl>
      <w:tblPr>
        <w:tblStyle w:val="TableGrid"/>
        <w:tblW w:type="auto" w:w="0"/>
        <w:tblLook w:firstColumn="1" w:firstRow="1" w:lastColumn="0" w:lastRow="0" w:noHBand="0" w:noVBand="1" w:val="04A0"/>
      </w:tblPr>
      <w:tblGrid>
        <w:gridCol w:w="8640"/>
      </w:tblGrid>
      <w:tr>
        <w:tc>
          <w:tcPr>
            <w:tcW w:type="dxa" w:w="8640"/>
            <w:shd w:val="clear" w:fill="E6E0F5"/>
          </w:tcPr>
          <w:p>
            <w:r>
              <w:rPr>
                <w:b/>
                <w:i w:val="0"/>
                <w:strike w:val="0"/>
              </w:rPr>
              <w:t>NOTE</w:t>
            </w:r>
            <w:r>
              <w:rPr>
                <w:b w:val="0"/>
                <w:i w:val="0"/>
                <w:strike w:val="0"/>
              </w:rPr>
              <w:t xml:space="preserve"> </w:t>
            </w:r>
            <w:r>
              <w:rPr>
                <w:b w:val="0"/>
                <w:i/>
                <w:strike w:val="0"/>
              </w:rPr>
              <w:t>(purple)</w:t>
            </w:r>
          </w:p>
          <w:p>
            <w:r>
              <w:rPr>
                <w:b/>
                <w:i/>
                <w:strike w:val="0"/>
                <w:color w:val="7030A0"/>
              </w:rPr>
              <w:t>🎯 The four operational roles — from the August 2026 client meeting</w:t>
            </w:r>
            <w:r>
              <w:rPr>
                <w:b w:val="0"/>
                <w:i w:val="0"/>
                <w:strike w:val="0"/>
              </w:rPr>
              <w:t xml:space="preserve"> </w:t>
            </w:r>
            <w:r>
              <w:rPr>
                <w:b w:val="0"/>
                <w:i/>
                <w:strike w:val="0"/>
                <w:color w:val="7030A0"/>
                <w:sz w:val="16"/>
              </w:rPr>
              <w:t xml:space="preserve"> [Aug 2026 client MOM]</w:t>
            </w:r>
          </w:p>
          <w:p>
            <w:r>
              <w:rPr>
                <w:b/>
                <w:i/>
                <w:strike w:val="0"/>
                <w:color w:val="7030A0"/>
              </w:rPr>
              <w:t>The client described the platform as being built around four primary user roles: Tester (Compliance Officer / Lead Tester), Chief Compliance Officer, Remediation Owner, and Senior Management. This does not remove any of the eight system roles above — it is a statement about which roles carry the day-to-day compliance workflow and therefore where design and UAT effort should be concentrated.</w:t>
            </w:r>
            <w:r>
              <w:rPr>
                <w:b w:val="0"/>
                <w:i w:val="0"/>
                <w:strike w:val="0"/>
              </w:rPr>
              <w:t xml:space="preserve"> </w:t>
            </w:r>
            <w:r>
              <w:rPr>
                <w:b w:val="0"/>
                <w:i/>
                <w:strike w:val="0"/>
                <w:color w:val="7030A0"/>
                <w:sz w:val="16"/>
              </w:rPr>
              <w:t xml:space="preserve"> [Aug 2026 client MOM]</w:t>
            </w:r>
          </w:p>
          <w:p>
            <w:r>
              <w:rPr>
                <w:b/>
                <w:i/>
                <w:strike w:val="0"/>
                <w:color w:val="7030A0"/>
              </w:rPr>
              <w:t>The other roles keep their existing purpose: Platform Super Admin (Sosinna's team, separate portal), Firm Super Admin (account setup and user administration, not a workflow participant), and Staff / Employee (a governance record with no login).</w:t>
            </w:r>
            <w:r>
              <w:rPr>
                <w:b w:val="0"/>
                <w:i w:val="0"/>
                <w:strike w:val="0"/>
              </w:rPr>
              <w:t xml:space="preserve"> </w:t>
            </w:r>
            <w:r>
              <w:rPr>
                <w:b w:val="0"/>
                <w:i/>
                <w:strike w:val="0"/>
                <w:color w:val="7030A0"/>
                <w:sz w:val="16"/>
              </w:rPr>
              <w:t xml:space="preserve"> [Aug 2026 client MOM]</w:t>
            </w:r>
            <w:r>
              <w:rPr>
                <w:b w:val="0"/>
                <w:i w:val="0"/>
                <w:strike w:val="0"/>
              </w:rPr>
              <w:t xml:space="preserve"> </w:t>
            </w:r>
            <w:r>
              <w:rPr>
                <w:b/>
                <w:i/>
                <w:strike w:val="0"/>
                <w:color w:val="C00000"/>
              </w:rPr>
              <w:t>Revised in v9.0: this sentence named four roles, the fourth being IT / Systems Admin (the DORA module in Section 11). Both that role and that section are withdrawn, so three remain.</w:t>
            </w:r>
            <w:r>
              <w:rPr>
                <w:b w:val="0"/>
                <w:i w:val="0"/>
                <w:strike w:val="0"/>
              </w:rPr>
              <w:t xml:space="preserve"> </w:t>
            </w:r>
            <w:r>
              <w:rPr>
                <w:b w:val="0"/>
                <w:i/>
                <w:strike w:val="0"/>
                <w:color w:val="C00000"/>
                <w:sz w:val="16"/>
              </w:rPr>
              <w:t xml:space="preserve"> [Sep 2026 scope decision]</w:t>
            </w:r>
          </w:p>
          <w:p>
            <w:r>
              <w:rPr>
                <w:b/>
                <w:i/>
                <w:strike w:val="0"/>
                <w:color w:val="7030A0"/>
              </w:rPr>
              <w:t>Developer implication: the four operational roles are the ones that need complete, polished end-to-end journeys for MVP. Firm Super Admin and IT / Systems Admin remain in scope but are narrower surfaces.</w:t>
            </w:r>
            <w:r>
              <w:rPr>
                <w:b w:val="0"/>
                <w:i w:val="0"/>
                <w:strike w:val="0"/>
              </w:rPr>
              <w:t xml:space="preserve"> </w:t>
            </w:r>
            <w:r>
              <w:rPr>
                <w:b w:val="0"/>
                <w:i/>
                <w:strike w:val="0"/>
                <w:color w:val="7030A0"/>
                <w:sz w:val="16"/>
              </w:rPr>
              <w:t xml:space="preserve"> [Aug 2026 client MOM]</w:t>
            </w:r>
          </w:p>
          <w:p>
            <w:r>
              <w:rPr>
                <w:b/>
                <w:i/>
                <w:strike w:val="0"/>
                <w:color w:val="008080"/>
              </w:rPr>
              <w:t>CONFIRMED on 11 Aug 2026: the client restated the same four primary platform roles — CCO, Tester, Remediation Owner, Senior Management — in the same order and with the same scope. No change to this section; the reading above is correct.</w:t>
            </w:r>
            <w:r>
              <w:rPr>
                <w:b w:val="0"/>
                <w:i w:val="0"/>
                <w:strike w:val="0"/>
              </w:rPr>
              <w:t xml:space="preserve"> </w:t>
            </w:r>
            <w:r>
              <w:rPr>
                <w:b w:val="0"/>
                <w:i/>
                <w:strike w:val="0"/>
                <w:color w:val="008080"/>
                <w:sz w:val="16"/>
              </w:rPr>
              <w:t xml:space="preserve"> [11 Aug 2026 MOM]</w:t>
            </w:r>
          </w:p>
        </w:tc>
      </w:tr>
    </w:tbl>
    <w:p>
      <w:pPr>
        <w:pStyle w:val="Heading2"/>
      </w:pPr>
      <w:r>
        <w:t>3.2 How Firms Create Their Own Role Names</w:t>
      </w:r>
    </w:p>
    <w:p>
      <w:r>
        <w:rPr>
          <w:b w:val="0"/>
          <w:i w:val="0"/>
          <w:strike w:val="0"/>
        </w:rPr>
        <w:t>The Firm Super Admin (think: the person responsible for setting up the firm's account) can create as many custom job titles as they need. Each one must be mapped to a system role. The platform then uses that mapping to control access.</w:t>
      </w:r>
    </w:p>
    <w:p>
      <w:r>
        <w:rPr>
          <w:b w:val="0"/>
          <w:i w:val="0"/>
          <w:strike w:val="0"/>
        </w:rPr>
        <w:t>Example mapping: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Firm's custom role name</w:t>
            </w:r>
          </w:p>
        </w:tc>
        <w:tc>
          <w:tcPr>
            <w:tcW w:type="dxa" w:w="2880"/>
            <w:shd w:val="clear" w:fill="1F4E79"/>
          </w:tcPr>
          <w:p>
            <w:r>
              <w:rPr>
                <w:b/>
                <w:color w:val="FFFFFF"/>
              </w:rPr>
            </w:r>
            <w:r>
              <w:rPr>
                <w:b/>
                <w:i w:val="0"/>
                <w:strike w:val="0"/>
                <w:color w:val="FFFFFF"/>
              </w:rPr>
              <w:t>Maps to system role</w:t>
            </w:r>
          </w:p>
        </w:tc>
        <w:tc>
          <w:tcPr>
            <w:tcW w:type="dxa" w:w="2880"/>
            <w:shd w:val="clear" w:fill="1F4E79"/>
          </w:tcPr>
          <w:p>
            <w:r>
              <w:rPr>
                <w:b/>
                <w:color w:val="FFFFFF"/>
              </w:rPr>
            </w:r>
            <w:r>
              <w:rPr>
                <w:b/>
                <w:i w:val="0"/>
                <w:strike w:val="0"/>
                <w:color w:val="FFFFFF"/>
              </w:rPr>
              <w:t>What they can do</w:t>
            </w:r>
          </w:p>
        </w:tc>
      </w:tr>
      <w:tr>
        <w:tc>
          <w:tcPr>
            <w:tcW w:type="dxa" w:w="2880"/>
          </w:tcPr>
          <w:p>
            <w:r/>
            <w:r>
              <w:rPr>
                <w:b w:val="0"/>
                <w:i w:val="0"/>
                <w:strike w:val="0"/>
              </w:rPr>
              <w:t>Chief Compliance Officer</w:t>
            </w:r>
          </w:p>
        </w:tc>
        <w:tc>
          <w:tcPr>
            <w:tcW w:type="dxa" w:w="2880"/>
          </w:tcPr>
          <w:p>
            <w:r/>
            <w:r>
              <w:rPr>
                <w:b w:val="0"/>
                <w:i w:val="0"/>
                <w:strike w:val="0"/>
              </w:rPr>
              <w:t>CCO / Compliance Manager</w:t>
            </w:r>
          </w:p>
        </w:tc>
        <w:tc>
          <w:tcPr>
            <w:tcW w:type="dxa" w:w="2880"/>
          </w:tcPr>
          <w:p>
            <w:r/>
            <w:r>
              <w:rPr>
                <w:b w:val="0"/>
                <w:i w:val="0"/>
                <w:strike w:val="0"/>
              </w:rPr>
              <w:t>Full compliance access</w:t>
            </w:r>
          </w:p>
        </w:tc>
      </w:tr>
      <w:tr>
        <w:tc>
          <w:tcPr>
            <w:tcW w:type="dxa" w:w="2880"/>
          </w:tcPr>
          <w:p>
            <w:r/>
            <w:r>
              <w:rPr>
                <w:b w:val="0"/>
                <w:i w:val="0"/>
                <w:strike w:val="0"/>
              </w:rPr>
              <w:t>AML Analyst</w:t>
            </w:r>
          </w:p>
        </w:tc>
        <w:tc>
          <w:tcPr>
            <w:tcW w:type="dxa" w:w="2880"/>
          </w:tcPr>
          <w:p>
            <w:r/>
            <w:r>
              <w:rPr>
                <w:b w:val="0"/>
                <w:i w:val="0"/>
                <w:strike w:val="0"/>
              </w:rPr>
              <w:t>Compliance Officer (Lead Tester)</w:t>
            </w:r>
          </w:p>
        </w:tc>
        <w:tc>
          <w:tcPr>
            <w:tcW w:type="dxa" w:w="2880"/>
          </w:tcPr>
          <w:p>
            <w:r/>
            <w:r>
              <w:rPr>
                <w:b w:val="0"/>
                <w:i w:val="0"/>
                <w:strike w:val="0"/>
              </w:rPr>
              <w:t>Runs tests, uploads evidence</w:t>
            </w:r>
          </w:p>
        </w:tc>
      </w:tr>
      <w:tr>
        <w:tc>
          <w:tcPr>
            <w:tcW w:type="dxa" w:w="2880"/>
          </w:tcPr>
          <w:p>
            <w:r/>
            <w:r>
              <w:rPr>
                <w:b w:val="0"/>
                <w:i w:val="0"/>
                <w:strike w:val="0"/>
              </w:rPr>
              <w:t>Board Director</w:t>
            </w:r>
          </w:p>
        </w:tc>
        <w:tc>
          <w:tcPr>
            <w:tcW w:type="dxa" w:w="2880"/>
          </w:tcPr>
          <w:p>
            <w:r/>
            <w:r>
              <w:rPr>
                <w:b w:val="0"/>
                <w:i w:val="0"/>
                <w:strike w:val="0"/>
              </w:rPr>
              <w:t>Senior Management</w:t>
            </w:r>
          </w:p>
        </w:tc>
        <w:tc>
          <w:tcPr>
            <w:tcW w:type="dxa" w:w="2880"/>
          </w:tcPr>
          <w:p>
            <w:r/>
            <w:r>
              <w:rPr>
                <w:b w:val="0"/>
                <w:i w:val="0"/>
                <w:strike w:val="0"/>
              </w:rPr>
              <w:t>Read-only, receives alerts, approves reports</w:t>
            </w:r>
          </w:p>
        </w:tc>
      </w:tr>
      <w:tr>
        <w:tc>
          <w:tcPr>
            <w:tcW w:type="dxa" w:w="2880"/>
          </w:tcPr>
          <w:p>
            <w:r/>
            <w:r>
              <w:rPr>
                <w:b/>
                <w:i/>
                <w:strike w:val="0"/>
                <w:color w:val="C00000"/>
              </w:rPr>
              <w:t>IT Security Manager</w:t>
            </w:r>
            <w:r>
              <w:rPr>
                <w:b w:val="0"/>
                <w:i w:val="0"/>
                <w:strike w:val="0"/>
              </w:rPr>
              <w:t xml:space="preserve"> </w:t>
            </w:r>
            <w:r>
              <w:rPr>
                <w:b w:val="0"/>
                <w:i/>
                <w:strike w:val="0"/>
                <w:color w:val="C00000"/>
                <w:sz w:val="16"/>
              </w:rPr>
              <w:t xml:space="preserve"> [Sep 2026 scope decision]</w:t>
            </w:r>
          </w:p>
        </w:tc>
        <w:tc>
          <w:tcPr>
            <w:tcW w:type="dxa" w:w="2880"/>
          </w:tcPr>
          <w:p>
            <w:r/>
            <w:r>
              <w:rPr>
                <w:b/>
                <w:i/>
                <w:strike w:val="0"/>
              </w:rPr>
              <w:t>Staff / Employee (no login)</w:t>
            </w:r>
          </w:p>
        </w:tc>
        <w:tc>
          <w:tcPr>
            <w:tcW w:type="dxa" w:w="2880"/>
          </w:tcPr>
          <w:p>
            <w:r/>
            <w:r>
              <w:rPr>
                <w:b/>
                <w:i/>
                <w:strike w:val="0"/>
              </w:rPr>
              <w:t>Governance record only — appears in the org chart, call tree and hardware register, holds no platform access. Superseded in v9.0: this row previously mapped to IT / Systems Admin for ICT risk module access</w:t>
            </w:r>
          </w:p>
        </w:tc>
      </w:tr>
      <w:tr>
        <w:tc>
          <w:tcPr>
            <w:tcW w:type="dxa" w:w="2880"/>
          </w:tcPr>
          <w:p>
            <w:r/>
            <w:r>
              <w:rPr>
                <w:b w:val="0"/>
                <w:i w:val="0"/>
                <w:strike w:val="0"/>
              </w:rPr>
              <w:t>Risk &amp; Controls Manager</w:t>
            </w:r>
          </w:p>
        </w:tc>
        <w:tc>
          <w:tcPr>
            <w:tcW w:type="dxa" w:w="2880"/>
          </w:tcPr>
          <w:p>
            <w:r/>
            <w:r>
              <w:rPr>
                <w:b w:val="0"/>
                <w:i w:val="0"/>
                <w:strike w:val="0"/>
              </w:rPr>
              <w:t>Remediation Owner</w:t>
            </w:r>
          </w:p>
        </w:tc>
        <w:tc>
          <w:tcPr>
            <w:tcW w:type="dxa" w:w="2880"/>
          </w:tcPr>
          <w:p>
            <w:r/>
            <w:r>
              <w:rPr>
                <w:b w:val="0"/>
                <w:i w:val="0"/>
                <w:strike w:val="0"/>
              </w:rPr>
              <w:t>Manages their assigned action items</w:t>
            </w:r>
          </w:p>
        </w:tc>
      </w:tr>
    </w:tbl>
    <w:p>
      <w:pPr>
        <w:pStyle w:val="Heading2"/>
      </w:pPr>
      <w:r>
        <w:t>3.3 Access Requirements</w:t>
      </w:r>
    </w:p>
    <w:p>
      <w:r>
        <w:rPr>
          <w:b/>
          <w:i w:val="0"/>
          <w:strike w:val="0"/>
          <w:color w:val="1155CC"/>
        </w:rPr>
        <w:t>[FR-09]</w:t>
      </w:r>
      <w:r>
        <w:rPr>
          <w:b w:val="0"/>
          <w:i w:val="0"/>
          <w:strike w:val="0"/>
        </w:rPr>
        <w:t xml:space="preserve"> Every user can only see and do what their role allows. This is enforced automatically by the platform — it is not up to individual users to self-police.</w:t>
      </w:r>
    </w:p>
    <w:p>
      <w:r>
        <w:rPr>
          <w:b/>
          <w:i w:val="0"/>
          <w:strike w:val="0"/>
          <w:color w:val="1155CC"/>
        </w:rPr>
        <w:t>[FR-10]</w:t>
      </w:r>
      <w:r>
        <w:rPr>
          <w:b w:val="0"/>
          <w:i w:val="0"/>
          <w:strike w:val="0"/>
        </w:rPr>
        <w:t xml:space="preserve"> The Firm Super Admin can create, rename, and deactivate custom firm roles at any time. Deactivating a role does not lock out existing users immediately — the admin needs to reassign them first.</w:t>
      </w:r>
    </w:p>
    <w:p>
      <w:r>
        <w:rPr>
          <w:b/>
          <w:i w:val="0"/>
          <w:strike w:val="0"/>
          <w:color w:val="1155CC"/>
        </w:rPr>
        <w:t>[FR-11]</w:t>
      </w:r>
      <w:r>
        <w:rPr>
          <w:b w:val="0"/>
          <w:i w:val="0"/>
          <w:strike w:val="0"/>
        </w:rPr>
        <w:t xml:space="preserve"> Every user logs in with an email address and password, plus a second verification step on their phone (this is called MFA, or multi-factor authentication — it means a stolen password alone is not enough to get in).</w:t>
      </w:r>
    </w:p>
    <w:p>
      <w:r>
        <w:rPr>
          <w:b/>
          <w:i w:val="0"/>
          <w:strike w:val="0"/>
          <w:color w:val="1155CC"/>
        </w:rPr>
        <w:t>[FR-12]</w:t>
      </w:r>
      <w:r>
        <w:rPr>
          <w:b w:val="0"/>
          <w:i w:val="0"/>
          <w:strike w:val="0"/>
        </w:rPr>
        <w:t xml:space="preserve"> New users are added by invitation only. The Firm Super Admin sends an email invite. The new user sets up their account. The Super Admin assigns their role before they can access anything.</w:t>
      </w:r>
    </w:p>
    <w:p>
      <w:r>
        <w:rPr>
          <w:b/>
          <w:i w:val="0"/>
          <w:strike w:val="0"/>
          <w:color w:val="1155CC"/>
        </w:rPr>
        <w:t>[FR-13]</w:t>
      </w:r>
      <w:r>
        <w:rPr>
          <w:b w:val="0"/>
          <w:i w:val="0"/>
          <w:strike w:val="0"/>
        </w:rPr>
        <w:t xml:space="preserve"> Every action any user takes is permanently recorded in an audit log — what they did, when, and from which device. This log cannot be altered or deleted by anyone, including administrators. It exists precisely to prove, to a regulator if needed, that the compliance process was followed correctly. </w:t>
      </w:r>
      <w:r>
        <w:rPr>
          <w:b/>
          <w:i/>
          <w:strike w:val="0"/>
          <w:color w:val="CC00CC"/>
        </w:rPr>
        <w:t>CONFIRMED on 14 Aug 2026: the client restated that proper audit trails and logging must be implemented throughout the platform — every module, not only the testing workflow. This is a confirmation of FR-13 and NFR-04, not new scope; it is recorded because the client raised it unprompted, which signals audit coverage will be tested at UAT.</w:t>
      </w:r>
      <w:r>
        <w:rPr>
          <w:b w:val="0"/>
          <w:i w:val="0"/>
          <w:strike w:val="0"/>
        </w:rPr>
        <w:t xml:space="preserve"> </w:t>
      </w:r>
      <w:r>
        <w:rPr>
          <w:b w:val="0"/>
          <w:i/>
          <w:strike w:val="0"/>
          <w:color w:val="CC00CC"/>
          <w:sz w:val="16"/>
        </w:rPr>
        <w:t xml:space="preserve"> [14 Aug 2026 MOM]</w:t>
      </w:r>
    </w:p>
    <w:p>
      <w:r>
        <w:rPr>
          <w:b/>
          <w:i w:val="0"/>
          <w:strike w:val="0"/>
          <w:color w:val="1155CC"/>
        </w:rPr>
        <w:t>[FR-14]</w:t>
      </w:r>
      <w:r>
        <w:rPr>
          <w:b w:val="0"/>
          <w:i w:val="0"/>
          <w:strike w:val="0"/>
        </w:rPr>
        <w:t xml:space="preserve"> When a user leaves the firm, an admin deactivates their account. Everything they ever did in the platform stays in the system — tests, findings, uploads, approvals. Nothing is lost. </w:t>
      </w:r>
      <w:r>
        <w:rPr>
          <w:b/>
          <w:i w:val="0"/>
          <w:strike w:val="0"/>
        </w:rPr>
        <w:t>💬 Sosinna's comment:</w:t>
      </w:r>
      <w:r>
        <w:rPr>
          <w:b w:val="0"/>
          <w:i w:val="0"/>
          <w:strike w:val="0"/>
        </w:rPr>
        <w:t xml:space="preserve"> </w:t>
      </w:r>
      <w:r>
        <w:rPr>
          <w:b w:val="0"/>
          <w:i/>
          <w:strike w:val="0"/>
          <w:color w:val="C55A11"/>
        </w:rPr>
        <w:t>Any reassignment of that user's open work must be documented with reasoning (e.g. termination, transfer) and kept in an immutable audit trail. See GAP-11 in Section 16.</w:t>
      </w:r>
      <w:r>
        <w:rPr>
          <w:b w:val="0"/>
          <w:i w:val="0"/>
          <w:strike w:val="0"/>
        </w:rPr>
        <w:t xml:space="preserve"> </w:t>
      </w:r>
      <w:r>
        <w:rPr>
          <w:b w:val="0"/>
          <w:i/>
          <w:strike w:val="0"/>
          <w:color w:val="C55A11"/>
          <w:sz w:val="16"/>
        </w:rPr>
        <w:t xml:space="preserve"> [Sosinna's Drive comment]</w:t>
      </w:r>
      <w:r>
        <w:rPr>
          <w:b w:val="0"/>
          <w:i w:val="0"/>
          <w:strike w:val="0"/>
        </w:rPr>
        <w:t xml:space="preserve"> </w:t>
      </w:r>
      <w:r>
        <w:rPr>
          <w:b/>
          <w:i/>
          <w:strike w:val="0"/>
          <w:color w:val="CC00CC"/>
        </w:rPr>
        <w:t>CONFIRMED on 14 Aug 2026: the client restated it in the same shape — the platform must offer deactivation, not deletion, and the system logs must remain intact. FR-14 stands unchanged.</w:t>
      </w:r>
      <w:r>
        <w:rPr>
          <w:b w:val="0"/>
          <w:i w:val="0"/>
          <w:strike w:val="0"/>
        </w:rPr>
        <w:t xml:space="preserve"> </w:t>
      </w:r>
      <w:r>
        <w:rPr>
          <w:b w:val="0"/>
          <w:i/>
          <w:strike w:val="0"/>
          <w:color w:val="CC00CC"/>
          <w:sz w:val="16"/>
        </w:rPr>
        <w:t xml:space="preserve"> [14 Aug 2026 MOM]</w:t>
      </w:r>
    </w:p>
    <w:p>
      <w:r>
        <w:rPr>
          <w:b/>
          <w:i w:val="0"/>
          <w:strike w:val="0"/>
          <w:color w:val="1155CC"/>
        </w:rPr>
        <w:t>[FR-15]</w:t>
      </w:r>
      <w:r>
        <w:rPr>
          <w:b w:val="0"/>
          <w:i w:val="0"/>
          <w:strike w:val="0"/>
        </w:rPr>
        <w:t xml:space="preserve"> Each firm must always have at least two Firm Super Admins. If the account drops to one, the platform warns the remaining admin to add a second. This prevents a firm from being locked out if one admin leaves.</w:t>
      </w:r>
    </w:p>
    <w:p>
      <w:pPr>
        <w:pStyle w:val="Heading1"/>
      </w:pPr>
      <w:r>
        <w:t>4. The Platform Admin Portal — Sosinna's Team</w:t>
      </w:r>
    </w:p>
    <w:p>
      <w:r>
        <w:rPr>
          <w:b w:val="0"/>
          <w:i w:val="0"/>
          <w:strike w:val="0"/>
        </w:rPr>
        <w:t>The Platform Admin Portal is the control centre for the compliance testing content. It is where Sosinna's team at Synergy Consulting Group builds and maintains the tests that every firm on the platform runs. This portal is completely separate from what firms see — a firm user logging into ControlIQ has no idea this portal exists.</w:t>
      </w:r>
    </w:p>
    <w:p>
      <w:r>
        <w:rPr>
          <w:b w:val="0"/>
          <w:i w:val="0"/>
          <w:strike w:val="0"/>
        </w:rPr>
        <w:t>The most important thing to understand about this portal is that the compliance tests are not hardcoded or fixed. The regulations they are based on — MiCA and DORA — are live, evolving legal texts published by the European Commission, the EBA (European Banking Authority), and the ESMA (European Securities and Markets Authority). When the regulators publish an update, the tests may need to change. The Portal is how those changes are made and pushed out to all firms.</w:t>
      </w:r>
    </w:p>
    <w:p>
      <w:pPr>
        <w:pStyle w:val="Heading2"/>
      </w:pPr>
      <w:r>
        <w:t>4.1 Building and Managing Tests</w:t>
      </w:r>
    </w:p>
    <w:p>
      <w:r>
        <w:rPr>
          <w:b/>
          <w:i w:val="0"/>
          <w:strike w:val="0"/>
          <w:color w:val="1155CC"/>
        </w:rPr>
        <w:t>[SA-01]</w:t>
      </w:r>
      <w:r>
        <w:rPr>
          <w:b w:val="0"/>
          <w:i w:val="0"/>
          <w:strike w:val="0"/>
        </w:rPr>
        <w:t xml:space="preserve"> </w:t>
      </w:r>
      <w:r>
        <w:rPr>
          <w:b/>
          <w:i/>
          <w:strike w:val="0"/>
          <w:color w:val="7B3F00"/>
        </w:rPr>
        <w:t xml:space="preserve">REVISED in v11.0. A compliance test is a container, not a single obligation. Sosinna's team builds a test by choosing the </w:t>
      </w:r>
      <w:r>
        <w:rPr>
          <w:b/>
          <w:i/>
          <w:strike w:val="0"/>
          <w:color w:val="7B3F00"/>
        </w:rPr>
        <w:t>regulation</w:t>
      </w:r>
      <w:r>
        <w:rPr>
          <w:b/>
          <w:i/>
          <w:strike w:val="0"/>
          <w:color w:val="7B3F00"/>
        </w:rPr>
        <w:t xml:space="preserve"> it belongs to, naming the </w:t>
      </w:r>
      <w:r>
        <w:rPr>
          <w:b/>
          <w:i/>
          <w:strike w:val="0"/>
          <w:color w:val="7B3F00"/>
        </w:rPr>
        <w:t>rule</w:t>
      </w:r>
      <w:r>
        <w:rPr>
          <w:b/>
          <w:i/>
          <w:strike w:val="0"/>
          <w:color w:val="7B3F00"/>
        </w:rPr>
        <w:t xml:space="preserve"> it covers — the plain-language area of that regulation, for example "ICT Risk Governance &amp; Management" under DORA — and then adding one or more </w:t>
      </w:r>
      <w:r>
        <w:rPr>
          <w:b/>
          <w:i/>
          <w:strike w:val="0"/>
          <w:color w:val="7B3F00"/>
        </w:rPr>
        <w:t>requirements</w:t>
      </w:r>
      <w:r>
        <w:rPr>
          <w:b/>
          <w:i/>
          <w:strike w:val="0"/>
          <w:color w:val="7B3F00"/>
        </w:rPr>
        <w:t xml:space="preserve"> to it. The requirement, not the test, is the unit that carries the detail and the work: each one holds its own ID, name, tagged articles, service lines, notified business unit, schedule, test steps, request list, scope and guidance documents (SA-29). A test with a single requirement remains valid and is the simple case; a test with several is how a broad rule is covered in one place. The hierarchy is therefore </w:t>
      </w:r>
      <w:r>
        <w:rPr>
          <w:b/>
          <w:i/>
          <w:strike w:val="0"/>
          <w:color w:val="7B3F00"/>
        </w:rPr>
        <w:t>Regulation → Rule → Test → Requirement → Article</w:t>
      </w:r>
      <w:r>
        <w:rPr>
          <w:b/>
          <w:i/>
          <w:strike w:val="0"/>
          <w:color w:val="7B3F00"/>
        </w:rPr>
        <w:t>.</w:t>
      </w:r>
      <w:r>
        <w:rPr>
          <w:b w:val="0"/>
          <w:i w:val="0"/>
          <w:strike w:val="0"/>
        </w:rPr>
        <w:t xml:space="preserve"> </w:t>
      </w:r>
      <w:r>
        <w:rPr>
          <w:b w:val="0"/>
          <w:i/>
          <w:strike w:val="0"/>
          <w:color w:val="7B3F00"/>
          <w:sz w:val="16"/>
        </w:rPr>
        <w:t xml:space="preserve"> [Sep 2026 test model]</w:t>
      </w:r>
    </w:p>
    <w:p>
      <w:r>
        <w:rPr>
          <w:b w:val="0"/>
          <w:i/>
          <w:strike w:val="0"/>
          <w:color w:val="7B3F00"/>
        </w:rPr>
        <w:t>Superseded in v11.0, kept for context: "Each compliance test in the platform is based on a Requirement ID — a short code that maps to a specific obligation in MiCA or DORA. For example, TM-01 maps to the transaction monitoring obligations under MiCA Art. 92. These IDs are not permanent: as the regulations evolve, new ones can be added, existing ones can be updated, and old ones can be retired. Sosinna's team manages this library through the Portal." That reading made the test and the requirement the same object, and held Requirement IDs in a central library the test drew from. They are now two levels, and the requirement is authored inside the test — see SA-30.</w:t>
      </w:r>
      <w:r>
        <w:rPr>
          <w:b w:val="0"/>
          <w:i w:val="0"/>
          <w:strike w:val="0"/>
        </w:rPr>
        <w:t xml:space="preserve"> </w:t>
      </w:r>
      <w:r>
        <w:rPr>
          <w:b w:val="0"/>
          <w:i/>
          <w:strike w:val="0"/>
          <w:color w:val="7B3F00"/>
          <w:sz w:val="16"/>
        </w:rPr>
        <w:t xml:space="preserve"> [Sep 2026 test model]</w:t>
      </w:r>
    </w:p>
    <w:p>
      <w:r>
        <w:rPr>
          <w:b/>
          <w:i w:val="0"/>
          <w:strike w:val="0"/>
          <w:color w:val="1155CC"/>
        </w:rPr>
        <w:t>[SA-02]</w:t>
      </w:r>
      <w:r>
        <w:rPr>
          <w:b w:val="0"/>
          <w:i w:val="0"/>
          <w:strike w:val="0"/>
        </w:rPr>
        <w:t xml:space="preserve"> </w:t>
      </w:r>
      <w:r>
        <w:rPr>
          <w:b/>
          <w:i/>
          <w:strike w:val="0"/>
          <w:color w:val="7B3F00"/>
        </w:rPr>
        <w:t>For each requirement inside a test — not for the test as a whole</w:t>
      </w:r>
      <w:r>
        <w:rPr>
          <w:b w:val="0"/>
          <w:i w:val="0"/>
          <w:strike w:val="0"/>
        </w:rPr>
        <w:t xml:space="preserve"> </w:t>
      </w:r>
      <w:r>
        <w:rPr>
          <w:b w:val="0"/>
          <w:i/>
          <w:strike w:val="0"/>
          <w:color w:val="7B3F00"/>
          <w:sz w:val="16"/>
        </w:rPr>
        <w:t xml:space="preserve"> [Sep 2026 test model]</w:t>
      </w:r>
      <w:r>
        <w:rPr>
          <w:b w:val="0"/>
          <w:i w:val="0"/>
          <w:strike w:val="0"/>
        </w:rPr>
        <w:t xml:space="preserve">, Sosinna's team builds the step-by-step test procedure: the exact sequence of steps a compliance officer follows, what documents they need to collect at each step, </w:t>
      </w:r>
      <w:r>
        <w:rPr>
          <w:b/>
          <w:i/>
          <w:strike w:val="0"/>
          <w:color w:val="2E7D32"/>
        </w:rPr>
        <w:t>whether that step requires a sample to be tested or no sampling at all, and where sampling applies, what the minimum sample size for that step is. REVISED in v10.0: sampling applicability is authored per step rather than per procedure — see SA-27. Superseded wording: "whether they need to test a sample of transactions or review everything, and what the minimum sample size is", which described the procedure as a whole and left no way to mark an individual step as needing no sample.</w:t>
      </w:r>
      <w:r>
        <w:rPr>
          <w:b w:val="0"/>
          <w:i w:val="0"/>
          <w:strike w:val="0"/>
        </w:rPr>
        <w:t xml:space="preserve"> </w:t>
      </w:r>
      <w:r>
        <w:rPr>
          <w:b w:val="0"/>
          <w:i/>
          <w:strike w:val="0"/>
          <w:color w:val="2E7D32"/>
          <w:sz w:val="16"/>
        </w:rPr>
        <w:t xml:space="preserve"> [Sep 2026 model revision]</w:t>
      </w:r>
      <w:r>
        <w:rPr>
          <w:b w:val="0"/>
          <w:i w:val="0"/>
          <w:strike w:val="0"/>
        </w:rPr>
        <w:t xml:space="preserve"> When a procedure is updated, a new version is created — the old version is never deleted. </w:t>
      </w:r>
      <w:r>
        <w:rPr>
          <w:b/>
          <w:i/>
          <w:strike w:val="0"/>
          <w:color w:val="7B3F00"/>
        </w:rPr>
        <w:t>v11.0: steps belong to a requirement, so a test's steps are the sum of its requirements' steps and a tester working one requirement sees only that requirement's steps. The Portal's authoring surface shows a step count against each requirement for this reason.</w:t>
      </w:r>
      <w:r>
        <w:rPr>
          <w:b w:val="0"/>
          <w:i w:val="0"/>
          <w:strike w:val="0"/>
        </w:rPr>
        <w:t xml:space="preserve"> </w:t>
      </w:r>
      <w:r>
        <w:rPr>
          <w:b w:val="0"/>
          <w:i/>
          <w:strike w:val="0"/>
          <w:color w:val="7B3F00"/>
          <w:sz w:val="16"/>
        </w:rPr>
        <w:t xml:space="preserve"> [Sep 2026 test model]</w:t>
      </w:r>
    </w:p>
    <w:p>
      <w:r>
        <w:rPr>
          <w:b/>
          <w:i w:val="0"/>
          <w:strike w:val="0"/>
          <w:color w:val="1155CC"/>
        </w:rPr>
        <w:t>[SA-28]</w:t>
      </w:r>
      <w:r>
        <w:rPr>
          <w:b w:val="0"/>
          <w:i w:val="0"/>
          <w:strike w:val="0"/>
        </w:rPr>
        <w:t xml:space="preserve"> </w:t>
      </w:r>
      <w:r>
        <w:rPr>
          <w:b/>
          <w:i/>
          <w:strike w:val="0"/>
          <w:color w:val="7B3F00"/>
        </w:rPr>
        <w:t xml:space="preserve">A test is created in the Portal as a draft and carries three things of its own: the </w:t>
      </w:r>
      <w:r>
        <w:rPr>
          <w:b/>
          <w:i/>
          <w:strike w:val="0"/>
          <w:color w:val="7B3F00"/>
        </w:rPr>
        <w:t>regulation</w:t>
      </w:r>
      <w:r>
        <w:rPr>
          <w:b/>
          <w:i/>
          <w:strike w:val="0"/>
          <w:color w:val="7B3F00"/>
        </w:rPr>
        <w:t xml:space="preserve"> it belongs to, chosen from the published regulation library (SA-14); the </w:t>
      </w:r>
      <w:r>
        <w:rPr>
          <w:b/>
          <w:i/>
          <w:strike w:val="0"/>
          <w:color w:val="7B3F00"/>
        </w:rPr>
        <w:t>rule</w:t>
      </w:r>
      <w:r>
        <w:rPr>
          <w:b/>
          <w:i/>
          <w:strike w:val="0"/>
          <w:color w:val="7B3F00"/>
        </w:rPr>
        <w:t xml:space="preserve"> it covers, entered by the author as the name of the area of that regulation the test addresses; and an ordered set of </w:t>
      </w:r>
      <w:r>
        <w:rPr>
          <w:b/>
          <w:i/>
          <w:strike w:val="0"/>
          <w:color w:val="7B3F00"/>
        </w:rPr>
        <w:t>requirements</w:t>
      </w:r>
      <w:r>
        <w:rPr>
          <w:b/>
          <w:i/>
          <w:strike w:val="0"/>
          <w:color w:val="7B3F00"/>
        </w:rPr>
        <w:t>, added, reordered and removed while the test is in draft. A test must carry at least one requirement before it can be submitted for review. The draft goes through the same SA-04 review-and-publish gate as any other test change, and no firm sees it until it is published.</w:t>
      </w:r>
      <w:r>
        <w:rPr>
          <w:b w:val="0"/>
          <w:i w:val="0"/>
          <w:strike w:val="0"/>
        </w:rPr>
        <w:t xml:space="preserve"> </w:t>
      </w:r>
      <w:r>
        <w:rPr>
          <w:b w:val="0"/>
          <w:i/>
          <w:strike w:val="0"/>
          <w:color w:val="7B3F00"/>
          <w:sz w:val="16"/>
        </w:rPr>
        <w:t xml:space="preserve"> [Sep 2026 test model]</w:t>
      </w:r>
    </w:p>
    <w:p>
      <w:r>
        <w:rPr>
          <w:b/>
          <w:i w:val="0"/>
          <w:strike w:val="0"/>
          <w:color w:val="1155CC"/>
        </w:rPr>
        <w:t>[SA-29]</w:t>
      </w:r>
      <w:r>
        <w:rPr>
          <w:b w:val="0"/>
          <w:i w:val="0"/>
          <w:strike w:val="0"/>
        </w:rPr>
        <w:t xml:space="preserve"> </w:t>
      </w:r>
      <w:r>
        <w:rPr>
          <w:b/>
          <w:i/>
          <w:strike w:val="0"/>
          <w:color w:val="7B3F00"/>
        </w:rPr>
        <w:t>Each requirement inside a test carries its own full details, authored independently of every other requirement in the same test:</w:t>
      </w:r>
      <w:r>
        <w:rPr>
          <w:b w:val="0"/>
          <w:i w:val="0"/>
          <w:strike w:val="0"/>
        </w:rPr>
        <w:t xml:space="preserve"> </w:t>
      </w:r>
      <w:r>
        <w:rPr>
          <w:b w:val="0"/>
          <w:i/>
          <w:strike w:val="0"/>
          <w:color w:val="7B3F00"/>
          <w:sz w:val="16"/>
        </w:rPr>
        <w:t xml:space="preserve"> [Sep 2026 test model]</w:t>
      </w:r>
    </w:p>
    <w:tbl>
      <w:tblPr>
        <w:tblStyle w:val="TableGrid"/>
        <w:tblW w:type="auto" w:w="0"/>
        <w:tblLook w:firstColumn="1" w:firstRow="1" w:lastColumn="0" w:lastRow="0" w:noHBand="0" w:noVBand="1" w:val="04A0"/>
      </w:tblPr>
      <w:tblGrid>
        <w:gridCol w:w="8640"/>
      </w:tblGrid>
      <w:tr>
        <w:tc>
          <w:tcPr>
            <w:tcW w:type="dxa" w:w="8640"/>
            <w:shd w:val="clear" w:fill="DDEBF7"/>
          </w:tcPr>
          <w:p>
            <w:pPr>
              <w:pStyle w:val="ListBullet"/>
            </w:pPr>
            <w:r>
              <w:rPr>
                <w:b/>
                <w:i/>
                <w:strike w:val="0"/>
              </w:rPr>
              <w:t xml:space="preserve">Requirement ID and requirement name — the short code and the plain-language title, for example </w:t>
            </w:r>
            <w:r>
              <w:rPr>
                <w:rFonts w:ascii="Consolas" w:hAnsi="Consolas"/>
                <w:b/>
                <w:i/>
                <w:strike w:val="0"/>
                <w:sz w:val="18"/>
              </w:rPr>
              <w:t>DORA GOV 001</w:t>
            </w:r>
            <w:r>
              <w:rPr>
                <w:b/>
                <w:i/>
                <w:strike w:val="0"/>
              </w:rPr>
              <w:t xml:space="preserve"> / "Governance framework review and board-level ICT risk oversight" (see SA-30).</w:t>
            </w:r>
          </w:p>
          <w:p>
            <w:pPr>
              <w:pStyle w:val="ListBullet"/>
            </w:pPr>
            <w:r>
              <w:rPr>
                <w:b/>
                <w:i/>
                <w:strike w:val="0"/>
              </w:rPr>
              <w:t>Articles — a mandatory multi-select of the regulation articles this requirement demonstrates, tagged to paragraph level where the regulation is structured that way (for example DORA Art. 5 and DORA Art. 6(1)). This is the link between the requirement and the legal text, and it is what regulation-change alerts key on under SA-03.</w:t>
            </w:r>
          </w:p>
          <w:p>
            <w:pPr>
              <w:pStyle w:val="ListBullet"/>
            </w:pPr>
            <w:r>
              <w:rPr>
                <w:b/>
                <w:i/>
                <w:strike w:val="0"/>
              </w:rPr>
              <w:t>Service lines — which of the ten CASP service lines the requirement applies to, which decides which firms receive it (SA-26, FR-145).</w:t>
            </w:r>
          </w:p>
          <w:p>
            <w:pPr>
              <w:pStyle w:val="ListBullet"/>
            </w:pPr>
            <w:r>
              <w:rPr>
                <w:b/>
                <w:i/>
                <w:strike w:val="0"/>
              </w:rPr>
              <w:t>Business unit notified — the unit that receives the announcement and the evidence requests for this requirement (FR-82 as revised).</w:t>
            </w:r>
          </w:p>
          <w:p>
            <w:pPr>
              <w:pStyle w:val="ListBullet"/>
            </w:pPr>
            <w:r>
              <w:rPr>
                <w:b/>
                <w:i/>
                <w:strike w:val="0"/>
              </w:rPr>
              <w:t>Schedule — either a recurring frequency (monthly, quarterly, annual and so on) or a one-off custom window with fixed start and end dates. The schedule is per requirement, so one test may hold requirements that fall due at different times (FR-146).</w:t>
            </w:r>
          </w:p>
          <w:p>
            <w:pPr>
              <w:pStyle w:val="ListBullet"/>
            </w:pPr>
            <w:r>
              <w:rPr>
                <w:b/>
                <w:i/>
                <w:strike w:val="0"/>
              </w:rPr>
              <w:t>Test steps — the SA-02 procedure, including each step's sampling applicability flag (SA-27).</w:t>
            </w:r>
          </w:p>
          <w:p>
            <w:pPr>
              <w:pStyle w:val="ListBullet"/>
            </w:pPr>
            <w:r>
              <w:rPr>
                <w:b/>
                <w:i/>
                <w:strike w:val="0"/>
              </w:rPr>
              <w:t>Request list — the documents and records this requirement needs from the business unit (FR-25, FR-131 as revised).</w:t>
            </w:r>
          </w:p>
          <w:p>
            <w:pPr>
              <w:pStyle w:val="ListBullet"/>
            </w:pPr>
            <w:r>
              <w:rPr>
                <w:b/>
                <w:i/>
                <w:strike w:val="0"/>
              </w:rPr>
              <w:t>Scope — the article subset and date-range guidance for this requirement (FR-105 as revised).</w:t>
            </w:r>
          </w:p>
          <w:p>
            <w:pPr>
              <w:pStyle w:val="ListBullet"/>
            </w:pPr>
            <w:r>
              <w:rPr>
                <w:b/>
                <w:i/>
                <w:strike w:val="0"/>
              </w:rPr>
              <w:t>Guidance documents — reference material attached to the requirement for the tester's benefit, uploaded and versioned in the Portal (SA-32).</w:t>
            </w:r>
          </w:p>
        </w:tc>
      </w:tr>
    </w:tbl>
    <w:p>
      <w:r>
        <w:rPr>
          <w:b/>
          <w:i w:val="0"/>
          <w:strike w:val="0"/>
          <w:color w:val="1155CC"/>
        </w:rPr>
        <w:t>[SA-30]</w:t>
      </w:r>
      <w:r>
        <w:rPr>
          <w:b w:val="0"/>
          <w:i w:val="0"/>
          <w:strike w:val="0"/>
        </w:rPr>
        <w:t xml:space="preserve"> </w:t>
      </w:r>
      <w:r>
        <w:rPr>
          <w:b/>
          <w:i/>
          <w:strike w:val="0"/>
          <w:color w:val="7B3F00"/>
        </w:rPr>
        <w:t xml:space="preserve">Requirement IDs are authored inside the test rather than drawn from a separate central library. The author types the ID — the convention is regulation-prefixed and area-coded, for example </w:t>
      </w:r>
      <w:r>
        <w:rPr>
          <w:rFonts w:ascii="Consolas" w:hAnsi="Consolas"/>
          <w:b/>
          <w:i/>
          <w:strike w:val="0"/>
          <w:color w:val="7B3F00"/>
          <w:sz w:val="18"/>
        </w:rPr>
        <w:t>DORA GOV 001</w:t>
      </w:r>
      <w:r>
        <w:rPr>
          <w:b/>
          <w:i/>
          <w:strike w:val="0"/>
          <w:color w:val="7B3F00"/>
        </w:rPr>
        <w:t xml:space="preserve"> — and it must be unique within its regulation, with the Portal rejecting a duplicate at entry. REVISED in v11.0: this retires the standing central Requirement ID library described in the superseded half of SA-01. The consequence is that the link from a requirement to the legal text is the article tag, not the ID: the ID is a label and a reference for reporting, while the articles are what SA-03 change detection, FR-40 finding attribution and the report's regulation mapping all resolve against. A retired requirement ID is never reissued, and a requirement already run by a firm is retained with the test version it belonged to.</w:t>
      </w:r>
      <w:r>
        <w:rPr>
          <w:b w:val="0"/>
          <w:i w:val="0"/>
          <w:strike w:val="0"/>
        </w:rPr>
        <w:t xml:space="preserve"> </w:t>
      </w:r>
      <w:r>
        <w:rPr>
          <w:b w:val="0"/>
          <w:i/>
          <w:strike w:val="0"/>
          <w:color w:val="7B3F00"/>
          <w:sz w:val="16"/>
        </w:rPr>
        <w:t xml:space="preserve"> [Sep 2026 test model]</w:t>
      </w:r>
    </w:p>
    <w:p>
      <w:r>
        <w:rPr>
          <w:b/>
          <w:i w:val="0"/>
          <w:strike w:val="0"/>
          <w:color w:val="1155CC"/>
        </w:rPr>
        <w:t>[SA-32]</w:t>
      </w:r>
      <w:r>
        <w:rPr>
          <w:b w:val="0"/>
          <w:i w:val="0"/>
          <w:strike w:val="0"/>
        </w:rPr>
        <w:t xml:space="preserve"> </w:t>
      </w:r>
      <w:r>
        <w:rPr>
          <w:b/>
          <w:i/>
          <w:strike w:val="0"/>
          <w:color w:val="7B3F00"/>
        </w:rPr>
        <w:t>A requirement can carry guidance documents — reference material the Platform Super Admin uploads for the tester: interpretation notes, regulator guidance, worked examples, templates. They are attached to the requirement, versioned with the test under SA-04, and are visible to the assigned tester alongside the steps. They are reference material and never evidence: a guidance document is not uploaded by a firm, is not part of the request list, and does not enter the Section 7.3 evidence record.</w:t>
      </w:r>
      <w:r>
        <w:rPr>
          <w:b w:val="0"/>
          <w:i w:val="0"/>
          <w:strike w:val="0"/>
        </w:rPr>
        <w:t xml:space="preserve"> </w:t>
      </w:r>
      <w:r>
        <w:rPr>
          <w:b w:val="0"/>
          <w:i/>
          <w:strike w:val="0"/>
          <w:color w:val="7B3F00"/>
          <w:sz w:val="16"/>
        </w:rPr>
        <w:t xml:space="preserve"> [Sep 2026 test model]</w:t>
      </w:r>
    </w:p>
    <w:p>
      <w:r>
        <w:rPr>
          <w:b/>
          <w:i w:val="0"/>
          <w:strike w:val="0"/>
          <w:color w:val="1155CC"/>
        </w:rPr>
        <w:t>[SA-03]</w:t>
      </w:r>
      <w:r>
        <w:rPr>
          <w:b w:val="0"/>
          <w:i w:val="0"/>
          <w:strike w:val="0"/>
        </w:rPr>
        <w:t xml:space="preserve"> The platform automatically watches the official publication pages of EUR-Lex, the EBA, the ESMA, and key national regulators for changes to the MiCA and DORA rules. When a change is detected, the Portal alerts Sosinna's team to review the affected tests before any update is pushed out to firms. </w:t>
      </w:r>
      <w:r>
        <w:rPr>
          <w:b/>
          <w:i/>
          <w:strike w:val="0"/>
          <w:color w:val="7B3F00"/>
        </w:rPr>
        <w:t>v11.0: "affected" is now resolved through the article tags on each requirement (SA-29). A change to DORA Art. 6(1) surfaces every requirement tagged to that article, in whichever test it sits, and the alert names the test, the requirement and the article. With the central Requirement ID library retired under SA-30, the article tag is the only route from a regulatory change to the tests that depend on it — which makes tagging mandatory at authoring rather than a convenience.</w:t>
      </w:r>
      <w:r>
        <w:rPr>
          <w:b w:val="0"/>
          <w:i w:val="0"/>
          <w:strike w:val="0"/>
        </w:rPr>
        <w:t xml:space="preserve"> </w:t>
      </w:r>
      <w:r>
        <w:rPr>
          <w:b w:val="0"/>
          <w:i/>
          <w:strike w:val="0"/>
          <w:color w:val="7B3F00"/>
          <w:sz w:val="16"/>
        </w:rPr>
        <w:t xml:space="preserve"> [Sep 2026 test model]</w:t>
      </w:r>
    </w:p>
    <w:p>
      <w:r>
        <w:rPr>
          <w:b/>
          <w:i w:val="0"/>
          <w:strike w:val="0"/>
        </w:rPr>
        <w:t>💬 Sosinna's comment (already incorporated into scope):</w:t>
      </w:r>
      <w:r>
        <w:rPr>
          <w:b w:val="0"/>
          <w:i w:val="0"/>
          <w:strike w:val="0"/>
        </w:rPr>
        <w:t xml:space="preserve"> </w:t>
      </w:r>
      <w:r>
        <w:rPr>
          <w:b w:val="0"/>
          <w:i/>
          <w:strike w:val="0"/>
          <w:color w:val="C55A11"/>
        </w:rPr>
        <w:t>the Portal must also feature a structured manual input interface so the Client's team can enter regulatory changes by hand. Automated monitoring for the MVP is strictly limited to standard RSS feeds or official public API alerts from EUR-Lex, the EBA, and ESMA — no custom HTML web-scraping or brittle layout-parsing engines. Jomin acknowledged this on the doc ("Noted").</w:t>
      </w:r>
      <w:r>
        <w:rPr>
          <w:b w:val="0"/>
          <w:i w:val="0"/>
          <w:strike w:val="0"/>
        </w:rPr>
        <w:t xml:space="preserve"> </w:t>
      </w:r>
      <w:r>
        <w:rPr>
          <w:b w:val="0"/>
          <w:i/>
          <w:strike w:val="0"/>
          <w:color w:val="C55A11"/>
          <w:sz w:val="16"/>
        </w:rPr>
        <w:t xml:space="preserve"> [Sosinna's Drive comment]</w:t>
      </w:r>
    </w:p>
    <w:p>
      <w:r>
        <w:rPr>
          <w:b/>
          <w:i w:val="0"/>
          <w:strike w:val="0"/>
        </w:rPr>
        <w:t>📞 From the 25 Jun call:</w:t>
      </w:r>
      <w:r>
        <w:rPr>
          <w:b w:val="0"/>
          <w:i w:val="0"/>
          <w:strike w:val="0"/>
        </w:rPr>
        <w:t xml:space="preserve"> </w:t>
      </w:r>
      <w:r>
        <w:rPr>
          <w:b w:val="0"/>
          <w:i/>
          <w:strike w:val="0"/>
          <w:color w:val="1155CC"/>
        </w:rPr>
        <w:t>Sosinna wants the effective date and the date-of-download recorded against every fetched rule, so her team can confirm they're looking at the most recent version. If the API detects something new, her team gets an alert and confirms before it's published to firms — same human-in-the-loop pattern as SA-04.</w:t>
      </w:r>
      <w:r>
        <w:rPr>
          <w:b w:val="0"/>
          <w:i w:val="0"/>
          <w:strike w:val="0"/>
        </w:rPr>
        <w:t xml:space="preserve"> </w:t>
      </w:r>
      <w:r>
        <w:rPr>
          <w:b w:val="0"/>
          <w:i/>
          <w:strike w:val="0"/>
          <w:color w:val="1155CC"/>
          <w:sz w:val="16"/>
        </w:rPr>
        <w:t xml:space="preserve"> [25 Jun FRD call]</w:t>
      </w:r>
    </w:p>
    <w:p>
      <w:r>
        <w:rPr>
          <w:b/>
          <w:i w:val="0"/>
          <w:strike w:val="0"/>
          <w:color w:val="1155CC"/>
        </w:rPr>
        <w:t>[SA-04]</w:t>
      </w:r>
      <w:r>
        <w:rPr>
          <w:b w:val="0"/>
          <w:i w:val="0"/>
          <w:strike w:val="0"/>
        </w:rPr>
        <w:t xml:space="preserve"> Every change to a test procedure goes through a review step before it is published. Once published, firms are notified. Any firm that is currently mid-way through running that test continues with the version they started — they are not interrupted by the update. </w:t>
      </w:r>
      <w:r>
        <w:rPr>
          <w:b/>
          <w:i/>
          <w:strike w:val="0"/>
          <w:color w:val="CC00CC"/>
        </w:rPr>
        <w:t>CONFIRMED on 14 Aug 2026: any change made to a test is versioned and recorded. This is the SA-02 / SA-04 behaviour restated by the client; no change.</w:t>
      </w:r>
      <w:r>
        <w:rPr>
          <w:b w:val="0"/>
          <w:i w:val="0"/>
          <w:strike w:val="0"/>
        </w:rPr>
        <w:t xml:space="preserve"> </w:t>
      </w:r>
      <w:r>
        <w:rPr>
          <w:b w:val="0"/>
          <w:i/>
          <w:strike w:val="0"/>
          <w:color w:val="CC00CC"/>
          <w:sz w:val="16"/>
        </w:rPr>
        <w:t xml:space="preserve"> [14 Aug 2026 MOM]</w:t>
      </w:r>
    </w:p>
    <w:p>
      <w:r>
        <w:rPr>
          <w:b/>
          <w:i w:val="0"/>
          <w:strike w:val="0"/>
          <w:color w:val="1155CC"/>
        </w:rPr>
        <w:t>[SA-22]</w:t>
      </w:r>
      <w:r>
        <w:rPr>
          <w:b w:val="0"/>
          <w:i w:val="0"/>
          <w:strike w:val="0"/>
        </w:rPr>
        <w:t xml:space="preserve"> </w:t>
      </w:r>
      <w:r>
        <w:rPr>
          <w:b/>
          <w:i/>
          <w:strike w:val="0"/>
          <w:color w:val="CC00CC"/>
        </w:rPr>
        <w:t>The Platform Super Admin can clone an existing test and create it as a new one — the step-by-step procedure, evidence checklist, sampling guidance and tags are copied into a new test that is then edited independently. The platform records the clone history: which test it was cloned from, which version, by whom and when, so a test's ancestry is always traceable. A clone is a new test, not a new version of the source — it goes through the same SA-04 review-and-publish gate before any firm sees it.</w:t>
      </w:r>
      <w:r>
        <w:rPr>
          <w:b w:val="0"/>
          <w:i w:val="0"/>
          <w:strike w:val="0"/>
        </w:rPr>
        <w:t xml:space="preserve"> </w:t>
      </w:r>
      <w:r>
        <w:rPr>
          <w:b w:val="0"/>
          <w:i/>
          <w:strike w:val="0"/>
          <w:color w:val="CC00CC"/>
          <w:sz w:val="16"/>
        </w:rPr>
        <w:t xml:space="preserve"> [14 Aug 2026 MOM]</w:t>
      </w:r>
      <w:r>
        <w:rPr>
          <w:b w:val="0"/>
          <w:i w:val="0"/>
          <w:strike w:val="0"/>
        </w:rPr>
        <w:t xml:space="preserve"> </w:t>
      </w:r>
      <w:r>
        <w:rPr>
          <w:b/>
          <w:i/>
          <w:strike w:val="0"/>
          <w:color w:val="7B3F00"/>
        </w:rPr>
        <w:t>v11.0: a clone copies the whole structure — the regulation, the rule, and every requirement with its articles, service lines, business unit, schedule, steps, request list, scope and guidance documents. Requirement IDs cannot be copied verbatim, since SA-30 requires them to be unique within a regulation: the clone opens with each requirement ID flagged for the author to change before the test can be submitted for review.</w:t>
      </w:r>
      <w:r>
        <w:rPr>
          <w:b w:val="0"/>
          <w:i w:val="0"/>
          <w:strike w:val="0"/>
        </w:rPr>
        <w:t xml:space="preserve"> </w:t>
      </w:r>
      <w:r>
        <w:rPr>
          <w:b w:val="0"/>
          <w:i/>
          <w:strike w:val="0"/>
          <w:color w:val="7B3F00"/>
          <w:sz w:val="16"/>
        </w:rPr>
        <w:t xml:space="preserve"> [Sep 2026 test model]</w:t>
      </w:r>
    </w:p>
    <w:p>
      <w:pPr>
        <w:pStyle w:val="Heading2"/>
      </w:pPr>
      <w:r>
        <w:t>4.2 The Sampling Methodology Library</w:t>
      </w:r>
    </w:p>
    <w:p>
      <w:r>
        <w:rPr>
          <w:b w:val="0"/>
          <w:i w:val="0"/>
          <w:strike w:val="0"/>
        </w:rPr>
        <w:t>Many compliance tests do not check every single transaction or record — they check a representative sample. The methodology used to select that sample matters: it needs to be defensible to a regulator. The Portal contains a library of pre-approved sampling methodology descriptions — plain-language explanations of how the sample was selected — that compliance officers can choose from when running a test.</w:t>
      </w:r>
    </w:p>
    <w:p>
      <w:r>
        <w:rPr>
          <w:b/>
          <w:i/>
          <w:strike w:val="0"/>
          <w:color w:val="2E7D32"/>
        </w:rPr>
        <w:t>Not every step samples anything. Some steps have no population to draw from at all — confirming that a policy document exists and carries board approval, checking that a register is maintained, verifying that a single annual filing was made. These steps are validated on the evidence produced and the tester's observation, and nothing is sampled because there is nothing to sample from. This is a different thing from the "Full population review" methodology below: full-population review is a sampling decision, in which the whole set was deliberately checked and the size of that set is recorded, whereas a no-sampling step is not a population test in the first place and produces no sample figures at all. Which of the two applies is decided per step when the procedure is authored — see SA-27 and FR-142.</w:t>
      </w:r>
      <w:r>
        <w:rPr>
          <w:b w:val="0"/>
          <w:i w:val="0"/>
          <w:strike w:val="0"/>
        </w:rPr>
        <w:t xml:space="preserve"> </w:t>
      </w:r>
      <w:r>
        <w:rPr>
          <w:b w:val="0"/>
          <w:i/>
          <w:strike w:val="0"/>
          <w:color w:val="2E7D32"/>
          <w:sz w:val="16"/>
        </w:rPr>
        <w:t xml:space="preserve"> [Sep 2026 model revision]</w:t>
      </w:r>
    </w:p>
    <w:p>
      <w:r>
        <w:rPr>
          <w:b w:val="0"/>
          <w:i w:val="0"/>
          <w:strike w:val="0"/>
        </w:rPr>
        <w:t>Examples of methodologies in the library:</w:t>
      </w:r>
    </w:p>
    <w:p>
      <w:pPr>
        <w:pStyle w:val="ListBullet"/>
      </w:pPr>
      <w:r>
        <w:rPr>
          <w:b w:val="0"/>
          <w:i w:val="0"/>
          <w:strike w:val="0"/>
        </w:rPr>
        <w:t>Random statistical sampling — records are selected at random, with no judgement applied</w:t>
      </w:r>
    </w:p>
    <w:p>
      <w:pPr>
        <w:pStyle w:val="ListBullet"/>
      </w:pPr>
      <w:r>
        <w:rPr>
          <w:b w:val="0"/>
          <w:i w:val="0"/>
          <w:strike w:val="0"/>
        </w:rPr>
        <w:t>Risk-based judgement sampling — records are selected because they appear higher risk (for example, high-value transactions or flagged customers)</w:t>
      </w:r>
    </w:p>
    <w:p>
      <w:pPr>
        <w:pStyle w:val="ListBullet"/>
      </w:pPr>
      <w:r>
        <w:rPr>
          <w:b w:val="0"/>
          <w:i w:val="0"/>
          <w:strike w:val="0"/>
        </w:rPr>
        <w:t xml:space="preserve">Full population review — every single record is checked (used for small populations or critical tests). </w:t>
      </w:r>
      <w:r>
        <w:rPr>
          <w:b/>
          <w:i/>
          <w:strike w:val="0"/>
          <w:color w:val="2E7D32"/>
        </w:rPr>
        <w:t>This remains a sampling decision and still records the population size; it is not the same as a step that requires no sampling.</w:t>
      </w:r>
      <w:r>
        <w:rPr>
          <w:b w:val="0"/>
          <w:i w:val="0"/>
          <w:strike w:val="0"/>
        </w:rPr>
        <w:t xml:space="preserve"> </w:t>
      </w:r>
      <w:r>
        <w:rPr>
          <w:b w:val="0"/>
          <w:i/>
          <w:strike w:val="0"/>
          <w:color w:val="2E7D32"/>
          <w:sz w:val="16"/>
        </w:rPr>
        <w:t xml:space="preserve"> [Sep 2026 model revision]</w:t>
      </w:r>
    </w:p>
    <w:p>
      <w:pPr>
        <w:pStyle w:val="ListBullet"/>
      </w:pPr>
      <w:r>
        <w:rPr>
          <w:b w:val="0"/>
          <w:i w:val="0"/>
          <w:strike w:val="0"/>
        </w:rPr>
        <w:t>Stratified sampling — the population is divided into groups and a sample is taken from each group</w:t>
      </w:r>
    </w:p>
    <w:p>
      <w:r>
        <w:rPr>
          <w:b/>
          <w:i w:val="0"/>
          <w:strike w:val="0"/>
          <w:color w:val="1155CC"/>
        </w:rPr>
        <w:t>[SA-05]</w:t>
      </w:r>
      <w:r>
        <w:rPr>
          <w:b w:val="0"/>
          <w:i w:val="0"/>
          <w:strike w:val="0"/>
        </w:rPr>
        <w:t xml:space="preserve"> The sampling methodology library is managed by Sosinna's team in the Portal. New methodologies can be added, existing ones can be edited, and guidance notes can be attached to each one. When a compliance officer runs a test, they select the methodology that best fits what they are doing — they do not write their own description from scratch. </w:t>
      </w:r>
      <w:r>
        <w:rPr>
          <w:b/>
          <w:i/>
          <w:strike w:val="0"/>
          <w:color w:val="2E7D32"/>
        </w:rPr>
        <w:t>REVISED in v10.0: methodology selection applies only to steps flagged as requiring sampling under SA-27. On a step flagged as requiring none, no methodology is offered and none is recorded.</w:t>
      </w:r>
      <w:r>
        <w:rPr>
          <w:b w:val="0"/>
          <w:i w:val="0"/>
          <w:strike w:val="0"/>
        </w:rPr>
        <w:t xml:space="preserve"> </w:t>
      </w:r>
      <w:r>
        <w:rPr>
          <w:b w:val="0"/>
          <w:i/>
          <w:strike w:val="0"/>
          <w:color w:val="2E7D32"/>
          <w:sz w:val="16"/>
        </w:rPr>
        <w:t xml:space="preserve"> [Sep 2026 model revision]</w:t>
      </w:r>
    </w:p>
    <w:p>
      <w:r>
        <w:rPr>
          <w:b/>
          <w:i w:val="0"/>
          <w:strike w:val="0"/>
          <w:color w:val="1155CC"/>
        </w:rPr>
        <w:t>[SA-27]</w:t>
      </w:r>
      <w:r>
        <w:rPr>
          <w:b w:val="0"/>
          <w:i w:val="0"/>
          <w:strike w:val="0"/>
        </w:rPr>
        <w:t xml:space="preserve"> </w:t>
      </w:r>
      <w:r>
        <w:rPr>
          <w:b/>
          <w:i/>
          <w:strike w:val="0"/>
          <w:color w:val="2E7D32"/>
        </w:rPr>
        <w:t xml:space="preserve">Every step in a test procedure carries a sampling applicability flag, set by the Platform Super Admin when the procedure is authored: either </w:t>
      </w:r>
      <w:r>
        <w:rPr>
          <w:b/>
          <w:i/>
          <w:strike w:val="0"/>
          <w:color w:val="2E7D32"/>
        </w:rPr>
        <w:t>sampling required</w:t>
      </w:r>
      <w:r>
        <w:rPr>
          <w:b/>
          <w:i/>
          <w:strike w:val="0"/>
          <w:color w:val="2E7D32"/>
        </w:rPr>
        <w:t xml:space="preserve">, with the minimum sample size for that step, or </w:t>
      </w:r>
      <w:r>
        <w:rPr>
          <w:b/>
          <w:i/>
          <w:strike w:val="0"/>
          <w:color w:val="2E7D32"/>
        </w:rPr>
        <w:t>no sampling</w:t>
      </w:r>
      <w:r>
        <w:rPr>
          <w:b/>
          <w:i/>
          <w:strike w:val="0"/>
          <w:color w:val="2E7D32"/>
        </w:rPr>
        <w:t>. The flag is part of the versioned procedure under SA-02 and passes through the SA-04 review-and-publish gate like any other change, which means it cannot shift underneath a firm already running that version of the test. It is what drives the tester's surface at execution: a step flagged as requiring sampling shows the sample fields and enforces the minimum; a step flagged as requiring none shows neither — see FR-142.</w:t>
      </w:r>
      <w:r>
        <w:rPr>
          <w:b w:val="0"/>
          <w:i w:val="0"/>
          <w:strike w:val="0"/>
        </w:rPr>
        <w:t xml:space="preserve"> </w:t>
      </w:r>
      <w:r>
        <w:rPr>
          <w:b w:val="0"/>
          <w:i/>
          <w:strike w:val="0"/>
          <w:color w:val="2E7D32"/>
          <w:sz w:val="16"/>
        </w:rPr>
        <w:t xml:space="preserve"> [Sep 2026 model revision]</w:t>
      </w:r>
      <w:r>
        <w:rPr>
          <w:b w:val="0"/>
          <w:i w:val="0"/>
          <w:strike w:val="0"/>
        </w:rPr>
        <w:t xml:space="preserve"> </w:t>
      </w:r>
      <w:r>
        <w:rPr>
          <w:b/>
          <w:i/>
          <w:strike w:val="0"/>
          <w:color w:val="7B3F00"/>
        </w:rPr>
        <w:t>v11.0: steps belong to a requirement (SA-02, SA-29), so the flag is set per step of a requirement. Nothing else about it changes.</w:t>
      </w:r>
      <w:r>
        <w:rPr>
          <w:b w:val="0"/>
          <w:i w:val="0"/>
          <w:strike w:val="0"/>
        </w:rPr>
        <w:t xml:space="preserve"> </w:t>
      </w:r>
      <w:r>
        <w:rPr>
          <w:b w:val="0"/>
          <w:i/>
          <w:strike w:val="0"/>
          <w:color w:val="7B3F00"/>
          <w:sz w:val="16"/>
        </w:rPr>
        <w:t xml:space="preserve"> [Sep 2026 test model]</w:t>
      </w:r>
    </w:p>
    <w:p>
      <w:pPr>
        <w:pStyle w:val="Heading2"/>
      </w:pPr>
      <w:r>
        <w:t>4.3 Client Firm Management</w:t>
      </w:r>
    </w:p>
    <w:p>
      <w:r>
        <w:rPr>
          <w:b/>
          <w:i w:val="0"/>
          <w:strike w:val="0"/>
          <w:color w:val="1155CC"/>
        </w:rPr>
        <w:t>[SA-06]</w:t>
      </w:r>
      <w:r>
        <w:rPr>
          <w:b w:val="0"/>
          <w:i w:val="0"/>
          <w:strike w:val="0"/>
        </w:rPr>
        <w:t xml:space="preserve"> The Portal shows a list of all registered firms: their name, jurisdiction, the services they offer, and when they last used the platform. Sosinna's team can see this overview but cannot access any firm's actual compliance data, test results, or findings — those belong to the firm. </w:t>
      </w:r>
      <w:r>
        <w:rPr>
          <w:b/>
          <w:i w:val="0"/>
          <w:strike w:val="0"/>
        </w:rPr>
        <w:t>📞 From the 25 Jun FRD Review call:</w:t>
      </w:r>
      <w:r>
        <w:rPr>
          <w:b w:val="0"/>
          <w:i w:val="0"/>
          <w:strike w:val="0"/>
        </w:rPr>
        <w:t xml:space="preserve"> </w:t>
      </w:r>
      <w:r>
        <w:rPr>
          <w:b w:val="0"/>
          <w:i/>
          <w:strike w:val="0"/>
          <w:color w:val="1155CC"/>
        </w:rPr>
        <w:t>This visibility boundary needs re-confirming — see the open question added below; Sosinna leaned toward wanting to see "pretty much everything" for MVP, which is broader than this paragraph currently states.</w:t>
      </w:r>
      <w:r>
        <w:rPr>
          <w:b w:val="0"/>
          <w:i w:val="0"/>
          <w:strike w:val="0"/>
        </w:rPr>
        <w:t xml:space="preserve"> </w:t>
      </w:r>
      <w:r>
        <w:rPr>
          <w:b w:val="0"/>
          <w:i/>
          <w:strike w:val="0"/>
          <w:color w:val="1155CC"/>
          <w:sz w:val="16"/>
        </w:rPr>
        <w:t xml:space="preserve"> [25 Jun FRD call]</w:t>
      </w:r>
    </w:p>
    <w:p>
      <w:r>
        <w:rPr>
          <w:b/>
          <w:i w:val="0"/>
          <w:strike w:val="0"/>
          <w:color w:val="1155CC"/>
        </w:rPr>
        <w:t>[SA-07]</w:t>
      </w:r>
      <w:r>
        <w:rPr>
          <w:b w:val="0"/>
          <w:i w:val="0"/>
          <w:strike w:val="0"/>
        </w:rPr>
        <w:t xml:space="preserve"> </w:t>
      </w:r>
      <w:r>
        <w:rPr>
          <w:b/>
          <w:i/>
          <w:strike w:val="0"/>
          <w:color w:val="7B3F00"/>
        </w:rPr>
        <w:t>REVISED in v11.0. Service line applicability is set on the requirement itself when the test is authored (SA-29), not configured as a separate mapping table. The Portal no longer holds a standing Requirement-ID-to-service-line configuration; the requirement carries its own service lines, and that is what decides which firms receive it (FR-145). Superseded wording: "The Portal handles the configuration of which Requirement IDs apply to which service lines."</w:t>
      </w:r>
      <w:r>
        <w:rPr>
          <w:b w:val="0"/>
          <w:i w:val="0"/>
          <w:strike w:val="0"/>
        </w:rPr>
        <w:t xml:space="preserve"> </w:t>
      </w:r>
      <w:r>
        <w:rPr>
          <w:b w:val="0"/>
          <w:i/>
          <w:strike w:val="0"/>
          <w:color w:val="7B3F00"/>
          <w:sz w:val="16"/>
        </w:rPr>
        <w:t xml:space="preserve"> [Sep 2026 test model]</w:t>
      </w:r>
      <w:r>
        <w:rPr>
          <w:b w:val="0"/>
          <w:i w:val="0"/>
          <w:strike w:val="0"/>
        </w:rPr>
        <w:t xml:space="preserve"> </w:t>
      </w:r>
      <w:r>
        <w:rPr>
          <w:b/>
          <w:i/>
          <w:strike w:val="0"/>
          <w:color w:val="2E7D32"/>
        </w:rPr>
        <w:t>When a firm selects and confirms its service lines at onboarding (FR-140), the platform uses this configuration to automatically load the right set of tests for that firm. REVISED in v10.0: the trigger is the firm's confirmed selection rather than the platform's reading of the uploaded file. Superseded wording: "When a firm uploads their revenue source file and their service lines are identified".</w:t>
      </w:r>
      <w:r>
        <w:rPr>
          <w:b w:val="0"/>
          <w:i w:val="0"/>
          <w:strike w:val="0"/>
        </w:rPr>
        <w:t xml:space="preserve"> </w:t>
      </w:r>
      <w:r>
        <w:rPr>
          <w:b w:val="0"/>
          <w:i/>
          <w:strike w:val="0"/>
          <w:color w:val="2E7D32"/>
          <w:sz w:val="16"/>
        </w:rPr>
        <w:t xml:space="preserve"> [Sep 2026 model revision]</w:t>
      </w:r>
    </w:p>
    <w:p>
      <w:r>
        <w:rPr>
          <w:b/>
          <w:i w:val="0"/>
          <w:strike w:val="0"/>
          <w:color w:val="1155CC"/>
        </w:rPr>
        <w:t>[SA-26]</w:t>
      </w:r>
      <w:r>
        <w:rPr>
          <w:b w:val="0"/>
          <w:i w:val="0"/>
          <w:strike w:val="0"/>
        </w:rPr>
        <w:t xml:space="preserve"> </w:t>
      </w:r>
      <w:r>
        <w:rPr>
          <w:b/>
          <w:i/>
          <w:strike w:val="0"/>
          <w:color w:val="2E7D32"/>
        </w:rPr>
        <w:t xml:space="preserve">The service line master list is maintained in the Portal at Platform Super Admin level. CORRECTED in v11.0: it is the </w:t>
      </w:r>
      <w:r>
        <w:rPr>
          <w:b/>
          <w:i/>
          <w:strike w:val="0"/>
          <w:color w:val="2E7D32"/>
        </w:rPr>
        <w:t>ten CASP service lines</w:t>
      </w:r>
      <w:r>
        <w:rPr>
          <w:b/>
          <w:i/>
          <w:strike w:val="0"/>
          <w:color w:val="2E7D32"/>
        </w:rPr>
        <w:t xml:space="preserve"> defined under MiCA — the crypto-asset services a firm is licensed to provide, for example custody and administration of crypto-assets, or operation of a trading platform — and not the DORA A–H activity list, which the v10.0 text named in error on the strength of the 25 Jun call note. The list is the same across every EU jurisdiction, and it is extensible as the platform scales beyond crypto into other regulated sectors. This list is the source of the options presented to the firm under FR-140 and the left-hand side of the SA-07 service line → Requirement ID mapping. Adding, editing or retiring an entry is versioned and attributed like any other Portal content change, and retiring an entry does not remove it from firms that already selected it — it only stops new firms selecting it.</w:t>
      </w:r>
      <w:r>
        <w:rPr>
          <w:b w:val="0"/>
          <w:i w:val="0"/>
          <w:strike w:val="0"/>
        </w:rPr>
        <w:t xml:space="preserve"> </w:t>
      </w:r>
      <w:r>
        <w:rPr>
          <w:b w:val="0"/>
          <w:i/>
          <w:strike w:val="0"/>
          <w:color w:val="2E7D32"/>
          <w:sz w:val="16"/>
        </w:rPr>
        <w:t xml:space="preserve"> [Sep 2026 model revision]</w:t>
      </w:r>
    </w:p>
    <w:p>
      <w:r>
        <w:rPr>
          <w:b/>
          <w:i w:val="0"/>
          <w:strike w:val="0"/>
          <w:color w:val="1155CC"/>
        </w:rPr>
        <w:t>[SA-08]</w:t>
      </w:r>
      <w:r>
        <w:rPr>
          <w:b w:val="0"/>
          <w:i w:val="0"/>
          <w:strike w:val="0"/>
        </w:rPr>
        <w:t xml:space="preserve"> System-wide settings are managed here: the list of approved evidence file types, the minimum sample rates for different test types, the regulation monitoring sources, and the notification schedules. </w:t>
      </w:r>
      <w:r>
        <w:rPr>
          <w:b/>
          <w:i w:val="0"/>
          <w:strike w:val="0"/>
        </w:rPr>
        <w:t>📞 From the 25 Jun FRD Review call:</w:t>
      </w:r>
      <w:r>
        <w:rPr>
          <w:b w:val="0"/>
          <w:i w:val="0"/>
          <w:strike w:val="0"/>
        </w:rPr>
        <w:t xml:space="preserve"> </w:t>
      </w:r>
      <w:r>
        <w:rPr>
          <w:b w:val="0"/>
          <w:i/>
          <w:strike w:val="0"/>
          <w:color w:val="1155CC"/>
        </w:rPr>
        <w:t>Add: month-end usage reporting (active users vs. subscribed seats, per firm) inside the Portal — but only for the specific data points each onboarded firm agrees to share. Firms won't want their uploaded evidence itself visible to the Portal team; this needs to be spelled out in the client agreement (an NDA-style visibility clause), not built as a granular in-platform toggle for MVP.</w:t>
      </w:r>
      <w:r>
        <w:rPr>
          <w:b w:val="0"/>
          <w:i w:val="0"/>
          <w:strike w:val="0"/>
        </w:rPr>
        <w:t xml:space="preserve"> </w:t>
      </w:r>
      <w:r>
        <w:rPr>
          <w:b w:val="0"/>
          <w:i/>
          <w:strike w:val="0"/>
          <w:color w:val="1155CC"/>
          <w:sz w:val="16"/>
        </w:rPr>
        <w:t xml:space="preserve"> [25 Jun FRD call]</w:t>
      </w:r>
    </w:p>
    <w:tbl>
      <w:tblPr>
        <w:tblStyle w:val="TableGrid"/>
        <w:tblW w:type="auto" w:w="0"/>
        <w:tblLook w:firstColumn="1" w:firstRow="1" w:lastColumn="0" w:lastRow="0" w:noHBand="0" w:noVBand="1" w:val="04A0"/>
      </w:tblPr>
      <w:tblGrid>
        <w:gridCol w:w="8640"/>
      </w:tblGrid>
      <w:tr>
        <w:tc>
          <w:tcPr>
            <w:tcW w:type="dxa" w:w="8640"/>
            <w:shd w:val="clear" w:fill="FFF2CC"/>
          </w:tcPr>
          <w:p>
            <w:r>
              <w:rPr>
                <w:b/>
                <w:i w:val="0"/>
                <w:strike w:val="0"/>
              </w:rPr>
              <w:t>OPEN QUESTION</w:t>
            </w:r>
            <w:r>
              <w:rPr>
                <w:b w:val="0"/>
                <w:i w:val="0"/>
                <w:strike w:val="0"/>
              </w:rPr>
              <w:t xml:space="preserve"> </w:t>
            </w:r>
            <w:r>
              <w:rPr>
                <w:b w:val="0"/>
                <w:i/>
                <w:strike w:val="0"/>
              </w:rPr>
              <w:t>(amber — unresolved)</w:t>
            </w:r>
          </w:p>
          <w:p>
            <w:r>
              <w:rPr>
                <w:b/>
                <w:i w:val="0"/>
                <w:strike w:val="0"/>
              </w:rPr>
              <w:t>💬 Questions still to confirm</w:t>
            </w:r>
          </w:p>
          <w:p>
            <w:pPr>
              <w:pStyle w:val="ListBullet"/>
            </w:pPr>
            <w:r>
              <w:rPr>
                <w:b/>
                <w:i w:val="0"/>
                <w:strike w:val="0"/>
              </w:rPr>
              <w:t>Portal visibility of firm data (new — from the 25 Jun call): should Sosinna's team see firm-level usage stats (active users, tests run) by default, formalised through the client agreement, or should this be a configurable toggle per firm? Bisrat's view was that toggles add complexity SayOne should avoid for MVP — default to visible, cover it contractually instead.</w:t>
            </w:r>
            <w:r>
              <w:rPr>
                <w:b w:val="0"/>
                <w:i w:val="0"/>
                <w:strike w:val="0"/>
              </w:rPr>
              <w:t xml:space="preserve"> </w:t>
            </w:r>
            <w:r>
              <w:rPr>
                <w:b w:val="0"/>
                <w:i/>
                <w:strike w:val="0"/>
                <w:color w:val="1155CC"/>
                <w:sz w:val="16"/>
              </w:rPr>
              <w:t xml:space="preserve"> [25 Jun FRD call]</w:t>
            </w:r>
          </w:p>
        </w:tc>
      </w:tr>
    </w:tbl>
    <w:p>
      <w:pPr>
        <w:pStyle w:val="Heading2"/>
      </w:pPr>
      <w:r>
        <w:t>4.4 Test Priority and Risk Configuration</w:t>
      </w:r>
    </w:p>
    <w:p>
      <w:r>
        <w:rPr>
          <w:b/>
          <w:i/>
          <w:strike w:val="0"/>
          <w:color w:val="7030A0"/>
        </w:rPr>
        <w:t>NEW in v5.0 — from the August 2026 client meeting</w:t>
      </w:r>
      <w:r>
        <w:rPr>
          <w:b w:val="0"/>
          <w:i w:val="0"/>
          <w:strike w:val="0"/>
        </w:rPr>
        <w:t xml:space="preserve"> </w:t>
      </w:r>
      <w:r>
        <w:rPr>
          <w:b w:val="0"/>
          <w:i/>
          <w:strike w:val="0"/>
          <w:color w:val="7030A0"/>
          <w:sz w:val="16"/>
        </w:rPr>
        <w:t xml:space="preserve"> [Aug 2026 client MOM]</w:t>
      </w:r>
    </w:p>
    <w:p>
      <w:r>
        <w:rPr>
          <w:b w:val="0"/>
          <w:i w:val="0"/>
          <w:strike w:val="0"/>
        </w:rPr>
        <w:t>The meeting introduced a configuration surface in the Portal (referred to on the call as the "backend dashboard") where the full catalogue of required tests is listed and each one is given a priority level by hand. Priority is not derived by the platform — it is a judgement call made by Sosinna's team, because they are the ones who know which controls a regulator will look at first.</w:t>
      </w:r>
    </w:p>
    <w:p>
      <w:r>
        <w:rPr>
          <w:b/>
          <w:i w:val="0"/>
          <w:strike w:val="0"/>
          <w:color w:val="1155CC"/>
        </w:rPr>
        <w:t>[SA-09]</w:t>
      </w:r>
      <w:r>
        <w:rPr>
          <w:b w:val="0"/>
          <w:i w:val="0"/>
          <w:strike w:val="0"/>
        </w:rPr>
        <w:t xml:space="preserve"> The Portal lists every required test in the library — all Requirement IDs, with their regulation, service line applicability, and current version — in a single configurable table. This is the master list the priority marking is applied to. </w:t>
      </w:r>
      <w:r>
        <w:rPr>
          <w:b w:val="0"/>
          <w:i/>
          <w:strike w:val="0"/>
          <w:color w:val="7030A0"/>
          <w:sz w:val="16"/>
        </w:rPr>
        <w:t xml:space="preserve"> [Aug 2026 client MOM]</w:t>
      </w:r>
    </w:p>
    <w:p>
      <w:r>
        <w:rPr>
          <w:b/>
          <w:i w:val="0"/>
          <w:strike w:val="0"/>
          <w:color w:val="1155CC"/>
        </w:rPr>
        <w:t>[SA-10]</w:t>
      </w:r>
      <w:r>
        <w:rPr>
          <w:b w:val="0"/>
          <w:i w:val="0"/>
          <w:strike w:val="0"/>
        </w:rPr>
        <w:t xml:space="preserve"> Each test in that list is manually assigned a priority level. The baseline scale agreed on the call is two levels — </w:t>
      </w:r>
      <w:r>
        <w:rPr>
          <w:b/>
          <w:i w:val="0"/>
          <w:strike w:val="0"/>
        </w:rPr>
        <w:t>High risk</w:t>
      </w:r>
      <w:r>
        <w:rPr>
          <w:b w:val="0"/>
          <w:i w:val="0"/>
          <w:strike w:val="0"/>
        </w:rPr>
        <w:t xml:space="preserve"> and </w:t>
      </w:r>
      <w:r>
        <w:rPr>
          <w:b/>
          <w:i w:val="0"/>
          <w:strike w:val="0"/>
        </w:rPr>
        <w:t>Low risk</w:t>
      </w:r>
      <w:r>
        <w:rPr>
          <w:b w:val="0"/>
          <w:i w:val="0"/>
          <w:strike w:val="0"/>
        </w:rPr>
        <w:t xml:space="preserve">. Priority is a property of the test in the library, set once and applied to every firm the test loads for. </w:t>
      </w:r>
      <w:r>
        <w:rPr>
          <w:b w:val="0"/>
          <w:i/>
          <w:strike w:val="0"/>
          <w:color w:val="7030A0"/>
          <w:sz w:val="16"/>
        </w:rPr>
        <w:t xml:space="preserve"> [Aug 2026 client MOM]</w:t>
      </w:r>
    </w:p>
    <w:p>
      <w:r>
        <w:rPr>
          <w:b/>
          <w:i w:val="0"/>
          <w:strike w:val="0"/>
          <w:color w:val="1155CC"/>
        </w:rPr>
        <w:t>[SA-11]</w:t>
      </w:r>
      <w:r>
        <w:rPr>
          <w:b w:val="0"/>
          <w:i w:val="0"/>
          <w:strike w:val="0"/>
        </w:rPr>
        <w:t xml:space="preserve"> Priority is published with the test and consumed by the Firm Application: the firm's pending-item pool, testing views, dashboard, and report all read the priority set here rather than storing their own copy. Changing a priority in the Portal changes what firms see, using the same review-and-publish gate as SA-04 — priority changes are not pushed silently. </w:t>
      </w:r>
      <w:r>
        <w:rPr>
          <w:b w:val="0"/>
          <w:i/>
          <w:strike w:val="0"/>
          <w:color w:val="7030A0"/>
          <w:sz w:val="16"/>
        </w:rPr>
        <w:t xml:space="preserve"> [Aug 2026 client MOM]</w:t>
      </w:r>
    </w:p>
    <w:tbl>
      <w:tblPr>
        <w:tblStyle w:val="TableGrid"/>
        <w:tblW w:type="auto" w:w="0"/>
        <w:tblLook w:firstColumn="1" w:firstRow="1" w:lastColumn="0" w:lastRow="0" w:noHBand="0" w:noVBand="1" w:val="04A0"/>
      </w:tblPr>
      <w:tblGrid>
        <w:gridCol w:w="8640"/>
      </w:tblGrid>
      <w:tr>
        <w:tc>
          <w:tcPr>
            <w:tcW w:type="dxa" w:w="8640"/>
            <w:shd w:val="clear" w:fill="FFF2CC"/>
          </w:tcPr>
          <w:p>
            <w:r>
              <w:rPr>
                <w:b/>
                <w:i w:val="0"/>
                <w:strike w:val="0"/>
              </w:rPr>
              <w:t>OPEN QUESTION</w:t>
            </w:r>
            <w:r>
              <w:rPr>
                <w:b w:val="0"/>
                <w:i w:val="0"/>
                <w:strike w:val="0"/>
              </w:rPr>
              <w:t xml:space="preserve"> </w:t>
            </w:r>
            <w:r>
              <w:rPr>
                <w:b w:val="0"/>
                <w:i/>
                <w:strike w:val="0"/>
              </w:rPr>
              <w:t>(amber — new in v5.0)</w:t>
            </w:r>
          </w:p>
          <w:p>
            <w:r>
              <w:rPr>
                <w:b/>
                <w:i w:val="0"/>
                <w:strike w:val="0"/>
              </w:rPr>
              <w:t>💬 Questions still to confirm</w:t>
            </w:r>
          </w:p>
          <w:p>
            <w:pPr>
              <w:pStyle w:val="ListBullet"/>
            </w:pPr>
            <w:r>
              <w:rPr>
                <w:b/>
                <w:i/>
                <w:strike w:val="0"/>
                <w:color w:val="7030A0"/>
              </w:rPr>
              <w:t>Priority scale (PR-01): the call named two levels (high vs. low risk). Does the platform need a third middle level to match the three-level Finding severity scale in Section 8.1 (High / Moderate / Low), or does test priority stay deliberately binary? Mixing a 2-point and a 3-point scale in one product is a UX and reporting risk.</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Firm-level override (PR-02): can a firm's CCO raise the priority of a test for their own firm — for example after a repeat finding — or is priority strictly global and read-only to firms? The call described a single central list, which implies read-only, but firm-specific risk appetite is a real scenario.</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Effect of priority (PR-03): is priority purely informational (sort order, colour, filter), or does it drive behaviour — for example forcing High-risk items to be assigned before Low-risk ones, or blocking report generation while a High-risk item is unassigned? This distinction changes the build size materially.</w:t>
            </w:r>
            <w:r>
              <w:rPr>
                <w:b w:val="0"/>
                <w:i w:val="0"/>
                <w:strike w:val="0"/>
              </w:rPr>
              <w:t xml:space="preserve"> </w:t>
            </w:r>
            <w:r>
              <w:rPr>
                <w:b w:val="0"/>
                <w:i/>
                <w:strike w:val="0"/>
                <w:color w:val="7030A0"/>
                <w:sz w:val="16"/>
              </w:rPr>
              <w:t xml:space="preserve"> [Aug 2026 client MOM]</w:t>
            </w:r>
          </w:p>
        </w:tc>
      </w:tr>
    </w:tbl>
    <w:p>
      <w:pPr>
        <w:pStyle w:val="Heading2"/>
      </w:pPr>
      <w:r>
        <w:t>4.5 Fetching, Formatting and Publishing EU Regulations</w:t>
      </w:r>
    </w:p>
    <w:p>
      <w:r>
        <w:rPr>
          <w:b/>
          <w:i/>
          <w:strike w:val="0"/>
          <w:color w:val="7030A0"/>
        </w:rPr>
        <w:t>NEW in v5.0 — from the August 2026 client meeting. This extends SA-03 rather than replacing it.</w:t>
      </w:r>
      <w:r>
        <w:rPr>
          <w:b w:val="0"/>
          <w:i w:val="0"/>
          <w:strike w:val="0"/>
        </w:rPr>
        <w:t xml:space="preserve"> </w:t>
      </w:r>
      <w:r>
        <w:rPr>
          <w:b w:val="0"/>
          <w:i/>
          <w:strike w:val="0"/>
          <w:color w:val="7030A0"/>
          <w:sz w:val="16"/>
        </w:rPr>
        <w:t xml:space="preserve"> [Aug 2026 client MOM]</w:t>
      </w:r>
    </w:p>
    <w:p>
      <w:r>
        <w:rPr>
          <w:b w:val="0"/>
          <w:i w:val="0"/>
          <w:strike w:val="0"/>
        </w:rPr>
        <w:t>SA-03 already commits the platform to watching official publication sources for changes. The meeting added the step that comes after detection: the regulation text itself is pulled in from European Union APIs, formatted into a reviewable draft, and then goes through an edit-tag-publish cycle before any firm sees it.</w:t>
      </w:r>
    </w:p>
    <w:p>
      <w:r>
        <w:rPr>
          <w:b/>
          <w:i w:val="0"/>
          <w:strike w:val="0"/>
          <w:color w:val="1155CC"/>
        </w:rPr>
        <w:t>[SA-12]</w:t>
      </w:r>
      <w:r>
        <w:rPr>
          <w:b w:val="0"/>
          <w:i w:val="0"/>
          <w:strike w:val="0"/>
        </w:rPr>
        <w:t xml:space="preserve"> The Portal fetches regulatory content directly from official European Union APIs (EUR-Lex and the EBA / ESMA publication endpoints named in SA-03) and renders it into the platform's own structured format — article, paragraph, effective date, and date of download, per the 25 Jun call. Fetched content lands in a </w:t>
      </w:r>
      <w:r>
        <w:rPr>
          <w:b/>
          <w:i w:val="0"/>
          <w:strike w:val="0"/>
        </w:rPr>
        <w:t>draft review queue</w:t>
      </w:r>
      <w:r>
        <w:rPr>
          <w:b w:val="0"/>
          <w:i w:val="0"/>
          <w:strike w:val="0"/>
        </w:rPr>
        <w:t xml:space="preserve">; it is never published automatically. </w:t>
      </w:r>
      <w:r>
        <w:rPr>
          <w:b w:val="0"/>
          <w:i/>
          <w:strike w:val="0"/>
          <w:color w:val="7030A0"/>
          <w:sz w:val="16"/>
        </w:rPr>
        <w:t xml:space="preserve"> [Aug 2026 client MOM]</w:t>
      </w:r>
    </w:p>
    <w:p>
      <w:r>
        <w:rPr>
          <w:b/>
          <w:i w:val="0"/>
          <w:strike w:val="0"/>
          <w:color w:val="1155CC"/>
        </w:rPr>
        <w:t>[SA-13]</w:t>
      </w:r>
      <w:r>
        <w:rPr>
          <w:b w:val="0"/>
          <w:i w:val="0"/>
          <w:strike w:val="0"/>
        </w:rPr>
        <w:t xml:space="preserve"> Sosinna's team works the draft queue: </w:t>
      </w:r>
      <w:r>
        <w:rPr>
          <w:b/>
          <w:i w:val="0"/>
          <w:strike w:val="0"/>
        </w:rPr>
        <w:t>review</w:t>
      </w:r>
      <w:r>
        <w:rPr>
          <w:b w:val="0"/>
          <w:i w:val="0"/>
          <w:strike w:val="0"/>
        </w:rPr>
        <w:t xml:space="preserve"> the fetched text, </w:t>
      </w:r>
      <w:r>
        <w:rPr>
          <w:b/>
          <w:i w:val="0"/>
          <w:strike w:val="0"/>
        </w:rPr>
        <w:t>edit</w:t>
      </w:r>
      <w:r>
        <w:rPr>
          <w:b w:val="0"/>
          <w:i w:val="0"/>
          <w:strike w:val="0"/>
        </w:rPr>
        <w:t xml:space="preserve"> it into the platform's house format, </w:t>
      </w:r>
      <w:r>
        <w:rPr>
          <w:b/>
          <w:i w:val="0"/>
          <w:strike w:val="0"/>
        </w:rPr>
        <w:t>tag</w:t>
      </w:r>
      <w:r>
        <w:rPr>
          <w:b w:val="0"/>
          <w:i w:val="0"/>
          <w:strike w:val="0"/>
        </w:rPr>
        <w:t xml:space="preserve"> it (regulation, pillar, service line, affected Requirement IDs, and the SA-10 priority), and </w:t>
      </w:r>
      <w:r>
        <w:rPr>
          <w:b/>
          <w:i w:val="0"/>
          <w:strike w:val="0"/>
        </w:rPr>
        <w:t>publish</w:t>
      </w:r>
      <w:r>
        <w:rPr>
          <w:b w:val="0"/>
          <w:i w:val="0"/>
          <w:strike w:val="0"/>
        </w:rPr>
        <w:t xml:space="preserve"> it to all firms. Publishing follows the SA-04 gate — firms are notified, and any firm mid-way through a test continues on the version they started. </w:t>
      </w:r>
      <w:r>
        <w:rPr>
          <w:b w:val="0"/>
          <w:i/>
          <w:strike w:val="0"/>
          <w:color w:val="7030A0"/>
          <w:sz w:val="16"/>
        </w:rPr>
        <w:t xml:space="preserve"> [Aug 2026 client MOM]</w:t>
      </w:r>
    </w:p>
    <w:p>
      <w:r>
        <w:rPr>
          <w:b/>
          <w:i w:val="0"/>
          <w:strike w:val="0"/>
          <w:color w:val="1155CC"/>
        </w:rPr>
        <w:t>[SA-14]</w:t>
      </w:r>
      <w:r>
        <w:rPr>
          <w:b w:val="0"/>
          <w:i w:val="0"/>
          <w:strike w:val="0"/>
        </w:rPr>
        <w:t xml:space="preserve"> Every fetched item retains its provenance: source API, retrieval timestamp, effective date, and the identity of the reviewer who published it. An item that is fetched and then rejected is retained in the queue history with the rejection reason — it is not deleted. </w:t>
      </w:r>
      <w:r>
        <w:rPr>
          <w:b w:val="0"/>
          <w:i/>
          <w:strike w:val="0"/>
          <w:color w:val="7030A0"/>
          <w:sz w:val="16"/>
        </w:rPr>
        <w:t xml:space="preserve"> [Aug 2026 client MOM]</w:t>
      </w:r>
    </w:p>
    <w:p>
      <w:r>
        <w:rPr>
          <w:b/>
          <w:i w:val="0"/>
          <w:strike w:val="0"/>
          <w:color w:val="1155CC"/>
        </w:rPr>
        <w:t>[SA-15]</w:t>
      </w:r>
      <w:r>
        <w:rPr>
          <w:b w:val="0"/>
          <w:i w:val="0"/>
          <w:strike w:val="0"/>
        </w:rPr>
        <w:t xml:space="preserve"> </w:t>
      </w:r>
      <w:r>
        <w:rPr>
          <w:b/>
          <w:i/>
          <w:strike w:val="0"/>
          <w:color w:val="008080"/>
        </w:rPr>
        <w:t>When a regulation the platform already carries is updated — the examples named on 11 Aug were MiCA and DORA — the Platform Super Admin receives a notification on the Portal dashboard and the affected content re-enters the SA-13 draft queue for the same review, edit, tag and publish cycle. An update is not a change alert to be read and dismissed: it re-opens the content pipeline, and the administrator repeats the review process before anything reaches a firm. This dashboard notification is the Portal-side counterpart of the firm-side FR-35 alert; both fire from the same detection event.</w:t>
      </w:r>
      <w:r>
        <w:rPr>
          <w:b w:val="0"/>
          <w:i w:val="0"/>
          <w:strike w:val="0"/>
        </w:rPr>
        <w:t xml:space="preserve"> </w:t>
      </w:r>
      <w:r>
        <w:rPr>
          <w:b w:val="0"/>
          <w:i/>
          <w:strike w:val="0"/>
          <w:color w:val="008080"/>
          <w:sz w:val="16"/>
        </w:rPr>
        <w:t xml:space="preserve"> [11 Aug 2026 MOM]</w:t>
      </w:r>
      <w:r>
        <w:rPr>
          <w:b w:val="0"/>
          <w:i w:val="0"/>
          <w:strike w:val="0"/>
        </w:rPr>
        <w:t xml:space="preserve"> </w:t>
      </w:r>
      <w:r>
        <w:rPr>
          <w:b/>
          <w:i/>
          <w:strike w:val="0"/>
          <w:color w:val="CC00CC"/>
        </w:rPr>
        <w:t>CONFIRMED on 14 Aug 2026: when a rule change is identified in the latest pull, the system sends alerts to the Super Admin and also to the affected firms so they can update their WSPs. This is SA-15 plus FR-35 restated together; no change.</w:t>
      </w:r>
      <w:r>
        <w:rPr>
          <w:b w:val="0"/>
          <w:i w:val="0"/>
          <w:strike w:val="0"/>
        </w:rPr>
        <w:t xml:space="preserve"> </w:t>
      </w:r>
      <w:r>
        <w:rPr>
          <w:b w:val="0"/>
          <w:i/>
          <w:strike w:val="0"/>
          <w:color w:val="CC00CC"/>
          <w:sz w:val="16"/>
        </w:rPr>
        <w:t xml:space="preserve"> [14 Aug 2026 MOM]</w:t>
      </w:r>
    </w:p>
    <w:p>
      <w:r>
        <w:rPr>
          <w:b/>
          <w:i w:val="0"/>
          <w:strike w:val="0"/>
          <w:color w:val="1155CC"/>
        </w:rPr>
        <w:t>[SA-23]</w:t>
      </w:r>
      <w:r>
        <w:rPr>
          <w:b w:val="0"/>
          <w:i w:val="0"/>
          <w:strike w:val="0"/>
        </w:rPr>
        <w:t xml:space="preserve"> </w:t>
      </w:r>
      <w:r>
        <w:rPr>
          <w:b/>
          <w:i/>
          <w:strike w:val="0"/>
          <w:color w:val="CC00CC"/>
        </w:rPr>
        <w:t xml:space="preserve">When a rule is fetched from the feeds, the platform saves its </w:t>
      </w:r>
      <w:r>
        <w:rPr>
          <w:b/>
          <w:i/>
          <w:strike w:val="0"/>
          <w:color w:val="CC00CC"/>
        </w:rPr>
        <w:t>execution frequency</w:t>
      </w:r>
      <w:r>
        <w:rPr>
          <w:b/>
          <w:i/>
          <w:strike w:val="0"/>
          <w:color w:val="CC00CC"/>
        </w:rPr>
        <w:t xml:space="preserve"> and </w:t>
      </w:r>
      <w:r>
        <w:rPr>
          <w:b/>
          <w:i/>
          <w:strike w:val="0"/>
          <w:color w:val="CC00CC"/>
        </w:rPr>
        <w:t>priority</w:t>
      </w:r>
      <w:r>
        <w:rPr>
          <w:b/>
          <w:i/>
          <w:strike w:val="0"/>
          <w:color w:val="CC00CC"/>
        </w:rPr>
        <w:t xml:space="preserve"> alongside the fields already captured (article, paragraph, effective date, date of download per SA-12). Frequency is what the FR-78 pending-item pool derives its owed-period from; priority pre-populates the SA-10 tag that Sosinna's team confirms during the SA-13 review. Both are stored on the fetched record at ingest so the review pass starts from the feed's own values rather than a blank field.</w:t>
      </w:r>
      <w:r>
        <w:rPr>
          <w:b w:val="0"/>
          <w:i w:val="0"/>
          <w:strike w:val="0"/>
        </w:rPr>
        <w:t xml:space="preserve"> </w:t>
      </w:r>
      <w:r>
        <w:rPr>
          <w:b w:val="0"/>
          <w:i/>
          <w:strike w:val="0"/>
          <w:color w:val="CC00CC"/>
          <w:sz w:val="16"/>
        </w:rPr>
        <w:t xml:space="preserve"> [14 Aug 2026 MOM]</w:t>
      </w:r>
    </w:p>
    <w:tbl>
      <w:tblPr>
        <w:tblStyle w:val="TableGrid"/>
        <w:tblW w:type="auto" w:w="0"/>
        <w:tblLook w:firstColumn="1" w:firstRow="1" w:lastColumn="0" w:lastRow="0" w:noHBand="0" w:noVBand="1" w:val="04A0"/>
      </w:tblPr>
      <w:tblGrid>
        <w:gridCol w:w="8640"/>
      </w:tblGrid>
      <w:tr>
        <w:tc>
          <w:tcPr>
            <w:tcW w:type="dxa" w:w="8640"/>
            <w:shd w:val="clear" w:fill="E2EFDA"/>
          </w:tcPr>
          <w:p>
            <w:r>
              <w:rPr>
                <w:b/>
                <w:i w:val="0"/>
                <w:strike w:val="0"/>
              </w:rPr>
              <w:t>CONFIRMED</w:t>
            </w:r>
            <w:r>
              <w:rPr>
                <w:b w:val="0"/>
                <w:i w:val="0"/>
                <w:strike w:val="0"/>
              </w:rPr>
              <w:t xml:space="preserve"> </w:t>
            </w:r>
            <w:r>
              <w:rPr>
                <w:b w:val="0"/>
                <w:i/>
                <w:strike w:val="0"/>
              </w:rPr>
              <w:t>(green — agreed 11 Aug 2026)</w:t>
            </w:r>
          </w:p>
          <w:p>
            <w:r>
              <w:rPr>
                <w:b/>
                <w:i w:val="0"/>
                <w:strike w:val="0"/>
              </w:rPr>
              <w:t>✅ What we have agreed</w:t>
            </w:r>
          </w:p>
          <w:p>
            <w:pPr>
              <w:pStyle w:val="ListBullet"/>
            </w:pPr>
            <w:r>
              <w:rPr>
                <w:b/>
                <w:i/>
                <w:strike w:val="0"/>
                <w:color w:val="008080"/>
              </w:rPr>
              <w:t xml:space="preserve">The pipeline sequence is confirmed as: fetch from the European Union API → format for review → the system administrator reviews, tags (priority, high / low risk) and edits → clicking </w:t>
            </w:r>
            <w:r>
              <w:rPr>
                <w:b/>
                <w:i/>
                <w:strike w:val="0"/>
                <w:color w:val="008080"/>
              </w:rPr>
              <w:t>publish</w:t>
            </w:r>
            <w:r>
              <w:rPr>
                <w:b/>
                <w:i/>
                <w:strike w:val="0"/>
                <w:color w:val="008080"/>
              </w:rPr>
              <w:t xml:space="preserve"> is what makes the regulation visible to client firms.</w:t>
            </w:r>
            <w:r>
              <w:rPr>
                <w:b w:val="0"/>
                <w:i w:val="0"/>
                <w:strike w:val="0"/>
              </w:rPr>
              <w:t xml:space="preserve"> </w:t>
            </w:r>
            <w:r>
              <w:rPr>
                <w:b w:val="0"/>
                <w:i/>
                <w:strike w:val="0"/>
                <w:color w:val="008080"/>
                <w:sz w:val="16"/>
              </w:rPr>
              <w:t xml:space="preserve"> [11 Aug 2026 MOM]</w:t>
            </w:r>
          </w:p>
          <w:p>
            <w:pPr>
              <w:pStyle w:val="ListBullet"/>
            </w:pPr>
            <w:r>
              <w:rPr>
                <w:b/>
                <w:i/>
                <w:strike w:val="0"/>
                <w:color w:val="008080"/>
              </w:rPr>
              <w:t>Nothing reaches a firm without that publish action. There is no automatic passthrough.</w:t>
            </w:r>
            <w:r>
              <w:rPr>
                <w:b w:val="0"/>
                <w:i w:val="0"/>
                <w:strike w:val="0"/>
              </w:rPr>
              <w:t xml:space="preserve"> </w:t>
            </w:r>
            <w:r>
              <w:rPr>
                <w:b w:val="0"/>
                <w:i/>
                <w:strike w:val="0"/>
                <w:color w:val="008080"/>
                <w:sz w:val="16"/>
              </w:rPr>
              <w:t xml:space="preserve"> [11 Aug 2026 MOM]</w:t>
            </w:r>
          </w:p>
          <w:p>
            <w:pPr>
              <w:pStyle w:val="ListBullet"/>
            </w:pPr>
            <w:r>
              <w:rPr>
                <w:b/>
                <w:i/>
                <w:strike w:val="0"/>
                <w:color w:val="008080"/>
              </w:rPr>
              <w:t>Priority tagging (SA-10) happens during this review, not as a separate later pass — one pass over the content sets both the house format and the risk tag.</w:t>
            </w:r>
            <w:r>
              <w:rPr>
                <w:b w:val="0"/>
                <w:i w:val="0"/>
                <w:strike w:val="0"/>
              </w:rPr>
              <w:t xml:space="preserve"> </w:t>
            </w:r>
            <w:r>
              <w:rPr>
                <w:b w:val="0"/>
                <w:i/>
                <w:strike w:val="0"/>
                <w:color w:val="008080"/>
                <w:sz w:val="16"/>
              </w:rPr>
              <w:t xml:space="preserve"> [11 Aug 2026 MOM]</w:t>
            </w:r>
          </w:p>
        </w:tc>
      </w:tr>
    </w:tbl>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v5.0)</w:t>
            </w:r>
          </w:p>
          <w:p>
            <w:r>
              <w:rPr>
                <w:b/>
                <w:i w:val="0"/>
                <w:strike w:val="0"/>
              </w:rPr>
              <w:t>📌 Note</w:t>
            </w:r>
          </w:p>
          <w:p>
            <w:pPr>
              <w:pStyle w:val="ListBullet"/>
            </w:pPr>
            <w:r>
              <w:rPr>
                <w:b/>
                <w:i/>
                <w:strike w:val="0"/>
                <w:color w:val="7030A0"/>
              </w:rPr>
              <w:t>The MVP constraint from the 25 Jun call still stands and is not loosened by this section: automated ingestion is limited to official APIs and RSS feeds. No custom HTML scraping, no brittle layout parsing. Where an API does not exist for a source, the structured manual input interface is the fallback.</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"Format it for the client to review" means a deterministic transform into the platform's article structure — not an AI rewrite of legal text. If any AI assistance is used here it is for tagging and mapping suggestions only, with the same human-confirmation pattern as FR-31.</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EUR-Lex, EBA and ESMA API coverage, rate limits, and content licensing need to be validated in the first sprint. This is on the critical path for Section 4.5 and interacts with the unresolved RE-05 sourcing question in Section 15.</w:t>
            </w:r>
            <w:r>
              <w:rPr>
                <w:b w:val="0"/>
                <w:i w:val="0"/>
                <w:strike w:val="0"/>
              </w:rPr>
              <w:t xml:space="preserve"> </w:t>
            </w:r>
            <w:r>
              <w:rPr>
                <w:b w:val="0"/>
                <w:i/>
                <w:strike w:val="0"/>
                <w:color w:val="7030A0"/>
                <w:sz w:val="16"/>
              </w:rPr>
              <w:t xml:space="preserve"> [Aug 2026 client MOM]</w:t>
            </w:r>
          </w:p>
        </w:tc>
      </w:tr>
    </w:tbl>
    <w:p>
      <w:pPr>
        <w:pStyle w:val="Heading2"/>
      </w:pPr>
      <w:r>
        <w:t>4.6 Portal Administration Roles and the Glossary Library</w:t>
      </w:r>
    </w:p>
    <w:p>
      <w:r>
        <w:rPr>
          <w:b/>
          <w:i/>
          <w:strike w:val="0"/>
          <w:color w:val="CC00CC"/>
        </w:rPr>
        <w:t>NEW in v8.0 — from the 14 August 2026 client meeting.</w:t>
      </w:r>
      <w:r>
        <w:rPr>
          <w:b w:val="0"/>
          <w:i w:val="0"/>
          <w:strike w:val="0"/>
        </w:rPr>
        <w:t xml:space="preserve"> </w:t>
      </w:r>
      <w:r>
        <w:rPr>
          <w:b w:val="0"/>
          <w:i/>
          <w:strike w:val="0"/>
          <w:color w:val="CC00CC"/>
          <w:sz w:val="16"/>
        </w:rPr>
        <w:t xml:space="preserve"> [14 Aug 2026 MOM]</w:t>
      </w:r>
    </w:p>
    <w:p>
      <w:r>
        <w:rPr>
          <w:b/>
          <w:i w:val="0"/>
          <w:strike w:val="0"/>
          <w:color w:val="1155CC"/>
        </w:rPr>
        <w:t>[SA-24]</w:t>
      </w:r>
      <w:r>
        <w:rPr>
          <w:b w:val="0"/>
          <w:i w:val="0"/>
          <w:strike w:val="0"/>
        </w:rPr>
        <w:t xml:space="preserve"> </w:t>
      </w:r>
      <w:r>
        <w:rPr>
          <w:b/>
          <w:i/>
          <w:strike w:val="0"/>
          <w:color w:val="CC00CC"/>
        </w:rPr>
        <w:t xml:space="preserve">The Platform Super Admin is supported by </w:t>
      </w:r>
      <w:r>
        <w:rPr>
          <w:b/>
          <w:i/>
          <w:strike w:val="0"/>
          <w:color w:val="CC00CC"/>
        </w:rPr>
        <w:t>associate admin roles</w:t>
      </w:r>
      <w:r>
        <w:rPr>
          <w:b/>
          <w:i/>
          <w:strike w:val="0"/>
          <w:color w:val="CC00CC"/>
        </w:rPr>
        <w:t xml:space="preserve"> — additional Portal accounts on Sosinna's team that can work the Portal's queues (content review, enquiries, test building), but whose actions are subject to </w:t>
      </w:r>
      <w:r>
        <w:rPr>
          <w:b/>
          <w:i/>
          <w:strike w:val="0"/>
          <w:color w:val="CC00CC"/>
        </w:rPr>
        <w:t>final confirmation by Sosinna</w:t>
      </w:r>
      <w:r>
        <w:rPr>
          <w:b/>
          <w:i/>
          <w:strike w:val="0"/>
          <w:color w:val="CC00CC"/>
        </w:rPr>
        <w:t>. The Portal is therefore two-tier: associates prepare, Sosinna confirms. Every confirmation is recorded with who prepared and who confirmed. Exactly which actions require her confirmation — every publish, or only designated gates such as qualification and publishing — is not yet defined; see AD-01.</w:t>
      </w:r>
      <w:r>
        <w:rPr>
          <w:b w:val="0"/>
          <w:i w:val="0"/>
          <w:strike w:val="0"/>
        </w:rPr>
        <w:t xml:space="preserve"> </w:t>
      </w:r>
      <w:r>
        <w:rPr>
          <w:b w:val="0"/>
          <w:i/>
          <w:strike w:val="0"/>
          <w:color w:val="CC00CC"/>
          <w:sz w:val="16"/>
        </w:rPr>
        <w:t xml:space="preserve"> [14 Aug 2026 MOM]</w:t>
      </w:r>
    </w:p>
    <w:p>
      <w:r>
        <w:rPr>
          <w:b/>
          <w:i w:val="0"/>
          <w:strike w:val="0"/>
          <w:color w:val="1155CC"/>
        </w:rPr>
        <w:t>[SA-25]</w:t>
      </w:r>
      <w:r>
        <w:rPr>
          <w:b w:val="0"/>
          <w:i w:val="0"/>
          <w:strike w:val="0"/>
        </w:rPr>
        <w:t xml:space="preserve"> </w:t>
      </w:r>
      <w:r>
        <w:rPr>
          <w:b/>
          <w:i/>
          <w:strike w:val="0"/>
          <w:color w:val="CC00CC"/>
        </w:rPr>
        <w:t>The Portal contains a management page for glossary and guidance items: Sosinna's team creates, edits and retires glossary terms and guidance notes. Published items appear on the firm-side glossary and guidance page (FR-137). Glossary content follows the same review-before-publish spirit as SA-04 — a firm sees an item only once it is published.</w:t>
      </w:r>
      <w:r>
        <w:rPr>
          <w:b w:val="0"/>
          <w:i w:val="0"/>
          <w:strike w:val="0"/>
        </w:rPr>
        <w:t xml:space="preserve"> </w:t>
      </w:r>
      <w:r>
        <w:rPr>
          <w:b w:val="0"/>
          <w:i/>
          <w:strike w:val="0"/>
          <w:color w:val="CC00CC"/>
          <w:sz w:val="16"/>
        </w:rPr>
        <w:t xml:space="preserve"> [14 Aug 2026 MOM]</w:t>
      </w:r>
    </w:p>
    <w:p>
      <w:pPr>
        <w:pStyle w:val="Heading1"/>
      </w:pPr>
      <w:r>
        <w:t>5. From Enquiry to First Login — Firm Onboarding</w:t>
      </w:r>
    </w:p>
    <w:p>
      <w:r>
        <w:rPr>
          <w:b/>
          <w:i/>
          <w:strike w:val="0"/>
          <w:color w:val="843C0C"/>
        </w:rPr>
        <w:t>RESTRUCTURED in v7.0. Up to v6.0 this section described only what the setup wizard collects. The client has now specified the whole journey — from the moment a firm enquires to the moment it can log in — including two things the platform did not previously do at all: managing enquiries before a firm exists, and taking payment. Read 5.1 first; the old wizard content is intact in 5.5.</w:t>
      </w:r>
      <w:r>
        <w:rPr>
          <w:b w:val="0"/>
          <w:i w:val="0"/>
          <w:strike w:val="0"/>
        </w:rPr>
        <w:t xml:space="preserve"> </w:t>
      </w:r>
      <w:r>
        <w:rPr>
          <w:b w:val="0"/>
          <w:i/>
          <w:strike w:val="0"/>
          <w:color w:val="843C0C"/>
          <w:sz w:val="16"/>
        </w:rPr>
        <w:t xml:space="preserve"> [Aug 2026 onboarding flow]</w:t>
      </w:r>
    </w:p>
    <w:p>
      <w:r>
        <w:rPr>
          <w:b w:val="0"/>
          <w:i w:val="0"/>
          <w:strike w:val="0"/>
        </w:rPr>
        <w:t>A firm does not simply appear on the platform. It enquires, it is qualified and contracted offline by Sosinna's team, it is invited in by a link, it completes its own setup, it pays, and only then can it log in. Six of those nine stages are new to this document.</w:t>
      </w:r>
    </w:p>
    <w:p>
      <w:pPr>
        <w:pStyle w:val="Heading2"/>
      </w:pPr>
      <w:r>
        <w:t>5.1 The End-to-End Flow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4E79"/>
          </w:tcPr>
          <w:p>
            <w:r>
              <w:rPr>
                <w:b/>
                <w:color w:val="FFFFFF"/>
              </w:rPr>
            </w:r>
            <w:r>
              <w:rPr>
                <w:b/>
                <w:i w:val="0"/>
                <w:strike w:val="0"/>
                <w:color w:val="FFFFFF"/>
              </w:rPr>
              <w:t>#</w:t>
            </w:r>
          </w:p>
        </w:tc>
        <w:tc>
          <w:tcPr>
            <w:tcW w:type="dxa" w:w="2160"/>
            <w:shd w:val="clear" w:fill="1F4E79"/>
          </w:tcPr>
          <w:p>
            <w:r>
              <w:rPr>
                <w:b/>
                <w:color w:val="FFFFFF"/>
              </w:rPr>
            </w:r>
            <w:r>
              <w:rPr>
                <w:b/>
                <w:i w:val="0"/>
                <w:strike w:val="0"/>
                <w:color w:val="FFFFFF"/>
              </w:rPr>
              <w:t>Who</w:t>
            </w:r>
          </w:p>
        </w:tc>
        <w:tc>
          <w:tcPr>
            <w:tcW w:type="dxa" w:w="2160"/>
            <w:shd w:val="clear" w:fill="1F4E79"/>
          </w:tcPr>
          <w:p>
            <w:r>
              <w:rPr>
                <w:b/>
                <w:color w:val="FFFFFF"/>
              </w:rPr>
            </w:r>
            <w:r>
              <w:rPr>
                <w:b/>
                <w:i w:val="0"/>
                <w:strike w:val="0"/>
                <w:color w:val="FFFFFF"/>
              </w:rPr>
              <w:t>What happens</w:t>
            </w:r>
          </w:p>
        </w:tc>
        <w:tc>
          <w:tcPr>
            <w:tcW w:type="dxa" w:w="2160"/>
            <w:shd w:val="clear" w:fill="1F4E79"/>
          </w:tcPr>
          <w:p>
            <w:r>
              <w:rPr>
                <w:b/>
                <w:color w:val="FFFFFF"/>
              </w:rPr>
            </w:r>
            <w:r>
              <w:rPr>
                <w:b/>
                <w:i w:val="0"/>
                <w:strike w:val="0"/>
                <w:color w:val="FFFFFF"/>
              </w:rPr>
              <w:t>Where</w:t>
            </w:r>
          </w:p>
        </w:tc>
      </w:tr>
      <w:tr>
        <w:tc>
          <w:tcPr>
            <w:tcW w:type="dxa" w:w="2160"/>
          </w:tcPr>
          <w:p>
            <w:r/>
            <w:r>
              <w:rPr>
                <w:b w:val="0"/>
                <w:i w:val="0"/>
                <w:strike w:val="0"/>
              </w:rPr>
              <w:t>1</w:t>
            </w:r>
          </w:p>
        </w:tc>
        <w:tc>
          <w:tcPr>
            <w:tcW w:type="dxa" w:w="2160"/>
          </w:tcPr>
          <w:p>
            <w:r/>
            <w:r>
              <w:rPr>
                <w:b w:val="0"/>
                <w:i w:val="0"/>
                <w:strike w:val="0"/>
              </w:rPr>
              <w:t>Prospective firm</w:t>
            </w:r>
          </w:p>
        </w:tc>
        <w:tc>
          <w:tcPr>
            <w:tcW w:type="dxa" w:w="2160"/>
          </w:tcPr>
          <w:p>
            <w:r/>
            <w:r>
              <w:rPr>
                <w:b w:val="0"/>
                <w:i w:val="0"/>
                <w:strike w:val="0"/>
              </w:rPr>
              <w:t>The firm submits an enquiry. The platform receives it — this is the far end of the "request a demo" lead capture on the marketing site (MKT-02).</w:t>
            </w:r>
          </w:p>
        </w:tc>
        <w:tc>
          <w:tcPr>
            <w:tcW w:type="dxa" w:w="2160"/>
          </w:tcPr>
          <w:p>
            <w:r/>
            <w:r>
              <w:rPr>
                <w:b w:val="0"/>
                <w:i w:val="0"/>
                <w:strike w:val="0"/>
              </w:rPr>
              <w:t>5.2 — SA-16</w:t>
            </w:r>
          </w:p>
        </w:tc>
      </w:tr>
      <w:tr>
        <w:tc>
          <w:tcPr>
            <w:tcW w:type="dxa" w:w="2160"/>
          </w:tcPr>
          <w:p>
            <w:r/>
            <w:r>
              <w:rPr>
                <w:b w:val="0"/>
                <w:i w:val="0"/>
                <w:strike w:val="0"/>
              </w:rPr>
              <w:t>2</w:t>
            </w:r>
          </w:p>
        </w:tc>
        <w:tc>
          <w:tcPr>
            <w:tcW w:type="dxa" w:w="2160"/>
          </w:tcPr>
          <w:p>
            <w:r/>
            <w:r>
              <w:rPr>
                <w:b w:val="0"/>
                <w:i w:val="0"/>
                <w:strike w:val="0"/>
              </w:rPr>
              <w:t>Sosinna's team</w:t>
            </w:r>
          </w:p>
        </w:tc>
        <w:tc>
          <w:tcPr>
            <w:tcW w:type="dxa" w:w="2160"/>
          </w:tcPr>
          <w:p>
            <w:r/>
            <w:r>
              <w:rPr>
                <w:b w:val="0"/>
                <w:i w:val="0"/>
                <w:strike w:val="0"/>
              </w:rPr>
              <w:t>The enquiry appears in a list on the Portal dashboard, with its status. Nothing is created for the firm yet.</w:t>
            </w:r>
          </w:p>
        </w:tc>
        <w:tc>
          <w:tcPr>
            <w:tcW w:type="dxa" w:w="2160"/>
          </w:tcPr>
          <w:p>
            <w:r/>
            <w:r>
              <w:rPr>
                <w:b w:val="0"/>
                <w:i w:val="0"/>
                <w:strike w:val="0"/>
              </w:rPr>
              <w:t>5.2 — SA-17, SA-18</w:t>
            </w:r>
          </w:p>
        </w:tc>
      </w:tr>
      <w:tr>
        <w:tc>
          <w:tcPr>
            <w:tcW w:type="dxa" w:w="2160"/>
          </w:tcPr>
          <w:p>
            <w:r/>
            <w:r>
              <w:rPr>
                <w:b w:val="0"/>
                <w:i w:val="0"/>
                <w:strike w:val="0"/>
              </w:rPr>
              <w:t>3</w:t>
            </w:r>
          </w:p>
        </w:tc>
        <w:tc>
          <w:tcPr>
            <w:tcW w:type="dxa" w:w="2160"/>
          </w:tcPr>
          <w:p>
            <w:r/>
            <w:r>
              <w:rPr>
                <w:b w:val="0"/>
                <w:i w:val="0"/>
                <w:strike w:val="0"/>
              </w:rPr>
              <w:t>Sosinna's team</w:t>
            </w:r>
          </w:p>
        </w:tc>
        <w:tc>
          <w:tcPr>
            <w:tcW w:type="dxa" w:w="2160"/>
          </w:tcPr>
          <w:p>
            <w:r/>
            <w:r>
              <w:rPr>
                <w:b w:val="0"/>
                <w:i w:val="0"/>
                <w:strike w:val="0"/>
              </w:rPr>
              <w:t xml:space="preserve">The team contacts the firm and completes the commercial and legal agreement </w:t>
            </w:r>
            <w:r>
              <w:rPr>
                <w:b/>
                <w:i w:val="0"/>
                <w:strike w:val="0"/>
              </w:rPr>
              <w:t>offline and outside the system</w:t>
            </w:r>
            <w:r>
              <w:rPr>
                <w:b w:val="0"/>
                <w:i w:val="0"/>
                <w:strike w:val="0"/>
              </w:rPr>
              <w:t>. The platform does not run the negotiation, the contract, or the signature.</w:t>
            </w:r>
          </w:p>
        </w:tc>
        <w:tc>
          <w:tcPr>
            <w:tcW w:type="dxa" w:w="2160"/>
          </w:tcPr>
          <w:p>
            <w:r/>
            <w:r>
              <w:rPr>
                <w:b w:val="0"/>
                <w:i w:val="0"/>
                <w:strike w:val="0"/>
              </w:rPr>
              <w:t>5.3 — SA-19</w:t>
            </w:r>
          </w:p>
        </w:tc>
      </w:tr>
      <w:tr>
        <w:tc>
          <w:tcPr>
            <w:tcW w:type="dxa" w:w="2160"/>
          </w:tcPr>
          <w:p>
            <w:r/>
            <w:r>
              <w:rPr>
                <w:b w:val="0"/>
                <w:i w:val="0"/>
                <w:strike w:val="0"/>
              </w:rPr>
              <w:t>4</w:t>
            </w:r>
          </w:p>
        </w:tc>
        <w:tc>
          <w:tcPr>
            <w:tcW w:type="dxa" w:w="2160"/>
          </w:tcPr>
          <w:p>
            <w:r/>
            <w:r>
              <w:rPr>
                <w:b w:val="0"/>
                <w:i w:val="0"/>
                <w:strike w:val="0"/>
              </w:rPr>
              <w:t>Sosinna's team</w:t>
            </w:r>
          </w:p>
        </w:tc>
        <w:tc>
          <w:tcPr>
            <w:tcW w:type="dxa" w:w="2160"/>
          </w:tcPr>
          <w:p>
            <w:r/>
            <w:r>
              <w:rPr>
                <w:b w:val="0"/>
                <w:i w:val="0"/>
                <w:strike w:val="0"/>
              </w:rPr>
              <w:t>Once agreement is reached, the team generates an onboarding link, which is emailed to the firm. Generating the link is the act that authorises the firm to enter.</w:t>
            </w:r>
          </w:p>
        </w:tc>
        <w:tc>
          <w:tcPr>
            <w:tcW w:type="dxa" w:w="2160"/>
          </w:tcPr>
          <w:p>
            <w:r/>
            <w:r>
              <w:rPr>
                <w:b w:val="0"/>
                <w:i w:val="0"/>
                <w:strike w:val="0"/>
              </w:rPr>
              <w:t>5.4 — SA-20, SA-21</w:t>
            </w:r>
          </w:p>
        </w:tc>
      </w:tr>
      <w:tr>
        <w:tc>
          <w:tcPr>
            <w:tcW w:type="dxa" w:w="2160"/>
          </w:tcPr>
          <w:p>
            <w:r/>
            <w:r>
              <w:rPr>
                <w:b w:val="0"/>
                <w:i w:val="0"/>
                <w:strike w:val="0"/>
              </w:rPr>
              <w:t>5</w:t>
            </w:r>
          </w:p>
        </w:tc>
        <w:tc>
          <w:tcPr>
            <w:tcW w:type="dxa" w:w="2160"/>
          </w:tcPr>
          <w:p>
            <w:r/>
            <w:r>
              <w:rPr>
                <w:b w:val="0"/>
                <w:i w:val="0"/>
                <w:strike w:val="0"/>
              </w:rPr>
              <w:t>Firm</w:t>
            </w:r>
          </w:p>
        </w:tc>
        <w:tc>
          <w:tcPr>
            <w:tcW w:type="dxa" w:w="2160"/>
          </w:tcPr>
          <w:p>
            <w:r/>
            <w:r>
              <w:rPr>
                <w:b w:val="0"/>
                <w:i w:val="0"/>
                <w:strike w:val="0"/>
              </w:rPr>
              <w:t xml:space="preserve">The firm clicks the link, creates its first administrator account, and works through the onboarding wizard — firm details, licence, jurisdictions, revenue template, financial reports, </w:t>
            </w:r>
            <w:r>
              <w:rPr>
                <w:b/>
                <w:i/>
                <w:strike w:val="0"/>
                <w:color w:val="2E7D32"/>
              </w:rPr>
              <w:t>service line selection</w:t>
            </w:r>
            <w:r>
              <w:rPr>
                <w:b w:val="0"/>
                <w:i w:val="0"/>
                <w:strike w:val="0"/>
              </w:rPr>
              <w:t xml:space="preserve"> </w:t>
            </w:r>
            <w:r>
              <w:rPr>
                <w:b w:val="0"/>
                <w:i/>
                <w:strike w:val="0"/>
                <w:color w:val="2E7D32"/>
                <w:sz w:val="16"/>
              </w:rPr>
              <w:t xml:space="preserve"> [Sep 2026 model revision]</w:t>
            </w:r>
            <w:r>
              <w:rPr>
                <w:b w:val="0"/>
                <w:i w:val="0"/>
                <w:strike w:val="0"/>
              </w:rPr>
              <w:t xml:space="preserve"> and regulation confirmation, client base.</w:t>
            </w:r>
          </w:p>
        </w:tc>
        <w:tc>
          <w:tcPr>
            <w:tcW w:type="dxa" w:w="2160"/>
          </w:tcPr>
          <w:p>
            <w:r/>
            <w:r>
              <w:rPr>
                <w:b w:val="0"/>
                <w:i w:val="0"/>
                <w:strike w:val="0"/>
              </w:rPr>
              <w:t>5.5 — FR-117 to FR-119, plus the existing FR-01 to FR-08</w:t>
            </w:r>
          </w:p>
        </w:tc>
      </w:tr>
      <w:tr>
        <w:tc>
          <w:tcPr>
            <w:tcW w:type="dxa" w:w="2160"/>
          </w:tcPr>
          <w:p>
            <w:r/>
            <w:r>
              <w:rPr>
                <w:b w:val="0"/>
                <w:i w:val="0"/>
                <w:strike w:val="0"/>
              </w:rPr>
              <w:t>6</w:t>
            </w:r>
          </w:p>
        </w:tc>
        <w:tc>
          <w:tcPr>
            <w:tcW w:type="dxa" w:w="2160"/>
          </w:tcPr>
          <w:p>
            <w:r/>
            <w:r>
              <w:rPr>
                <w:b w:val="0"/>
                <w:i w:val="0"/>
                <w:strike w:val="0"/>
              </w:rPr>
              <w:t>Firm / Platform</w:t>
            </w:r>
          </w:p>
        </w:tc>
        <w:tc>
          <w:tcPr>
            <w:tcW w:type="dxa" w:w="2160"/>
          </w:tcPr>
          <w:p>
            <w:r/>
            <w:r>
              <w:rPr>
                <w:b w:val="0"/>
                <w:i w:val="0"/>
                <w:strike w:val="0"/>
              </w:rPr>
              <w:t>During onboarding the firm also provides its people: staff records, reporting lines and the business continuity call tree. The platform reviews this for gaps — every employee needs a call-tree contact and a reporting manager — and shows the firm what is missing.</w:t>
            </w:r>
          </w:p>
        </w:tc>
        <w:tc>
          <w:tcPr>
            <w:tcW w:type="dxa" w:w="2160"/>
          </w:tcPr>
          <w:p>
            <w:r/>
            <w:r>
              <w:rPr>
                <w:b w:val="0"/>
                <w:i w:val="0"/>
                <w:strike w:val="0"/>
              </w:rPr>
              <w:t>5.6 — FR-120 to FR-122</w:t>
            </w:r>
          </w:p>
        </w:tc>
      </w:tr>
      <w:tr>
        <w:tc>
          <w:tcPr>
            <w:tcW w:type="dxa" w:w="2160"/>
          </w:tcPr>
          <w:p>
            <w:r/>
            <w:r>
              <w:rPr>
                <w:b w:val="0"/>
                <w:i w:val="0"/>
                <w:strike w:val="0"/>
              </w:rPr>
              <w:t>7</w:t>
            </w:r>
          </w:p>
        </w:tc>
        <w:tc>
          <w:tcPr>
            <w:tcW w:type="dxa" w:w="2160"/>
          </w:tcPr>
          <w:p>
            <w:r/>
            <w:r>
              <w:rPr>
                <w:b w:val="0"/>
                <w:i w:val="0"/>
                <w:strike w:val="0"/>
              </w:rPr>
              <w:t>Firm</w:t>
            </w:r>
          </w:p>
        </w:tc>
        <w:tc>
          <w:tcPr>
            <w:tcW w:type="dxa" w:w="2160"/>
          </w:tcPr>
          <w:p>
            <w:r/>
            <w:r>
              <w:rPr>
                <w:b w:val="0"/>
                <w:i w:val="0"/>
                <w:strike w:val="0"/>
              </w:rPr>
              <w:t>With the details complete, the firm proceeds to payment.</w:t>
            </w:r>
          </w:p>
        </w:tc>
        <w:tc>
          <w:tcPr>
            <w:tcW w:type="dxa" w:w="2160"/>
          </w:tcPr>
          <w:p>
            <w:r/>
            <w:r>
              <w:rPr>
                <w:b w:val="0"/>
                <w:i w:val="0"/>
                <w:strike w:val="0"/>
              </w:rPr>
              <w:t>5.7 — FR-123, FR-124</w:t>
            </w:r>
          </w:p>
        </w:tc>
      </w:tr>
      <w:tr>
        <w:tc>
          <w:tcPr>
            <w:tcW w:type="dxa" w:w="2160"/>
          </w:tcPr>
          <w:p>
            <w:r/>
            <w:r>
              <w:rPr>
                <w:b w:val="0"/>
                <w:i w:val="0"/>
                <w:strike w:val="0"/>
              </w:rPr>
              <w:t>8</w:t>
            </w:r>
          </w:p>
        </w:tc>
        <w:tc>
          <w:tcPr>
            <w:tcW w:type="dxa" w:w="2160"/>
          </w:tcPr>
          <w:p>
            <w:r/>
            <w:r>
              <w:rPr>
                <w:b w:val="0"/>
                <w:i w:val="0"/>
                <w:strike w:val="0"/>
              </w:rPr>
              <w:t>Firm</w:t>
            </w:r>
          </w:p>
        </w:tc>
        <w:tc>
          <w:tcPr>
            <w:tcW w:type="dxa" w:w="2160"/>
          </w:tcPr>
          <w:p>
            <w:r/>
            <w:r>
              <w:rPr>
                <w:b w:val="0"/>
                <w:i w:val="0"/>
                <w:strike w:val="0"/>
              </w:rPr>
              <w:t>On successful payment the account is activated and the firm can log in to its dashboard.</w:t>
            </w:r>
          </w:p>
        </w:tc>
        <w:tc>
          <w:tcPr>
            <w:tcW w:type="dxa" w:w="2160"/>
          </w:tcPr>
          <w:p>
            <w:r/>
            <w:r>
              <w:rPr>
                <w:b w:val="0"/>
                <w:i w:val="0"/>
                <w:strike w:val="0"/>
              </w:rPr>
              <w:t>5.8 — FR-125, FR-127</w:t>
            </w:r>
          </w:p>
        </w:tc>
      </w:tr>
      <w:tr>
        <w:tc>
          <w:tcPr>
            <w:tcW w:type="dxa" w:w="2160"/>
          </w:tcPr>
          <w:p>
            <w:r/>
            <w:r>
              <w:rPr>
                <w:b w:val="0"/>
                <w:i w:val="0"/>
                <w:strike w:val="0"/>
              </w:rPr>
              <w:t>9</w:t>
            </w:r>
          </w:p>
        </w:tc>
        <w:tc>
          <w:tcPr>
            <w:tcW w:type="dxa" w:w="2160"/>
          </w:tcPr>
          <w:p>
            <w:r/>
            <w:r>
              <w:rPr>
                <w:b w:val="0"/>
                <w:i w:val="0"/>
                <w:strike w:val="0"/>
              </w:rPr>
              <w:t>Firm</w:t>
            </w:r>
          </w:p>
        </w:tc>
        <w:tc>
          <w:tcPr>
            <w:tcW w:type="dxa" w:w="2160"/>
          </w:tcPr>
          <w:p>
            <w:r/>
            <w:r>
              <w:rPr>
                <w:b w:val="0"/>
                <w:i w:val="0"/>
                <w:strike w:val="0"/>
              </w:rPr>
              <w:t>On failed payment the firm can retry. Nothing entered so far is lost.</w:t>
            </w:r>
          </w:p>
        </w:tc>
        <w:tc>
          <w:tcPr>
            <w:tcW w:type="dxa" w:w="2160"/>
          </w:tcPr>
          <w:p>
            <w:r/>
            <w:r>
              <w:rPr>
                <w:b w:val="0"/>
                <w:i w:val="0"/>
                <w:strike w:val="0"/>
              </w:rPr>
              <w:t>5.7 — FR-126</w:t>
            </w:r>
          </w:p>
        </w:tc>
      </w:tr>
    </w:tbl>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v7.0)</w:t>
            </w:r>
          </w:p>
          <w:p>
            <w:r>
              <w:rPr>
                <w:b/>
                <w:i w:val="0"/>
                <w:strike w:val="0"/>
              </w:rPr>
              <w:t>📌 Note</w:t>
            </w:r>
          </w:p>
          <w:p>
            <w:pPr>
              <w:pStyle w:val="ListBullet"/>
            </w:pPr>
            <w:r>
              <w:rPr>
                <w:b/>
                <w:i/>
                <w:strike w:val="0"/>
                <w:color w:val="843C0C"/>
              </w:rPr>
              <w:t>Stage 3 is deliberately outside the platform. Do not build contract management, e-signature, or quote generation. The only thing the platform records about stage 3 is that it happened and who confirmed it — see SA-19.</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Stages 7 to 9 are the largest piece of net-new engineering in this section: a payment integration, a billing state on the tenant, and a login gate that reads it. This is the first time money moves through the platform in any version of this document. See the flags in 5.7, and GAP-18 and GAP-19 in Section 16 before estimating it.</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Stages 1 to 4 mean the Portal now holds records for firms that are not customers and may never become customers. That is a new data class — see the note added to Section 2 and the retention question ON-08.</w:t>
            </w:r>
            <w:r>
              <w:rPr>
                <w:b w:val="0"/>
                <w:i w:val="0"/>
                <w:strike w:val="0"/>
              </w:rPr>
              <w:t xml:space="preserve"> </w:t>
            </w:r>
            <w:r>
              <w:rPr>
                <w:b w:val="0"/>
                <w:i/>
                <w:strike w:val="0"/>
                <w:color w:val="843C0C"/>
                <w:sz w:val="16"/>
              </w:rPr>
              <w:t xml:space="preserve"> [Aug 2026 onboarding flow]</w:t>
            </w:r>
          </w:p>
        </w:tc>
      </w:tr>
    </w:tbl>
    <w:p>
      <w:pPr>
        <w:pStyle w:val="Heading2"/>
      </w:pPr>
      <w:r>
        <w:t>5.2 Enquiries</w:t>
      </w:r>
    </w:p>
    <w:p>
      <w:r>
        <w:rPr>
          <w:b/>
          <w:i w:val="0"/>
          <w:strike w:val="0"/>
          <w:color w:val="1155CC"/>
        </w:rPr>
        <w:t>[SA-16]</w:t>
      </w:r>
      <w:r>
        <w:rPr>
          <w:b w:val="0"/>
          <w:i w:val="0"/>
          <w:strike w:val="0"/>
        </w:rPr>
        <w:t xml:space="preserve"> </w:t>
      </w:r>
      <w:r>
        <w:rPr>
          <w:b/>
          <w:i/>
          <w:strike w:val="0"/>
          <w:color w:val="843C0C"/>
        </w:rPr>
        <w:t>The platform receives enquiries from prospective firms. An enquiry captures at minimum the firm name, the contact person and their email, the jurisdiction, and whatever the enquiry form collected — including the free-text message. Enquiries arrive from the marketing site's demo-request form (MKT-02) and can also be entered by hand by Sosinna's team for a firm that made contact some other way, so that every prospect sits in one list regardless of how it arrived.</w:t>
      </w:r>
      <w:r>
        <w:rPr>
          <w:b w:val="0"/>
          <w:i w:val="0"/>
          <w:strike w:val="0"/>
        </w:rPr>
        <w:t xml:space="preserve"> </w:t>
      </w:r>
      <w:r>
        <w:rPr>
          <w:b w:val="0"/>
          <w:i/>
          <w:strike w:val="0"/>
          <w:color w:val="843C0C"/>
          <w:sz w:val="16"/>
        </w:rPr>
        <w:t xml:space="preserve"> [Aug 2026 onboarding flow]</w:t>
      </w:r>
    </w:p>
    <w:p>
      <w:r>
        <w:rPr>
          <w:b/>
          <w:i w:val="0"/>
          <w:strike w:val="0"/>
          <w:color w:val="1155CC"/>
        </w:rPr>
        <w:t>[SA-17]</w:t>
      </w:r>
      <w:r>
        <w:rPr>
          <w:b w:val="0"/>
          <w:i w:val="0"/>
          <w:strike w:val="0"/>
        </w:rPr>
        <w:t xml:space="preserve"> </w:t>
      </w:r>
      <w:r>
        <w:rPr>
          <w:b/>
          <w:i/>
          <w:strike w:val="0"/>
          <w:color w:val="843C0C"/>
        </w:rPr>
        <w:t>The Portal dashboard shows the list of enquiries: who enquired, when, from where, current status, and who on Sosinna's team owns it. It is sortable and filterable, and an ageing enquiry is visible as such — this is a work queue, in the same spirit as the CCO's pending-item pool in Section 7.2.</w:t>
      </w:r>
      <w:r>
        <w:rPr>
          <w:b w:val="0"/>
          <w:i w:val="0"/>
          <w:strike w:val="0"/>
        </w:rPr>
        <w:t xml:space="preserve"> </w:t>
      </w:r>
      <w:r>
        <w:rPr>
          <w:b w:val="0"/>
          <w:i/>
          <w:strike w:val="0"/>
          <w:color w:val="843C0C"/>
          <w:sz w:val="16"/>
        </w:rPr>
        <w:t xml:space="preserve"> [Aug 2026 onboarding flow]</w:t>
      </w:r>
    </w:p>
    <w:p>
      <w:r>
        <w:rPr>
          <w:b/>
          <w:i w:val="0"/>
          <w:strike w:val="0"/>
          <w:color w:val="1155CC"/>
        </w:rPr>
        <w:t>[SA-18]</w:t>
      </w:r>
      <w:r>
        <w:rPr>
          <w:b w:val="0"/>
          <w:i w:val="0"/>
          <w:strike w:val="0"/>
        </w:rPr>
        <w:t xml:space="preserve"> </w:t>
      </w:r>
      <w:r>
        <w:rPr>
          <w:b/>
          <w:i/>
          <w:strike w:val="0"/>
          <w:color w:val="843C0C"/>
        </w:rPr>
        <w:t xml:space="preserve">Each enquiry carries a status through its life: </w:t>
      </w:r>
      <w:r>
        <w:rPr>
          <w:b/>
          <w:i/>
          <w:strike w:val="0"/>
          <w:color w:val="843C0C"/>
        </w:rPr>
        <w:t>New → Contacted → Qualified → Agreement Signed → Link Issued → Onboarding In Progress → Active</w:t>
      </w:r>
      <w:r>
        <w:rPr>
          <w:b/>
          <w:i/>
          <w:strike w:val="0"/>
          <w:color w:val="843C0C"/>
        </w:rPr>
        <w:t xml:space="preserve"> — or </w:t>
      </w:r>
      <w:r>
        <w:rPr>
          <w:b/>
          <w:i/>
          <w:strike w:val="0"/>
          <w:color w:val="843C0C"/>
        </w:rPr>
        <w:t>Declined / Lost</w:t>
      </w:r>
      <w:r>
        <w:rPr>
          <w:b/>
          <w:i/>
          <w:strike w:val="0"/>
          <w:color w:val="843C0C"/>
        </w:rPr>
        <w:t xml:space="preserve"> at any point, with a reason. Status changes are timestamped and attributed. An enquiry is never deleted; a lost one is closed with its reason and retained, because it is the record of who approached the business and what happened.</w:t>
      </w:r>
      <w:r>
        <w:rPr>
          <w:b w:val="0"/>
          <w:i w:val="0"/>
          <w:strike w:val="0"/>
        </w:rPr>
        <w:t xml:space="preserve"> </w:t>
      </w:r>
      <w:r>
        <w:rPr>
          <w:b w:val="0"/>
          <w:i/>
          <w:strike w:val="0"/>
          <w:color w:val="843C0C"/>
          <w:sz w:val="16"/>
        </w:rPr>
        <w:t xml:space="preserve"> [Aug 2026 onboarding flow]</w:t>
      </w:r>
    </w:p>
    <w:p>
      <w:r>
        <w:rPr>
          <w:b/>
          <w:i/>
          <w:strike w:val="0"/>
          <w:color w:val="CC00CC"/>
        </w:rPr>
        <w:t xml:space="preserve">The 14 Aug 2026 meeting named the judgement behind the </w:t>
      </w:r>
      <w:r>
        <w:rPr>
          <w:b/>
          <w:i/>
          <w:strike w:val="0"/>
          <w:color w:val="CC00CC"/>
        </w:rPr>
        <w:t>Qualified</w:t>
      </w:r>
      <w:r>
        <w:rPr>
          <w:b/>
          <w:i/>
          <w:strike w:val="0"/>
          <w:color w:val="CC00CC"/>
        </w:rPr>
        <w:t xml:space="preserve"> status: Sosinna's team decides whether a firm has all the requirements to be evaluated with ControlIQ before onboarding begins. Qualification is a human decision by Sosinna's team, not a platform-calculated eligibility check — the platform records the decision and its date against the enquiry, nothing more.</w:t>
      </w:r>
      <w:r>
        <w:rPr>
          <w:b w:val="0"/>
          <w:i w:val="0"/>
          <w:strike w:val="0"/>
        </w:rPr>
        <w:t xml:space="preserve"> </w:t>
      </w:r>
      <w:r>
        <w:rPr>
          <w:b w:val="0"/>
          <w:i/>
          <w:strike w:val="0"/>
          <w:color w:val="CC00CC"/>
          <w:sz w:val="16"/>
        </w:rPr>
        <w:t xml:space="preserve"> [14 Aug 2026 MOM]</w:t>
      </w:r>
    </w:p>
    <w:p>
      <w:pPr>
        <w:pStyle w:val="Heading2"/>
      </w:pPr>
      <w:r>
        <w:t>5.3 The Legal Agreement — Handled Offline</w:t>
      </w:r>
    </w:p>
    <w:p>
      <w:r>
        <w:rPr>
          <w:b w:val="0"/>
          <w:i w:val="0"/>
          <w:strike w:val="0"/>
        </w:rPr>
        <w:t>The commercial conversation, the pricing agreement, and the contract signature all happen outside ControlIQ. Sosinna's team meets the firm, agrees the plan and the seat count, and executes the paperwork by their normal means. This is consistent with the sales-assisted model already confirmed in CC-01 and MKT-02: there is no self-serve path from the marketing site into a live account.</w:t>
      </w:r>
    </w:p>
    <w:p>
      <w:r>
        <w:rPr>
          <w:b/>
          <w:i w:val="0"/>
          <w:strike w:val="0"/>
          <w:color w:val="1155CC"/>
        </w:rPr>
        <w:t>[SA-19]</w:t>
      </w:r>
      <w:r>
        <w:rPr>
          <w:b w:val="0"/>
          <w:i w:val="0"/>
          <w:strike w:val="0"/>
        </w:rPr>
        <w:t xml:space="preserve"> </w:t>
      </w:r>
      <w:r>
        <w:rPr>
          <w:b/>
          <w:i/>
          <w:strike w:val="0"/>
          <w:color w:val="843C0C"/>
        </w:rPr>
        <w:t>Before an onboarding link can be generated, a member of Sosinna's team records against the enquiry that the legal agreement is complete: who confirmed it, the date, the agreed plan type and seat count, and optionally an uploaded copy of the executed agreement for reference. The platform does not manage, generate or sign the agreement — it records that the gate has been passed, because that record is what authorises everything downstream, including the amount the firm will be asked to pay.</w:t>
      </w:r>
      <w:r>
        <w:rPr>
          <w:b w:val="0"/>
          <w:i w:val="0"/>
          <w:strike w:val="0"/>
        </w:rPr>
        <w:t xml:space="preserve"> </w:t>
      </w:r>
      <w:r>
        <w:rPr>
          <w:b w:val="0"/>
          <w:i/>
          <w:strike w:val="0"/>
          <w:color w:val="843C0C"/>
          <w:sz w:val="16"/>
        </w:rPr>
        <w:t xml:space="preserve"> [Aug 2026 onboarding flow]</w:t>
      </w:r>
    </w:p>
    <w:p>
      <w:pPr>
        <w:pStyle w:val="Heading2"/>
      </w:pPr>
      <w:r>
        <w:t>5.4 The Onboarding Link</w:t>
      </w:r>
    </w:p>
    <w:p>
      <w:r>
        <w:rPr>
          <w:b/>
          <w:i w:val="0"/>
          <w:strike w:val="0"/>
          <w:color w:val="1155CC"/>
        </w:rPr>
        <w:t>[SA-20]</w:t>
      </w:r>
      <w:r>
        <w:rPr>
          <w:b w:val="0"/>
          <w:i w:val="0"/>
          <w:strike w:val="0"/>
        </w:rPr>
        <w:t xml:space="preserve"> </w:t>
      </w:r>
      <w:r>
        <w:rPr>
          <w:b/>
          <w:i/>
          <w:strike w:val="0"/>
          <w:color w:val="843C0C"/>
        </w:rPr>
        <w:t>Sosinna's team generates an onboarding link for a qualified, agreed firm and the platform emails it to the named contact. The link is unique to that one enquiry, carries no credentials, and is the only route into the onboarding wizard — a firm cannot self-register. Generating it moves the enquiry to Link Issued and creates the firm's tenant in a pre-activation state.</w:t>
      </w:r>
      <w:r>
        <w:rPr>
          <w:b w:val="0"/>
          <w:i w:val="0"/>
          <w:strike w:val="0"/>
        </w:rPr>
        <w:t xml:space="preserve"> </w:t>
      </w:r>
      <w:r>
        <w:rPr>
          <w:b w:val="0"/>
          <w:i/>
          <w:strike w:val="0"/>
          <w:color w:val="843C0C"/>
          <w:sz w:val="16"/>
        </w:rPr>
        <w:t xml:space="preserve"> [Aug 2026 onboarding flow]</w:t>
      </w:r>
    </w:p>
    <w:p>
      <w:r>
        <w:rPr>
          <w:b/>
          <w:i w:val="0"/>
          <w:strike w:val="0"/>
          <w:color w:val="1155CC"/>
        </w:rPr>
        <w:t>[SA-21]</w:t>
      </w:r>
      <w:r>
        <w:rPr>
          <w:b w:val="0"/>
          <w:i w:val="0"/>
          <w:strike w:val="0"/>
        </w:rPr>
        <w:t xml:space="preserve"> </w:t>
      </w:r>
      <w:r>
        <w:rPr>
          <w:b/>
          <w:i/>
          <w:strike w:val="0"/>
          <w:color w:val="843C0C"/>
        </w:rPr>
        <w:t>The link expires after a configurable period and can be re-sent or revoked by Sosinna's team at any time. Every issue, re-issue and revocation is recorded against the enquiry with who did it and when. An expired or revoked link cannot be used; the firm sees a plain message telling them to contact Sosinna's team rather than an error.</w:t>
      </w:r>
      <w:r>
        <w:rPr>
          <w:b w:val="0"/>
          <w:i w:val="0"/>
          <w:strike w:val="0"/>
        </w:rPr>
        <w:t xml:space="preserve"> </w:t>
      </w:r>
      <w:r>
        <w:rPr>
          <w:b w:val="0"/>
          <w:i/>
          <w:strike w:val="0"/>
          <w:color w:val="843C0C"/>
          <w:sz w:val="16"/>
        </w:rPr>
        <w:t xml:space="preserve"> [Aug 2026 onboarding flow]</w:t>
      </w:r>
    </w:p>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v7.0)</w:t>
            </w:r>
          </w:p>
          <w:p>
            <w:r>
              <w:rPr>
                <w:b/>
                <w:i w:val="0"/>
                <w:strike w:val="0"/>
              </w:rPr>
              <w:t>📌 Note</w:t>
            </w:r>
          </w:p>
          <w:p>
            <w:pPr>
              <w:pStyle w:val="ListBullet"/>
            </w:pPr>
            <w:r>
              <w:rPr>
                <w:b/>
                <w:i/>
                <w:strike w:val="0"/>
                <w:color w:val="843C0C"/>
              </w:rPr>
              <w:t>The link is an invitation token, not an authentication mechanism. Clicking it proves the recipient has the email, nothing more. It grants exactly one capability: creating the firm's first administrator account under FR-117, which is where real identity and MFA are established. It must be single-purpose and consumed on use — treat it as a security control, since it is the sole entry point to the platform.</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This supersedes MKT-03, which said Sosinna's team creates the account directly. They now create the invitation; the firm creates its own account. Section 1.3 has been updated.</w:t>
            </w:r>
            <w:r>
              <w:rPr>
                <w:b w:val="0"/>
                <w:i w:val="0"/>
                <w:strike w:val="0"/>
              </w:rPr>
              <w:t xml:space="preserve"> </w:t>
            </w:r>
            <w:r>
              <w:rPr>
                <w:b w:val="0"/>
                <w:i/>
                <w:strike w:val="0"/>
                <w:color w:val="843C0C"/>
                <w:sz w:val="16"/>
              </w:rPr>
              <w:t xml:space="preserve"> [Aug 2026 onboarding flow]</w:t>
            </w:r>
          </w:p>
        </w:tc>
      </w:tr>
    </w:tbl>
    <w:p>
      <w:pPr>
        <w:pStyle w:val="Heading2"/>
      </w:pPr>
      <w:r>
        <w:t>5.5 What the Wizard Collects</w:t>
      </w:r>
    </w:p>
    <w:p>
      <w:r>
        <w:rPr>
          <w:b w:val="0"/>
          <w:i w:val="0"/>
          <w:strike w:val="0"/>
        </w:rPr>
        <w:t>When a new crypto company joins ControlIQ, they go through a guided setup process — called a wizard — that walks them through everything the platform needs to know about their business. This setup is critical: the answers determine which compliance tests the firm needs to run. Getting it wrong means the wrong tests get loaded.</w:t>
      </w:r>
    </w:p>
    <w:p>
      <w:r>
        <w:rPr>
          <w:b/>
          <w:i w:val="0"/>
          <w:strike w:val="0"/>
          <w:color w:val="1155CC"/>
        </w:rPr>
        <w:t>[FR-117]</w:t>
      </w:r>
      <w:r>
        <w:rPr>
          <w:b w:val="0"/>
          <w:i w:val="0"/>
          <w:strike w:val="0"/>
        </w:rPr>
        <w:t xml:space="preserve"> </w:t>
      </w:r>
      <w:r>
        <w:rPr>
          <w:b/>
          <w:i/>
          <w:strike w:val="0"/>
          <w:color w:val="843C0C"/>
        </w:rPr>
        <w:t>The firm's first Firm Super Admin account is created from the onboarding link: the named contact sets their own password and enrols in MFA under FR-11 before any onboarding data is entered. This is the account that completes the wizard. FR-15 requires every firm to hold at least two Firm Super Admins, so the wizard requires a second administrator to be invited before onboarding can be marked complete — a firm must not reach its first login with a single point of administrative failure.</w:t>
      </w:r>
      <w:r>
        <w:rPr>
          <w:b w:val="0"/>
          <w:i w:val="0"/>
          <w:strike w:val="0"/>
        </w:rPr>
        <w:t xml:space="preserve"> </w:t>
      </w:r>
      <w:r>
        <w:rPr>
          <w:b w:val="0"/>
          <w:i/>
          <w:strike w:val="0"/>
          <w:color w:val="843C0C"/>
          <w:sz w:val="16"/>
        </w:rPr>
        <w:t xml:space="preserve"> [Aug 2026 onboarding flow]</w:t>
      </w:r>
    </w:p>
    <w:p>
      <w:r>
        <w:rPr>
          <w:b/>
          <w:i w:val="0"/>
          <w:strike w:val="0"/>
          <w:color w:val="1155CC"/>
        </w:rPr>
        <w:t>[FR-118]</w:t>
      </w:r>
      <w:r>
        <w:rPr>
          <w:b w:val="0"/>
          <w:i w:val="0"/>
          <w:strike w:val="0"/>
        </w:rPr>
        <w:t xml:space="preserve"> </w:t>
      </w:r>
      <w:r>
        <w:rPr>
          <w:b/>
          <w:i/>
          <w:strike w:val="0"/>
          <w:color w:val="843C0C"/>
        </w:rPr>
        <w:t>Onboarding is resumable. Progress is saved at each step, the firm can leave and return via the same link, and a progress indicator shows which steps are done and what remains. A firm gathering financial reports and staff data will not finish in one sitting, and must not lose entered data when they stop.</w:t>
      </w:r>
      <w:r>
        <w:rPr>
          <w:b w:val="0"/>
          <w:i w:val="0"/>
          <w:strike w:val="0"/>
        </w:rPr>
        <w:t xml:space="preserve"> </w:t>
      </w:r>
      <w:r>
        <w:rPr>
          <w:b w:val="0"/>
          <w:i/>
          <w:strike w:val="0"/>
          <w:color w:val="843C0C"/>
          <w:sz w:val="16"/>
        </w:rPr>
        <w:t xml:space="preserve"> [Aug 2026 onboarding flow]</w:t>
      </w:r>
    </w:p>
    <w:p>
      <w:r>
        <w:rPr>
          <w:b/>
          <w:i w:val="0"/>
          <w:strike w:val="0"/>
          <w:color w:val="1155CC"/>
        </w:rPr>
        <w:t>[FR-119]</w:t>
      </w:r>
      <w:r>
        <w:rPr>
          <w:b w:val="0"/>
          <w:i w:val="0"/>
          <w:strike w:val="0"/>
        </w:rPr>
        <w:t xml:space="preserve"> </w:t>
      </w:r>
      <w:r>
        <w:rPr>
          <w:b/>
          <w:i/>
          <w:strike w:val="0"/>
          <w:color w:val="843C0C"/>
        </w:rPr>
        <w:t>Each step validates its own input before the firm moves on — a licence number in the expected format, a revenue file matching the platform's template, financial reports in an accepted file type. Where a file cannot be read, the firm is told which file and why, and can re-upload without restarting. Onboarding cannot be marked complete while any mandatory step is unvalidated.</w:t>
      </w:r>
      <w:r>
        <w:rPr>
          <w:b w:val="0"/>
          <w:i w:val="0"/>
          <w:strike w:val="0"/>
        </w:rPr>
        <w:t xml:space="preserve"> </w:t>
      </w:r>
      <w:r>
        <w:rPr>
          <w:b w:val="0"/>
          <w:i/>
          <w:strike w:val="0"/>
          <w:color w:val="843C0C"/>
          <w:sz w:val="16"/>
        </w:rPr>
        <w:t xml:space="preserve"> [Aug 2026 onboarding flow]</w:t>
      </w:r>
    </w:p>
    <w:p>
      <w:r>
        <w:rPr>
          <w:b w:val="0"/>
          <w:i w:val="0"/>
          <w:strike w:val="0"/>
        </w:rPr>
        <w:t>The wizard takes the firm through these steps in order: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Step</w:t>
            </w:r>
          </w:p>
        </w:tc>
        <w:tc>
          <w:tcPr>
            <w:tcW w:type="dxa" w:w="2880"/>
            <w:shd w:val="clear" w:fill="1F4E79"/>
          </w:tcPr>
          <w:p>
            <w:r>
              <w:rPr>
                <w:b/>
                <w:color w:val="FFFFFF"/>
              </w:rPr>
            </w:r>
            <w:r>
              <w:rPr>
                <w:b/>
                <w:i w:val="0"/>
                <w:strike w:val="0"/>
                <w:color w:val="FFFFFF"/>
              </w:rPr>
              <w:t>What the firm enters</w:t>
            </w:r>
          </w:p>
        </w:tc>
        <w:tc>
          <w:tcPr>
            <w:tcW w:type="dxa" w:w="2880"/>
            <w:shd w:val="clear" w:fill="1F4E79"/>
          </w:tcPr>
          <w:p>
            <w:r>
              <w:rPr>
                <w:b/>
                <w:color w:val="FFFFFF"/>
              </w:rPr>
            </w:r>
            <w:r>
              <w:rPr>
                <w:b/>
                <w:i w:val="0"/>
                <w:strike w:val="0"/>
                <w:color w:val="FFFFFF"/>
              </w:rPr>
              <w:t>Why it matters</w:t>
            </w:r>
          </w:p>
        </w:tc>
      </w:tr>
      <w:tr>
        <w:tc>
          <w:tcPr>
            <w:tcW w:type="dxa" w:w="2880"/>
          </w:tcPr>
          <w:p>
            <w:r/>
            <w:r>
              <w:rPr>
                <w:b w:val="0"/>
                <w:i w:val="0"/>
                <w:strike w:val="0"/>
              </w:rPr>
              <w:t>Legal details</w:t>
            </w:r>
          </w:p>
        </w:tc>
        <w:tc>
          <w:tcPr>
            <w:tcW w:type="dxa" w:w="2880"/>
          </w:tcPr>
          <w:p>
            <w:r/>
            <w:r>
              <w:rPr>
                <w:b w:val="0"/>
                <w:i w:val="0"/>
                <w:strike w:val="0"/>
              </w:rPr>
              <w:t>Full legal name, registered address</w:t>
            </w:r>
          </w:p>
        </w:tc>
        <w:tc>
          <w:tcPr>
            <w:tcW w:type="dxa" w:w="2880"/>
          </w:tcPr>
          <w:p>
            <w:r/>
            <w:r>
              <w:rPr>
                <w:b w:val="0"/>
                <w:i w:val="0"/>
                <w:strike w:val="0"/>
              </w:rPr>
              <w:t>Used on every report the platform generates</w:t>
            </w:r>
          </w:p>
        </w:tc>
      </w:tr>
      <w:tr>
        <w:tc>
          <w:tcPr>
            <w:tcW w:type="dxa" w:w="2880"/>
          </w:tcPr>
          <w:p>
            <w:r/>
            <w:r>
              <w:rPr>
                <w:b w:val="0"/>
                <w:i w:val="0"/>
                <w:strike w:val="0"/>
              </w:rPr>
              <w:t>Regulator licence</w:t>
            </w:r>
          </w:p>
        </w:tc>
        <w:tc>
          <w:tcPr>
            <w:tcW w:type="dxa" w:w="2880"/>
          </w:tcPr>
          <w:p>
            <w:r/>
            <w:r>
              <w:rPr>
                <w:b w:val="0"/>
                <w:i w:val="0"/>
                <w:strike w:val="0"/>
              </w:rPr>
              <w:t>Licence number (typed in) and optionally the licence document itself (uploaded as a file)</w:t>
            </w:r>
          </w:p>
        </w:tc>
        <w:tc>
          <w:tcPr>
            <w:tcW w:type="dxa" w:w="2880"/>
          </w:tcPr>
          <w:p>
            <w:r/>
            <w:r>
              <w:rPr>
                <w:b w:val="0"/>
                <w:i w:val="0"/>
                <w:strike w:val="0"/>
              </w:rPr>
              <w:t>The licence number appears on report cover pages and triggers an annual licence review reminder</w:t>
            </w:r>
          </w:p>
        </w:tc>
      </w:tr>
      <w:tr>
        <w:tc>
          <w:tcPr>
            <w:tcW w:type="dxa" w:w="2880"/>
          </w:tcPr>
          <w:p>
            <w:r/>
            <w:r>
              <w:rPr>
                <w:b w:val="0"/>
                <w:i w:val="0"/>
                <w:strike w:val="0"/>
              </w:rPr>
              <w:t>Home jurisdiction</w:t>
            </w:r>
          </w:p>
        </w:tc>
        <w:tc>
          <w:tcPr>
            <w:tcW w:type="dxa" w:w="2880"/>
          </w:tcPr>
          <w:p>
            <w:r/>
            <w:r>
              <w:rPr>
                <w:b w:val="0"/>
                <w:i w:val="0"/>
                <w:strike w:val="0"/>
              </w:rPr>
              <w:t>Which EU country issued their CASP licence</w:t>
            </w:r>
          </w:p>
        </w:tc>
        <w:tc>
          <w:tcPr>
            <w:tcW w:type="dxa" w:w="2880"/>
          </w:tcPr>
          <w:p>
            <w:r/>
            <w:r>
              <w:rPr>
                <w:b w:val="0"/>
                <w:i w:val="0"/>
                <w:strike w:val="0"/>
              </w:rPr>
              <w:t>Determines which national regulator's rules apply on top of base MiCA</w:t>
            </w:r>
          </w:p>
        </w:tc>
      </w:tr>
      <w:tr>
        <w:tc>
          <w:tcPr>
            <w:tcW w:type="dxa" w:w="2880"/>
          </w:tcPr>
          <w:p>
            <w:r/>
            <w:r>
              <w:rPr>
                <w:b w:val="0"/>
                <w:i w:val="0"/>
                <w:strike w:val="0"/>
              </w:rPr>
              <w:t>Branch jurisdictions</w:t>
            </w:r>
          </w:p>
        </w:tc>
        <w:tc>
          <w:tcPr>
            <w:tcW w:type="dxa" w:w="2880"/>
          </w:tcPr>
          <w:p>
            <w:r/>
            <w:r>
              <w:rPr>
                <w:b w:val="0"/>
                <w:i w:val="0"/>
                <w:strike w:val="0"/>
              </w:rPr>
              <w:t>Any other EU countries where they have offices or operate</w:t>
            </w:r>
          </w:p>
        </w:tc>
        <w:tc>
          <w:tcPr>
            <w:tcW w:type="dxa" w:w="2880"/>
          </w:tcPr>
          <w:p>
            <w:r/>
            <w:r>
              <w:rPr>
                <w:b w:val="0"/>
                <w:i w:val="0"/>
                <w:strike w:val="0"/>
              </w:rPr>
              <w:t>Layers additional local rules on top of the base MiCA requirements</w:t>
            </w:r>
          </w:p>
        </w:tc>
      </w:tr>
      <w:tr>
        <w:tc>
          <w:tcPr>
            <w:tcW w:type="dxa" w:w="2880"/>
          </w:tcPr>
          <w:p>
            <w:r/>
            <w:r>
              <w:rPr>
                <w:b w:val="0"/>
                <w:i w:val="0"/>
                <w:strike w:val="0"/>
              </w:rPr>
              <w:t>Revenue source file</w:t>
            </w:r>
          </w:p>
        </w:tc>
        <w:tc>
          <w:tcPr>
            <w:tcW w:type="dxa" w:w="2880"/>
          </w:tcPr>
          <w:p>
            <w:r/>
            <w:r>
              <w:rPr>
                <w:b w:val="0"/>
                <w:i w:val="0"/>
                <w:strike w:val="0"/>
              </w:rPr>
              <w:t>An Excel file using the platform's template, showing the firm's revenue by business line</w:t>
            </w:r>
          </w:p>
        </w:tc>
        <w:tc>
          <w:tcPr>
            <w:tcW w:type="dxa" w:w="2880"/>
          </w:tcPr>
          <w:p>
            <w:r/>
            <w:r>
              <w:rPr>
                <w:b w:val="0"/>
                <w:i w:val="0"/>
                <w:strike w:val="0"/>
              </w:rPr>
              <w:t>This is how the platform determines which CASP service lines the firm operates — which in turn determines which tests they need to run</w:t>
            </w:r>
          </w:p>
        </w:tc>
      </w:tr>
      <w:tr>
        <w:tc>
          <w:tcPr>
            <w:tcW w:type="dxa" w:w="2880"/>
          </w:tcPr>
          <w:p>
            <w:r/>
            <w:r>
              <w:rPr>
                <w:b/>
                <w:i/>
                <w:strike w:val="0"/>
                <w:color w:val="7030A0"/>
              </w:rPr>
              <w:t>Financial reports</w:t>
            </w:r>
            <w:r>
              <w:rPr>
                <w:b w:val="0"/>
                <w:i w:val="0"/>
                <w:strike w:val="0"/>
              </w:rPr>
              <w:t xml:space="preserve"> </w:t>
            </w:r>
            <w:r>
              <w:rPr>
                <w:b w:val="0"/>
                <w:i/>
                <w:strike w:val="0"/>
                <w:color w:val="7030A0"/>
                <w:sz w:val="16"/>
              </w:rPr>
              <w:t xml:space="preserve"> [Aug 2026 client MOM]</w:t>
            </w:r>
          </w:p>
        </w:tc>
        <w:tc>
          <w:tcPr>
            <w:tcW w:type="dxa" w:w="2880"/>
          </w:tcPr>
          <w:p>
            <w:r/>
            <w:r>
              <w:rPr>
                <w:b/>
                <w:i/>
                <w:strike w:val="0"/>
                <w:color w:val="7030A0"/>
              </w:rPr>
              <w:t>The firm's financial statements / regulatory financial reports, uploaded as files</w:t>
            </w:r>
            <w:r>
              <w:rPr>
                <w:b w:val="0"/>
                <w:i w:val="0"/>
                <w:strike w:val="0"/>
              </w:rPr>
              <w:t xml:space="preserve"> </w:t>
            </w:r>
            <w:r>
              <w:rPr>
                <w:b w:val="0"/>
                <w:i/>
                <w:strike w:val="0"/>
                <w:color w:val="7030A0"/>
                <w:sz w:val="16"/>
              </w:rPr>
              <w:t xml:space="preserve"> [Aug 2026 client MOM]</w:t>
            </w:r>
          </w:p>
        </w:tc>
        <w:tc>
          <w:tcPr>
            <w:tcW w:type="dxa" w:w="2880"/>
          </w:tcPr>
          <w:p>
            <w:r/>
            <w:r>
              <w:rPr>
                <w:b/>
                <w:i/>
                <w:strike w:val="0"/>
                <w:color w:val="7030A0"/>
              </w:rPr>
              <w:t>NEW in v5.0: the platform reads these to help identify the firm's service lines automatically, alongside the revenue template. See FR-92.</w:t>
            </w:r>
            <w:r>
              <w:rPr>
                <w:b w:val="0"/>
                <w:i w:val="0"/>
                <w:strike w:val="0"/>
              </w:rPr>
              <w:t xml:space="preserve"> </w:t>
            </w:r>
            <w:r>
              <w:rPr>
                <w:b w:val="0"/>
                <w:i/>
                <w:strike w:val="0"/>
                <w:color w:val="7030A0"/>
                <w:sz w:val="16"/>
              </w:rPr>
              <w:t xml:space="preserve"> [Aug 2026 client MOM]</w:t>
            </w:r>
          </w:p>
        </w:tc>
      </w:tr>
      <w:tr>
        <w:tc>
          <w:tcPr>
            <w:tcW w:type="dxa" w:w="2880"/>
          </w:tcPr>
          <w:p>
            <w:r/>
            <w:r>
              <w:rPr>
                <w:b/>
                <w:i/>
                <w:strike w:val="0"/>
                <w:color w:val="2E7D32"/>
              </w:rPr>
              <w:t>Service line selection</w:t>
            </w:r>
            <w:r>
              <w:rPr>
                <w:b w:val="0"/>
                <w:i w:val="0"/>
                <w:strike w:val="0"/>
              </w:rPr>
              <w:t xml:space="preserve"> </w:t>
            </w:r>
            <w:r>
              <w:rPr>
                <w:b w:val="0"/>
                <w:i/>
                <w:strike w:val="0"/>
                <w:color w:val="2E7D32"/>
                <w:sz w:val="16"/>
              </w:rPr>
              <w:t xml:space="preserve"> [Sep 2026 model revision]</w:t>
            </w:r>
          </w:p>
        </w:tc>
        <w:tc>
          <w:tcPr>
            <w:tcW w:type="dxa" w:w="2880"/>
          </w:tcPr>
          <w:p>
            <w:r/>
            <w:r>
              <w:rPr>
                <w:b/>
                <w:i/>
                <w:strike w:val="0"/>
                <w:color w:val="2E7D32"/>
              </w:rPr>
              <w:t>A selection screen listing the platform's service lines (SA-26), pre-ticked from the revenue file and the financial reports. The CCO adds or removes lines and confirms the final set</w:t>
            </w:r>
            <w:r>
              <w:rPr>
                <w:b w:val="0"/>
                <w:i w:val="0"/>
                <w:strike w:val="0"/>
              </w:rPr>
              <w:t xml:space="preserve"> </w:t>
            </w:r>
            <w:r>
              <w:rPr>
                <w:b w:val="0"/>
                <w:i/>
                <w:strike w:val="0"/>
                <w:color w:val="2E7D32"/>
                <w:sz w:val="16"/>
              </w:rPr>
              <w:t xml:space="preserve"> [Sep 2026 model revision]</w:t>
            </w:r>
          </w:p>
        </w:tc>
        <w:tc>
          <w:tcPr>
            <w:tcW w:type="dxa" w:w="2880"/>
          </w:tcPr>
          <w:p>
            <w:r/>
            <w:r>
              <w:rPr>
                <w:b/>
                <w:i/>
                <w:strike w:val="0"/>
                <w:color w:val="2E7D32"/>
              </w:rPr>
              <w:t>REVISED in v10.0: the firm selects its service lines; the uploaded files pre-fill that selection rather than deciding it. The confirmed selection is what loads the tests under FR-07. Superseded wording: "A review screen showing the service lines the platform derived from the revenue file" / "The CCO confirms the derived service lines before tests are loaded"</w:t>
            </w:r>
            <w:r>
              <w:rPr>
                <w:b w:val="0"/>
                <w:i w:val="0"/>
                <w:strike w:val="0"/>
              </w:rPr>
              <w:t xml:space="preserve"> </w:t>
            </w:r>
            <w:r>
              <w:rPr>
                <w:b w:val="0"/>
                <w:i/>
                <w:strike w:val="0"/>
                <w:color w:val="2E7D32"/>
                <w:sz w:val="16"/>
              </w:rPr>
              <w:t xml:space="preserve"> [Sep 2026 model revision]</w:t>
            </w:r>
          </w:p>
        </w:tc>
      </w:tr>
      <w:tr>
        <w:tc>
          <w:tcPr>
            <w:tcW w:type="dxa" w:w="2880"/>
          </w:tcPr>
          <w:p>
            <w:r/>
            <w:r>
              <w:rPr>
                <w:b w:val="0"/>
                <w:i w:val="0"/>
                <w:strike w:val="0"/>
              </w:rPr>
              <w:t>Client base</w:t>
            </w:r>
          </w:p>
        </w:tc>
        <w:tc>
          <w:tcPr>
            <w:tcW w:type="dxa" w:w="2880"/>
          </w:tcPr>
          <w:p>
            <w:r/>
            <w:r>
              <w:rPr>
                <w:b w:val="0"/>
                <w:i w:val="0"/>
                <w:strike w:val="0"/>
              </w:rPr>
              <w:t>Whether the firm serves retail clients, institutional clients, or both</w:t>
            </w:r>
          </w:p>
        </w:tc>
        <w:tc>
          <w:tcPr>
            <w:tcW w:type="dxa" w:w="2880"/>
          </w:tcPr>
          <w:p>
            <w:r/>
            <w:r>
              <w:rPr>
                <w:b w:val="0"/>
                <w:i w:val="0"/>
                <w:strike w:val="0"/>
              </w:rPr>
              <w:t>Relevant to the suitability and appropriateness tests and the AML risk approach</w:t>
            </w:r>
          </w:p>
        </w:tc>
      </w:tr>
      <w:tr>
        <w:tc>
          <w:tcPr>
            <w:tcW w:type="dxa" w:w="2880"/>
          </w:tcPr>
          <w:p>
            <w:r/>
            <w:r>
              <w:rPr>
                <w:b/>
                <w:i/>
                <w:strike w:val="0"/>
                <w:color w:val="843C0C"/>
              </w:rPr>
              <w:t>Staff, reporting lines and call tree</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The firm's people, who reports to whom, and each person's next contact in the business continuity call tree — by spreadsheet upload only (manual entry removed in v8.0, see FR-62)</w:t>
            </w:r>
            <w:r>
              <w:rPr>
                <w:b w:val="0"/>
                <w:i w:val="0"/>
                <w:strike w:val="0"/>
              </w:rPr>
              <w:t xml:space="preserve"> </w:t>
            </w:r>
            <w:r>
              <w:rPr>
                <w:b w:val="0"/>
                <w:i/>
                <w:strike w:val="0"/>
                <w:color w:val="843C0C"/>
                <w:sz w:val="16"/>
              </w:rPr>
              <w:t xml:space="preserve"> [Aug 2026 onboarding flow]</w:t>
            </w:r>
            <w:r>
              <w:rPr>
                <w:b w:val="0"/>
                <w:i w:val="0"/>
                <w:strike w:val="0"/>
              </w:rPr>
              <w:t xml:space="preserve"> </w:t>
            </w:r>
            <w:r>
              <w:rPr>
                <w:b w:val="0"/>
                <w:i/>
                <w:strike w:val="0"/>
                <w:color w:val="CC00CC"/>
                <w:sz w:val="16"/>
              </w:rPr>
              <w:t xml:space="preserve"> [14 Aug 2026 MOM]</w:t>
            </w:r>
          </w:p>
        </w:tc>
        <w:tc>
          <w:tcPr>
            <w:tcW w:type="dxa" w:w="2880"/>
          </w:tcPr>
          <w:p>
            <w:r/>
            <w:r>
              <w:rPr>
                <w:b/>
                <w:i/>
                <w:strike w:val="0"/>
                <w:color w:val="843C0C"/>
              </w:rPr>
              <w:t>NEW in v7.0: the org chart and call tree are built during onboarding, not after. The platform reviews them for gaps in the same step. Tests are tagged to business owners drawn from these records (FR-82), so testing cannot start without them. See 5.6.</w:t>
            </w:r>
            <w:r>
              <w:rPr>
                <w:b w:val="0"/>
                <w:i w:val="0"/>
                <w:strike w:val="0"/>
              </w:rPr>
              <w:t xml:space="preserve"> </w:t>
            </w:r>
            <w:r>
              <w:rPr>
                <w:b w:val="0"/>
                <w:i/>
                <w:strike w:val="0"/>
                <w:color w:val="843C0C"/>
                <w:sz w:val="16"/>
              </w:rPr>
              <w:t xml:space="preserve"> [Aug 2026 onboarding flow]</w:t>
            </w:r>
          </w:p>
        </w:tc>
      </w:tr>
      <w:tr>
        <w:tc>
          <w:tcPr>
            <w:tcW w:type="dxa" w:w="2880"/>
          </w:tcPr>
          <w:p>
            <w:r/>
            <w:r>
              <w:rPr>
                <w:b/>
                <w:i/>
                <w:strike w:val="0"/>
                <w:color w:val="843C0C"/>
              </w:rPr>
              <w:t>Second administrator</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An invitation to a second Firm Super Admin</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NEW in v7.0: FR-15 requires at least two. Collected here so the requirement is satisfied before first login rather than warned about afterwards. See FR-117.</w:t>
            </w:r>
            <w:r>
              <w:rPr>
                <w:b w:val="0"/>
                <w:i w:val="0"/>
                <w:strike w:val="0"/>
              </w:rPr>
              <w:t xml:space="preserve"> </w:t>
            </w:r>
            <w:r>
              <w:rPr>
                <w:b w:val="0"/>
                <w:i/>
                <w:strike w:val="0"/>
                <w:color w:val="843C0C"/>
                <w:sz w:val="16"/>
              </w:rPr>
              <w:t xml:space="preserve"> [Aug 2026 onboarding flow]</w:t>
            </w:r>
          </w:p>
        </w:tc>
      </w:tr>
    </w:tbl>
    <w:tbl>
      <w:tblPr>
        <w:tblStyle w:val="TableGrid"/>
        <w:tblW w:type="auto" w:w="0"/>
        <w:tblLook w:firstColumn="1" w:firstRow="1" w:lastColumn="0" w:lastRow="0" w:noHBand="0" w:noVBand="1" w:val="04A0"/>
      </w:tblPr>
      <w:tblGrid>
        <w:gridCol w:w="8640"/>
      </w:tblGrid>
      <w:tr>
        <w:tc>
          <w:tcPr>
            <w:tcW w:type="dxa" w:w="8640"/>
            <w:shd w:val="clear" w:fill="DDEBF7"/>
          </w:tcPr>
          <w:p>
            <w:r>
              <w:rPr>
                <w:b/>
                <w:i w:val="0"/>
                <w:strike w:val="0"/>
              </w:rPr>
              <w:t>📌 Note</w:t>
            </w:r>
          </w:p>
          <w:p>
            <w:pPr>
              <w:pStyle w:val="ListBullet"/>
            </w:pPr>
            <w:r>
              <w:rPr>
                <w:b/>
                <w:i/>
                <w:strike w:val="0"/>
                <w:color w:val="2E7D32"/>
              </w:rPr>
              <w:t>REVISED in v10.0. The firm selects its service lines from the platform's master list (SA-26) as a step of the wizard. The revenue source Excel file and the financial reports are read first and used to pre-tick that list, so the firm starts from the platform's best reading rather than a blank screen — but the firm's selection is what counts, and it can tick or untick any line. Where the final selection differs from the pre-fill, the deviation is recorded with a written reason under FR-141.</w:t>
            </w:r>
            <w:r>
              <w:rPr>
                <w:b w:val="0"/>
                <w:i w:val="0"/>
                <w:strike w:val="0"/>
              </w:rPr>
              <w:t xml:space="preserve"> </w:t>
            </w:r>
            <w:r>
              <w:rPr>
                <w:b w:val="0"/>
                <w:i/>
                <w:strike w:val="0"/>
                <w:color w:val="2E7D32"/>
                <w:sz w:val="16"/>
              </w:rPr>
              <w:t xml:space="preserve"> [Sep 2026 model revision]</w:t>
            </w:r>
          </w:p>
          <w:p>
            <w:pPr>
              <w:pStyle w:val="ListBullet"/>
            </w:pPr>
            <w:r>
              <w:rPr>
                <w:b w:val="0"/>
                <w:i/>
                <w:strike w:val="0"/>
                <w:color w:val="2E7D32"/>
              </w:rPr>
              <w:t>Superseded in v10.0, kept for context: "The firm does not manually tick a list of service lines. The platform reads the revenue source Excel file they upload and works out the service lines from that. The firm then confirms the result looks correct." This was already in tension with the 25 Jun call note below, which records that selection cannot be automated 1:1 from the revenue file.</w:t>
            </w:r>
            <w:r>
              <w:rPr>
                <w:b w:val="0"/>
                <w:i w:val="0"/>
                <w:strike w:val="0"/>
              </w:rPr>
              <w:t xml:space="preserve"> </w:t>
            </w:r>
            <w:r>
              <w:rPr>
                <w:b w:val="0"/>
                <w:i/>
                <w:strike w:val="0"/>
                <w:color w:val="2E7D32"/>
                <w:sz w:val="16"/>
              </w:rPr>
              <w:t xml:space="preserve"> [Sep 2026 model revision]</w:t>
            </w:r>
          </w:p>
          <w:p>
            <w:pPr>
              <w:pStyle w:val="ListBullet"/>
            </w:pPr>
            <w:r>
              <w:rPr>
                <w:b w:val="0"/>
                <w:i w:val="0"/>
                <w:strike w:val="0"/>
              </w:rPr>
              <w:t>This revenue file is the platform's template — found in the onboarding section. The firm fills it in and uploads it. They can re-upload it any time their business changes.</w:t>
            </w:r>
          </w:p>
          <w:p>
            <w:pPr>
              <w:pStyle w:val="ListBullet"/>
            </w:pPr>
            <w:r>
              <w:rPr>
                <w:b w:val="0"/>
                <w:i w:val="0"/>
                <w:strike w:val="0"/>
              </w:rPr>
              <w:t xml:space="preserve">If a firm adds a new service line later (for example, they start offering portfolio management), they upload a new revenue file. The platform detects the new service line and automatically loads the additional tests that come with it. </w:t>
            </w:r>
            <w:r>
              <w:rPr>
                <w:b/>
                <w:i/>
                <w:strike w:val="0"/>
                <w:color w:val="2E7D32"/>
              </w:rPr>
              <w:t>v10.0: a firm can also add the line directly to its selection without waiting for a new revenue file — the selection is editable after onboarding under FR-08, and either route triggers the same recalculation.</w:t>
            </w:r>
            <w:r>
              <w:rPr>
                <w:b w:val="0"/>
                <w:i w:val="0"/>
                <w:strike w:val="0"/>
              </w:rPr>
              <w:t xml:space="preserve"> </w:t>
            </w:r>
            <w:r>
              <w:rPr>
                <w:b w:val="0"/>
                <w:i/>
                <w:strike w:val="0"/>
                <w:color w:val="2E7D32"/>
                <w:sz w:val="16"/>
              </w:rPr>
              <w:t xml:space="preserve"> [Sep 2026 model revision]</w:t>
            </w:r>
          </w:p>
          <w:p>
            <w:pPr>
              <w:pStyle w:val="ListBullet"/>
            </w:pPr>
            <w:r>
              <w:rPr>
                <w:b/>
                <w:i/>
                <w:strike w:val="0"/>
                <w:color w:val="7B3F00"/>
              </w:rPr>
              <w:t>CORRECTED in v11.0 — the list source only. The service line master list is the ten CASP service lines defined under MiCA, not the DORA A–H activity list. The clause below named the wrong list, and v10.0's SA-26 carried the error forward; both are superseded on that single point. Everything else in the clause stands unchanged: the list is maintained centrally at Super Admin level, it is the same across every EU jurisdiction, it can be extended as SayOne scales beyond crypto, and selection cannot be automated 1:1 from the revenue file because one revenue line can span two service lines.</w:t>
            </w:r>
            <w:r>
              <w:rPr>
                <w:b w:val="0"/>
                <w:i w:val="0"/>
                <w:strike w:val="0"/>
              </w:rPr>
              <w:t xml:space="preserve"> </w:t>
            </w:r>
            <w:r>
              <w:rPr>
                <w:b w:val="0"/>
                <w:i/>
                <w:strike w:val="0"/>
                <w:color w:val="7B3F00"/>
                <w:sz w:val="16"/>
              </w:rPr>
              <w:t xml:space="preserve"> [Sep 2026 test model]</w:t>
            </w:r>
          </w:p>
          <w:p>
            <w:pPr>
              <w:pStyle w:val="ListBullet"/>
            </w:pPr>
            <w:r>
              <w:rPr>
                <w:b/>
                <w:i/>
                <w:strike w:val="0"/>
                <w:color w:val="1155CC"/>
              </w:rPr>
              <w:t>Service line list source, superseded in v11.0 on the named list only: the DORA A–H activity list is maintained centrally at Super Admin level, is the same across every EU jurisdiction (one EU rule, not state-specific), and can be extended later as SayOne scales beyond crypto (e.g. non-crypto broker-dealers). Selection can't be fully automated 1:1 from the revenue file — a single revenue line can span two service lines — so the firm still confirms manually, guided by an informational pop-up ("what does your licence say?"). Sosinna is sourcing a sample regulatory line-item report (the EU equivalent of a US Form 1040) for the dev team to model the revenue template against.</w:t>
            </w:r>
            <w:r>
              <w:rPr>
                <w:b w:val="0"/>
                <w:i w:val="0"/>
                <w:strike w:val="0"/>
              </w:rPr>
              <w:t xml:space="preserve"> </w:t>
            </w:r>
            <w:r>
              <w:rPr>
                <w:b w:val="0"/>
                <w:i/>
                <w:strike w:val="0"/>
                <w:color w:val="1155CC"/>
                <w:sz w:val="16"/>
              </w:rPr>
              <w:t xml:space="preserve"> [25 Jun FRD call]</w:t>
            </w:r>
          </w:p>
          <w:p>
            <w:pPr>
              <w:pStyle w:val="ListBullet"/>
            </w:pPr>
            <w:r>
              <w:rPr>
                <w:b/>
                <w:i/>
                <w:strike w:val="0"/>
                <w:color w:val="1155CC"/>
              </w:rPr>
              <w:t>Multi-jurisdiction handling: for MVP, testing runs at the entity holding the EU licence (headquarters) — branch-level testing is not required for EU-only branches. The architecture should be built to eventually ingest non-EU rule sets (e.g. UK post-Brexit, or non-EU sectors entirely), but this must not be exposed in the UI for MVP — it's a later-phase toggle.</w:t>
            </w:r>
            <w:r>
              <w:rPr>
                <w:b w:val="0"/>
                <w:i w:val="0"/>
                <w:strike w:val="0"/>
              </w:rPr>
              <w:t xml:space="preserve"> </w:t>
            </w:r>
            <w:r>
              <w:rPr>
                <w:b w:val="0"/>
                <w:i/>
                <w:strike w:val="0"/>
                <w:color w:val="1155CC"/>
                <w:sz w:val="16"/>
              </w:rPr>
              <w:t xml:space="preserve"> [25 Jun FRD call]</w:t>
            </w:r>
          </w:p>
        </w:tc>
      </w:tr>
    </w:tbl>
    <w:p>
      <w:r>
        <w:rPr>
          <w:b/>
          <w:i w:val="0"/>
          <w:strike w:val="0"/>
          <w:color w:val="1155CC"/>
        </w:rPr>
        <w:t>[FR-01]</w:t>
      </w:r>
      <w:r>
        <w:rPr>
          <w:b w:val="0"/>
          <w:i w:val="0"/>
          <w:strike w:val="0"/>
        </w:rPr>
        <w:t xml:space="preserve"> Firm registration captures: legal name, registered address, home jurisdiction, and licence details.</w:t>
      </w:r>
    </w:p>
    <w:p>
      <w:r>
        <w:rPr>
          <w:b/>
          <w:i w:val="0"/>
          <w:strike w:val="0"/>
          <w:color w:val="1155CC"/>
        </w:rPr>
        <w:t>[FR-02]</w:t>
      </w:r>
      <w:r>
        <w:rPr>
          <w:b w:val="0"/>
          <w:i w:val="0"/>
          <w:strike w:val="0"/>
        </w:rPr>
        <w:t xml:space="preserve"> NCA licence is captured as both a typed licence number and an optional uploaded PDF of the licence document itself.</w:t>
      </w:r>
    </w:p>
    <w:p>
      <w:r>
        <w:rPr>
          <w:b/>
          <w:i w:val="0"/>
          <w:strike w:val="0"/>
          <w:color w:val="1155CC"/>
        </w:rPr>
        <w:t>[FR-03]</w:t>
      </w:r>
      <w:r>
        <w:rPr>
          <w:b w:val="0"/>
          <w:i w:val="0"/>
          <w:strike w:val="0"/>
        </w:rPr>
        <w:t xml:space="preserve"> Home jurisdiction and branch jurisdictions are both captured during setup.</w:t>
      </w:r>
    </w:p>
    <w:p>
      <w:r>
        <w:rPr>
          <w:b/>
          <w:i w:val="0"/>
          <w:strike w:val="0"/>
          <w:color w:val="1155CC"/>
        </w:rPr>
        <w:t>[FR-04]</w:t>
      </w:r>
      <w:r>
        <w:rPr>
          <w:b w:val="0"/>
          <w:i w:val="0"/>
          <w:strike w:val="0"/>
        </w:rPr>
        <w:t xml:space="preserve"> The firm uploads their revenue source Excel file using the platform's template. </w:t>
      </w:r>
      <w:r>
        <w:rPr>
          <w:b/>
          <w:i/>
          <w:strike w:val="0"/>
          <w:color w:val="2E7D32"/>
        </w:rPr>
        <w:t>The platform reads it to pre-identify the firm's likely service lines, which arrive pre-ticked on the FR-140 selection step. REVISED in v10.0: the file informs the selection, it does not decide it. Superseded wording: "The platform reads it to identify active service lines."</w:t>
      </w:r>
      <w:r>
        <w:rPr>
          <w:b w:val="0"/>
          <w:i w:val="0"/>
          <w:strike w:val="0"/>
        </w:rPr>
        <w:t xml:space="preserve"> </w:t>
      </w:r>
      <w:r>
        <w:rPr>
          <w:b w:val="0"/>
          <w:i/>
          <w:strike w:val="0"/>
          <w:color w:val="2E7D32"/>
          <w:sz w:val="16"/>
        </w:rPr>
        <w:t xml:space="preserve"> [Sep 2026 model revision]</w:t>
      </w:r>
      <w:r>
        <w:rPr>
          <w:b w:val="0"/>
          <w:i w:val="0"/>
          <w:strike w:val="0"/>
        </w:rPr>
        <w:t xml:space="preserve"> </w:t>
      </w:r>
      <w:r>
        <w:rPr>
          <w:b/>
          <w:i w:val="0"/>
          <w:strike w:val="0"/>
        </w:rPr>
        <w:t>💬 Sosinna's comment:</w:t>
      </w:r>
      <w:r>
        <w:rPr>
          <w:b w:val="0"/>
          <w:i w:val="0"/>
          <w:strike w:val="0"/>
        </w:rPr>
        <w:t xml:space="preserve"> </w:t>
      </w:r>
      <w:r>
        <w:rPr>
          <w:b w:val="0"/>
          <w:i/>
          <w:strike w:val="0"/>
          <w:color w:val="C55A11"/>
        </w:rPr>
        <w:t>The onboarding process is what determines which rules and tests apply — a wallet-custody-only firm gets a much smaller test set than a full trading platform serving retail and institutional clients. Getting this mapping accurate is a governance priority, not just a convenience feature.</w:t>
      </w:r>
      <w:r>
        <w:rPr>
          <w:b w:val="0"/>
          <w:i w:val="0"/>
          <w:strike w:val="0"/>
        </w:rPr>
        <w:t xml:space="preserve"> </w:t>
      </w:r>
      <w:r>
        <w:rPr>
          <w:b w:val="0"/>
          <w:i/>
          <w:strike w:val="0"/>
          <w:color w:val="C55A11"/>
          <w:sz w:val="16"/>
        </w:rPr>
        <w:t xml:space="preserve"> [Sosinna's Drive comment]</w:t>
      </w:r>
    </w:p>
    <w:p>
      <w:r>
        <w:rPr>
          <w:b/>
          <w:i w:val="0"/>
          <w:strike w:val="0"/>
          <w:color w:val="1155CC"/>
        </w:rPr>
        <w:t>[FR-05]</w:t>
      </w:r>
      <w:r>
        <w:rPr>
          <w:b w:val="0"/>
          <w:i w:val="0"/>
          <w:strike w:val="0"/>
        </w:rPr>
        <w:t xml:space="preserve"> After processing the revenue file, the platform shows the CCO </w:t>
      </w:r>
      <w:r>
        <w:rPr>
          <w:b/>
          <w:i/>
          <w:strike w:val="0"/>
          <w:color w:val="2E7D32"/>
        </w:rPr>
        <w:t>the service line selection screen with the derived lines pre-ticked. The CCO ticks any line the platform missed, unticks any it wrongly inferred, and confirms the final set. Where the underlying file itself is wrong they can still re-upload a corrected one, but a wrong derivation no longer forces a re-upload — it is corrected on the screen. REVISED in v10.0; superseded wording: "the derived service lines for confirmation. If something looks wrong, they re-upload a corrected file."</w:t>
      </w:r>
      <w:r>
        <w:rPr>
          <w:b w:val="0"/>
          <w:i w:val="0"/>
          <w:strike w:val="0"/>
        </w:rPr>
        <w:t xml:space="preserve"> </w:t>
      </w:r>
      <w:r>
        <w:rPr>
          <w:b w:val="0"/>
          <w:i/>
          <w:strike w:val="0"/>
          <w:color w:val="2E7D32"/>
          <w:sz w:val="16"/>
        </w:rPr>
        <w:t xml:space="preserve"> [Sep 2026 model revision]</w:t>
      </w:r>
    </w:p>
    <w:p>
      <w:r>
        <w:rPr>
          <w:b/>
          <w:i w:val="0"/>
          <w:strike w:val="0"/>
          <w:color w:val="1155CC"/>
        </w:rPr>
        <w:t>[FR-06]</w:t>
      </w:r>
      <w:r>
        <w:rPr>
          <w:b w:val="0"/>
          <w:i w:val="0"/>
          <w:strike w:val="0"/>
        </w:rPr>
        <w:t xml:space="preserve"> Client base composition (Retail / Institutional / both) is captured.</w:t>
      </w:r>
    </w:p>
    <w:p>
      <w:r>
        <w:rPr>
          <w:b/>
          <w:i w:val="0"/>
          <w:strike w:val="0"/>
          <w:color w:val="1155CC"/>
        </w:rPr>
        <w:t>[FR-07]</w:t>
      </w:r>
      <w:r>
        <w:rPr>
          <w:b w:val="0"/>
          <w:i w:val="0"/>
          <w:strike w:val="0"/>
        </w:rPr>
        <w:t xml:space="preserve"> </w:t>
      </w:r>
      <w:r>
        <w:rPr>
          <w:b/>
          <w:i/>
          <w:strike w:val="0"/>
          <w:color w:val="7B3F00"/>
        </w:rPr>
        <w:t>REVISED in v11.0. The platform automatically loads the requirements whose service lines match the firm's confirmed selection, together with each requirement's own schedule (SA-29). Because service lines sit on the requirement rather than the test, a firm can receive some requirements of a test and not others — the test arrives scoped to what actually applies to that firm. Superseded wording: "The platform automatically loads the correct Requirement IDs and testing schedule based on the confirmed service lines", which loaded whole tests against a central mapping table that SA-07 no longer holds.</w:t>
      </w:r>
      <w:r>
        <w:rPr>
          <w:b w:val="0"/>
          <w:i w:val="0"/>
          <w:strike w:val="0"/>
        </w:rPr>
        <w:t xml:space="preserve"> </w:t>
      </w:r>
      <w:r>
        <w:rPr>
          <w:b w:val="0"/>
          <w:i/>
          <w:strike w:val="0"/>
          <w:color w:val="7B3F00"/>
          <w:sz w:val="16"/>
        </w:rPr>
        <w:t xml:space="preserve"> [Sep 2026 test model]</w:t>
      </w:r>
    </w:p>
    <w:p>
      <w:r>
        <w:rPr>
          <w:b/>
          <w:i w:val="0"/>
          <w:strike w:val="0"/>
          <w:color w:val="1155CC"/>
        </w:rPr>
        <w:t>[FR-08]</w:t>
      </w:r>
      <w:r>
        <w:rPr>
          <w:b w:val="0"/>
          <w:i w:val="0"/>
          <w:strike w:val="0"/>
        </w:rPr>
        <w:t xml:space="preserve"> The firm can update their profile at any time — for example, after a business change. Uploading a new revenue file triggers a recalculation of applicable tests. </w:t>
      </w:r>
      <w:r>
        <w:rPr>
          <w:b/>
          <w:i/>
          <w:strike w:val="0"/>
          <w:color w:val="2E7D32"/>
        </w:rPr>
        <w:t>v10.0: the firm's service line selection is itself editable after onboarding, and changing it triggers the same recalculation. Post-onboarding changes to the selection carry the FR-141 deviation record — who changed what, when, and why — exactly as they do during onboarding.</w:t>
      </w:r>
      <w:r>
        <w:rPr>
          <w:b w:val="0"/>
          <w:i w:val="0"/>
          <w:strike w:val="0"/>
        </w:rPr>
        <w:t xml:space="preserve"> </w:t>
      </w:r>
      <w:r>
        <w:rPr>
          <w:b w:val="0"/>
          <w:i/>
          <w:strike w:val="0"/>
          <w:color w:val="2E7D32"/>
          <w:sz w:val="16"/>
        </w:rPr>
        <w:t xml:space="preserve"> [Sep 2026 model revision]</w:t>
      </w:r>
    </w:p>
    <w:p>
      <w:r>
        <w:rPr>
          <w:b/>
          <w:i w:val="0"/>
          <w:strike w:val="0"/>
          <w:color w:val="1155CC"/>
        </w:rPr>
        <w:t>[FR-92]</w:t>
      </w:r>
      <w:r>
        <w:rPr>
          <w:b w:val="0"/>
          <w:i w:val="0"/>
          <w:strike w:val="0"/>
        </w:rPr>
        <w:t xml:space="preserve"> </w:t>
      </w:r>
      <w:r>
        <w:rPr>
          <w:b/>
          <w:i/>
          <w:strike w:val="0"/>
          <w:color w:val="7030A0"/>
        </w:rPr>
        <w:t>NEW in v5.0 — the onboarding wizard collects the firm's financial reports (statements or regulatory financial filings) as part of setup, and the platform uses them to derive the firm's service lines automatically. The financial reports are an additional input to the same derivation that FR-04 runs on the revenue template — they are not a replacement for it. The derived service lines are still presented to the CCO for manual confirmation under FR-05, because the 25 Jun call established that a single revenue line can span two service lines and cannot be mapped 1:1 by machine.</w:t>
      </w:r>
      <w:r>
        <w:rPr>
          <w:b w:val="0"/>
          <w:i w:val="0"/>
          <w:strike w:val="0"/>
        </w:rPr>
        <w:t xml:space="preserve"> </w:t>
      </w:r>
      <w:r>
        <w:rPr>
          <w:b w:val="0"/>
          <w:i/>
          <w:strike w:val="0"/>
          <w:color w:val="7030A0"/>
          <w:sz w:val="16"/>
        </w:rPr>
        <w:t xml:space="preserve"> [Aug 2026 client MOM]</w:t>
      </w:r>
      <w:r>
        <w:rPr>
          <w:b w:val="0"/>
          <w:i w:val="0"/>
          <w:strike w:val="0"/>
        </w:rPr>
        <w:t xml:space="preserve"> </w:t>
      </w:r>
      <w:r>
        <w:rPr>
          <w:b/>
          <w:i/>
          <w:strike w:val="0"/>
          <w:color w:val="2E7D32"/>
        </w:rPr>
        <w:t>REVISED in v10.0: both inputs now feed the pre-fill of the FR-140 selection step rather than a derivation the CCO can only accept or reject. The reasoning quoted here — that one revenue line can span two service lines — is precisely why selection, and not derivation, is now the deciding act.</w:t>
      </w:r>
      <w:r>
        <w:rPr>
          <w:b w:val="0"/>
          <w:i w:val="0"/>
          <w:strike w:val="0"/>
        </w:rPr>
        <w:t xml:space="preserve"> </w:t>
      </w:r>
      <w:r>
        <w:rPr>
          <w:b w:val="0"/>
          <w:i/>
          <w:strike w:val="0"/>
          <w:color w:val="2E7D32"/>
          <w:sz w:val="16"/>
        </w:rPr>
        <w:t xml:space="preserve"> [Sep 2026 model revision]</w:t>
      </w:r>
    </w:p>
    <w:p>
      <w:r>
        <w:rPr>
          <w:b/>
          <w:i w:val="0"/>
          <w:strike w:val="0"/>
          <w:color w:val="1155CC"/>
        </w:rPr>
        <w:t>[FR-93]</w:t>
      </w:r>
      <w:r>
        <w:rPr>
          <w:b w:val="0"/>
          <w:i w:val="0"/>
          <w:strike w:val="0"/>
        </w:rPr>
        <w:t xml:space="preserve"> </w:t>
      </w:r>
      <w:r>
        <w:rPr>
          <w:b/>
          <w:i/>
          <w:strike w:val="0"/>
          <w:color w:val="7030A0"/>
        </w:rPr>
        <w:t>Where the financial reports and the revenue template imply different service lines, the platform shows both derivations side by side on the FR-05 confirmation screen and flags the discrepancy. The CCO resolves it; the resolution and its rationale are recorded.</w:t>
      </w:r>
      <w:r>
        <w:rPr>
          <w:b w:val="0"/>
          <w:i w:val="0"/>
          <w:strike w:val="0"/>
        </w:rPr>
        <w:t xml:space="preserve"> </w:t>
      </w:r>
      <w:r>
        <w:rPr>
          <w:b w:val="0"/>
          <w:i/>
          <w:strike w:val="0"/>
          <w:color w:val="7030A0"/>
          <w:sz w:val="16"/>
        </w:rPr>
        <w:t xml:space="preserve"> [Aug 2026 client MOM]</w:t>
      </w:r>
      <w:r>
        <w:rPr>
          <w:b w:val="0"/>
          <w:i w:val="0"/>
          <w:strike w:val="0"/>
        </w:rPr>
        <w:t xml:space="preserve"> </w:t>
      </w:r>
      <w:r>
        <w:rPr>
          <w:b/>
          <w:i/>
          <w:strike w:val="0"/>
          <w:color w:val="2E7D32"/>
        </w:rPr>
        <w:t>v10.0: the side-by-side display and the recorded rationale are unchanged; they now sit on the FR-140 selection screen, where the CCO resolves the discrepancy by setting the selection directly rather than by choosing between two derivations. The recorded resolution is the FR-141 deviation record.</w:t>
      </w:r>
      <w:r>
        <w:rPr>
          <w:b w:val="0"/>
          <w:i w:val="0"/>
          <w:strike w:val="0"/>
        </w:rPr>
        <w:t xml:space="preserve"> </w:t>
      </w:r>
      <w:r>
        <w:rPr>
          <w:b w:val="0"/>
          <w:i/>
          <w:strike w:val="0"/>
          <w:color w:val="2E7D32"/>
          <w:sz w:val="16"/>
        </w:rPr>
        <w:t xml:space="preserve"> [Sep 2026 model revision]</w:t>
      </w:r>
    </w:p>
    <w:p>
      <w:r>
        <w:rPr>
          <w:b/>
          <w:i w:val="0"/>
          <w:strike w:val="0"/>
          <w:color w:val="1155CC"/>
        </w:rPr>
        <w:t>[FR-104]</w:t>
      </w:r>
      <w:r>
        <w:rPr>
          <w:b w:val="0"/>
          <w:i w:val="0"/>
          <w:strike w:val="0"/>
        </w:rPr>
        <w:t xml:space="preserve"> </w:t>
      </w:r>
      <w:r>
        <w:rPr>
          <w:b/>
          <w:i/>
          <w:strike w:val="0"/>
          <w:color w:val="008080"/>
        </w:rPr>
        <w:t xml:space="preserve">The onboarding flow is a step-by-step wizard whose output is the firm's regulatory perimeter, not only its service lines: from the firm details and the uploaded financial reports the platform determines both the applicable </w:t>
      </w:r>
      <w:r>
        <w:rPr>
          <w:b/>
          <w:i/>
          <w:strike w:val="0"/>
          <w:color w:val="008080"/>
        </w:rPr>
        <w:t>service lines</w:t>
      </w:r>
      <w:r>
        <w:rPr>
          <w:b/>
          <w:i/>
          <w:strike w:val="0"/>
          <w:color w:val="008080"/>
        </w:rPr>
        <w:t xml:space="preserve"> and the </w:t>
      </w:r>
      <w:r>
        <w:rPr>
          <w:b/>
          <w:i/>
          <w:strike w:val="0"/>
          <w:color w:val="008080"/>
        </w:rPr>
        <w:t>applicable regulations</w:t>
      </w:r>
      <w:r>
        <w:rPr>
          <w:b/>
          <w:i/>
          <w:strike w:val="0"/>
          <w:color w:val="008080"/>
        </w:rPr>
        <w:t xml:space="preserve"> — which of the regulations published under Section 4.5 the firm is subject to, and therefore which Requirement IDs load under FR-07. The regulation set is presented on the same FR-05 confirmation screen as the service lines and is confirmed by the CCO in the same step.</w:t>
      </w:r>
      <w:r>
        <w:rPr>
          <w:b w:val="0"/>
          <w:i w:val="0"/>
          <w:strike w:val="0"/>
        </w:rPr>
        <w:t xml:space="preserve"> </w:t>
      </w:r>
      <w:r>
        <w:rPr>
          <w:b w:val="0"/>
          <w:i/>
          <w:strike w:val="0"/>
          <w:color w:val="008080"/>
          <w:sz w:val="16"/>
        </w:rPr>
        <w:t xml:space="preserve"> [11 Aug 2026 MOM]</w:t>
      </w:r>
      <w:r>
        <w:rPr>
          <w:b w:val="0"/>
          <w:i w:val="0"/>
          <w:strike w:val="0"/>
        </w:rPr>
        <w:t xml:space="preserve"> </w:t>
      </w:r>
      <w:r>
        <w:rPr>
          <w:b/>
          <w:i/>
          <w:strike w:val="0"/>
          <w:color w:val="2E7D32"/>
        </w:rPr>
        <w:t>v10.0: that screen is now a selection screen for the service lines (FR-140). The regulation set is derived from the firm's confirmed selection and is still confirmed in the same step.</w:t>
      </w:r>
      <w:r>
        <w:rPr>
          <w:b w:val="0"/>
          <w:i w:val="0"/>
          <w:strike w:val="0"/>
        </w:rPr>
        <w:t xml:space="preserve"> </w:t>
      </w:r>
      <w:r>
        <w:rPr>
          <w:b w:val="0"/>
          <w:i/>
          <w:strike w:val="0"/>
          <w:color w:val="2E7D32"/>
          <w:sz w:val="16"/>
        </w:rPr>
        <w:t xml:space="preserve"> [Sep 2026 model revision]</w:t>
      </w:r>
    </w:p>
    <w:p>
      <w:r>
        <w:rPr>
          <w:b/>
          <w:i w:val="0"/>
          <w:strike w:val="0"/>
          <w:color w:val="1155CC"/>
        </w:rPr>
        <w:t>[FR-140]</w:t>
      </w:r>
      <w:r>
        <w:rPr>
          <w:b w:val="0"/>
          <w:i w:val="0"/>
          <w:strike w:val="0"/>
        </w:rPr>
        <w:t xml:space="preserve"> </w:t>
      </w:r>
      <w:r>
        <w:rPr>
          <w:b/>
          <w:i/>
          <w:strike w:val="0"/>
          <w:color w:val="2E7D32"/>
        </w:rPr>
        <w:t>The wizard presents the service line master list (SA-26) as a mandatory selection step. Lines derived from the revenue file and the financial reports arrive pre-ticked; the firm ticks and unticks freely, and must have at least one service line selected before the step validates under FR-119. Each entry carries an informational guidance note — the 25 Jun call's "what does your licence say?" prompt — so that the firm is choosing against its licence rather than guessing. The confirmed selection, not the derivation behind it, is what FR-07 loads Requirement IDs and the testing schedule from, and what FR-104 derives the applicable regulations from.</w:t>
      </w:r>
      <w:r>
        <w:rPr>
          <w:b w:val="0"/>
          <w:i w:val="0"/>
          <w:strike w:val="0"/>
        </w:rPr>
        <w:t xml:space="preserve"> </w:t>
      </w:r>
      <w:r>
        <w:rPr>
          <w:b w:val="0"/>
          <w:i/>
          <w:strike w:val="0"/>
          <w:color w:val="2E7D32"/>
          <w:sz w:val="16"/>
        </w:rPr>
        <w:t xml:space="preserve"> [Sep 2026 model revision]</w:t>
      </w:r>
      <w:r>
        <w:rPr>
          <w:b w:val="0"/>
          <w:i w:val="0"/>
          <w:strike w:val="0"/>
        </w:rPr>
        <w:t xml:space="preserve"> </w:t>
      </w:r>
      <w:r>
        <w:rPr>
          <w:b/>
          <w:i/>
          <w:strike w:val="0"/>
          <w:color w:val="7B3F00"/>
        </w:rPr>
        <w:t xml:space="preserve">CORRECTED in v11.0: the list presented is the ten CASP service lines under MiCA (SA-26 as corrected). What the selection loads is also restated — it loads the </w:t>
      </w:r>
      <w:r>
        <w:rPr>
          <w:b/>
          <w:i/>
          <w:strike w:val="0"/>
          <w:color w:val="7B3F00"/>
        </w:rPr>
        <w:t>requirements</w:t>
      </w:r>
      <w:r>
        <w:rPr>
          <w:b/>
          <w:i/>
          <w:strike w:val="0"/>
          <w:color w:val="7B3F00"/>
        </w:rPr>
        <w:t xml:space="preserve"> whose service lines match, not whole tests; see FR-145.</w:t>
      </w:r>
      <w:r>
        <w:rPr>
          <w:b w:val="0"/>
          <w:i w:val="0"/>
          <w:strike w:val="0"/>
        </w:rPr>
        <w:t xml:space="preserve"> </w:t>
      </w:r>
      <w:r>
        <w:rPr>
          <w:b w:val="0"/>
          <w:i/>
          <w:strike w:val="0"/>
          <w:color w:val="7B3F00"/>
          <w:sz w:val="16"/>
        </w:rPr>
        <w:t xml:space="preserve"> [Sep 2026 test model]</w:t>
      </w:r>
    </w:p>
    <w:p>
      <w:r>
        <w:rPr>
          <w:b/>
          <w:i w:val="0"/>
          <w:strike w:val="0"/>
          <w:color w:val="1155CC"/>
        </w:rPr>
        <w:t>[FR-141]</w:t>
      </w:r>
      <w:r>
        <w:rPr>
          <w:b w:val="0"/>
          <w:i w:val="0"/>
          <w:strike w:val="0"/>
        </w:rPr>
        <w:t xml:space="preserve"> </w:t>
      </w:r>
      <w:r>
        <w:rPr>
          <w:b/>
          <w:i/>
          <w:strike w:val="0"/>
          <w:color w:val="2E7D32"/>
        </w:rPr>
        <w:t>Where the firm's confirmed selection differs from the set the platform derived, the platform records the deviation: which service lines were added, which were removed, by whom, when, and a mandatory written reason for each. The record is retained with the firm's profile, is visible against the firm in the FR-128 onboarding checklist, and is available to Sosinna's team in the Portal. Getting this mapping right is a governance priority rather than a convenience — a firm that overrides the platform's reading of its own revenue must leave a trail saying why. The same record is produced when the selection is changed later under FR-08.</w:t>
      </w:r>
      <w:r>
        <w:rPr>
          <w:b w:val="0"/>
          <w:i w:val="0"/>
          <w:strike w:val="0"/>
        </w:rPr>
        <w:t xml:space="preserve"> </w:t>
      </w:r>
      <w:r>
        <w:rPr>
          <w:b w:val="0"/>
          <w:i/>
          <w:strike w:val="0"/>
          <w:color w:val="2E7D32"/>
          <w:sz w:val="16"/>
        </w:rPr>
        <w:t xml:space="preserve"> [Sep 2026 model revision]</w:t>
      </w:r>
    </w:p>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v6.0)</w:t>
            </w:r>
          </w:p>
          <w:p>
            <w:r>
              <w:rPr>
                <w:b/>
                <w:i w:val="0"/>
                <w:strike w:val="0"/>
              </w:rPr>
              <w:t>📌 Note</w:t>
            </w:r>
          </w:p>
          <w:p>
            <w:pPr>
              <w:pStyle w:val="ListBullet"/>
            </w:pPr>
            <w:r>
              <w:rPr>
                <w:b/>
                <w:i/>
                <w:strike w:val="0"/>
                <w:color w:val="008080"/>
              </w:rPr>
              <w:t>FR-104 is not a new derivation engine. Service line → Requirement ID mapping already exists in SA-07, and every Requirement ID already carries its regulation. The new part is presenting the regulation set explicitly as a confirmed onboarding output rather than leaving it implicit in the loaded test list — a firm needs to be told "you are in scope for MiCA and DORA" in words, at onboarding.</w:t>
            </w:r>
            <w:r>
              <w:rPr>
                <w:b w:val="0"/>
                <w:i w:val="0"/>
                <w:strike w:val="0"/>
              </w:rPr>
              <w:t xml:space="preserve"> </w:t>
            </w:r>
            <w:r>
              <w:rPr>
                <w:b w:val="0"/>
                <w:i/>
                <w:strike w:val="0"/>
                <w:color w:val="008080"/>
                <w:sz w:val="16"/>
              </w:rPr>
              <w:t xml:space="preserve"> [11 Aug 2026 MOM]</w:t>
            </w:r>
          </w:p>
          <w:p>
            <w:pPr>
              <w:pStyle w:val="ListBullet"/>
            </w:pPr>
            <w:r>
              <w:rPr>
                <w:b/>
                <w:i/>
                <w:strike w:val="0"/>
                <w:color w:val="008080"/>
              </w:rPr>
              <w:t>For MVP the published regulation set is MiCA and DORA only, so the derived set will be one or both. The requirement is written generically because Section 4.5 makes the regulation library extensible.</w:t>
            </w:r>
            <w:r>
              <w:rPr>
                <w:b w:val="0"/>
                <w:i w:val="0"/>
                <w:strike w:val="0"/>
              </w:rPr>
              <w:t xml:space="preserve"> </w:t>
            </w:r>
            <w:r>
              <w:rPr>
                <w:b w:val="0"/>
                <w:i/>
                <w:strike w:val="0"/>
                <w:color w:val="008080"/>
                <w:sz w:val="16"/>
              </w:rPr>
              <w:t xml:space="preserve"> [11 Aug 2026 MOM]</w:t>
            </w:r>
          </w:p>
        </w:tc>
      </w:tr>
    </w:tbl>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v5.0)</w:t>
            </w:r>
          </w:p>
          <w:p>
            <w:r>
              <w:rPr>
                <w:b/>
                <w:i w:val="0"/>
                <w:strike w:val="0"/>
              </w:rPr>
              <w:t>📌 Note</w:t>
            </w:r>
          </w:p>
          <w:p>
            <w:pPr>
              <w:pStyle w:val="ListBullet"/>
            </w:pPr>
            <w:r>
              <w:rPr>
                <w:b/>
                <w:i/>
                <w:strike w:val="0"/>
                <w:color w:val="7030A0"/>
              </w:rPr>
              <w:t>FR-92 raises an unresolved dependency: financial reports arrive in whatever format the firm's accountants produce (PDF statements, XBRL filings, spreadsheets). Automatic derivation from a free-form PDF is a materially different problem from reading a fixed Excel template. Sosinna was already sourcing a sample regulatory line-item report (the EU equivalent of a US Form 1040) after the 25 Jun call — that sample is now a hard prerequisite for scoping FR-92, not a nice-to-have. Logged as FO-09 in Section 15.</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Financial reports are commercially sensitive. They inherit the same storage, encryption, and access rules as the revenue source file.</w:t>
            </w:r>
            <w:r>
              <w:rPr>
                <w:b w:val="0"/>
                <w:i w:val="0"/>
                <w:strike w:val="0"/>
              </w:rPr>
              <w:t xml:space="preserve"> </w:t>
            </w:r>
            <w:r>
              <w:rPr>
                <w:b w:val="0"/>
                <w:i/>
                <w:strike w:val="0"/>
                <w:color w:val="7030A0"/>
                <w:sz w:val="16"/>
              </w:rPr>
              <w:t xml:space="preserve"> [Aug 2026 client MOM]</w:t>
            </w:r>
          </w:p>
        </w:tc>
      </w:tr>
    </w:tbl>
    <w:tbl>
      <w:tblPr>
        <w:tblStyle w:val="TableGrid"/>
        <w:tblW w:type="auto" w:w="0"/>
        <w:tblLook w:firstColumn="1" w:firstRow="1" w:lastColumn="0" w:lastRow="0" w:noHBand="0" w:noVBand="1" w:val="04A0"/>
      </w:tblPr>
      <w:tblGrid>
        <w:gridCol w:w="8640"/>
      </w:tblGrid>
      <w:tr>
        <w:tc>
          <w:tcPr>
            <w:tcW w:type="dxa" w:w="8640"/>
            <w:shd w:val="clear" w:fill="E2EFDA"/>
          </w:tcPr>
          <w:p>
            <w:r/>
            <w:r>
              <w:rPr>
                <w:b/>
                <w:i w:val="0"/>
                <w:strike w:val="0"/>
              </w:rPr>
              <w:t>✅ What we have agreed</w:t>
            </w:r>
            <w:r>
              <w:rPr>
                <w:b w:val="0"/>
                <w:i w:val="0"/>
                <w:strike w:val="0"/>
              </w:rPr>
              <w:t xml:space="preserve"> </w:t>
            </w:r>
            <w:r>
              <w:br/>
            </w:r>
            <w:r>
              <w:rPr>
                <w:b w:val="0"/>
                <w:i w:val="0"/>
                <w:strike w:val="0"/>
              </w:rPr>
              <w:t xml:space="preserve"> • </w:t>
            </w:r>
            <w:r>
              <w:rPr>
                <w:b/>
                <w:i/>
                <w:strike w:val="0"/>
                <w:color w:val="2E7D32"/>
              </w:rPr>
              <w:t>Service lines are selected by the firm at onboarding from the platform's master list, pre-ticked from the revenue source Excel file and the financial reports. Any deviation from the pre-fill is recorded with a written reason (FR-140, FR-141, SA-26).</w:t>
            </w:r>
            <w:r>
              <w:rPr>
                <w:b w:val="0"/>
                <w:i w:val="0"/>
                <w:strike w:val="0"/>
              </w:rPr>
              <w:t xml:space="preserve"> </w:t>
            </w:r>
            <w:r>
              <w:rPr>
                <w:b w:val="0"/>
                <w:i/>
                <w:strike w:val="0"/>
                <w:color w:val="2E7D32"/>
                <w:sz w:val="16"/>
              </w:rPr>
              <w:t xml:space="preserve"> [Sep 2026 model revision]</w:t>
            </w:r>
            <w:r>
              <w:rPr>
                <w:b w:val="0"/>
                <w:i w:val="0"/>
                <w:strike w:val="0"/>
              </w:rPr>
              <w:t xml:space="preserve"> </w:t>
            </w:r>
            <w:r>
              <w:br/>
            </w:r>
            <w:r>
              <w:rPr>
                <w:b w:val="0"/>
                <w:i w:val="0"/>
                <w:strike w:val="0"/>
              </w:rPr>
              <w:t xml:space="preserve"> • </w:t>
            </w:r>
            <w:r>
              <w:rPr>
                <w:b w:val="0"/>
                <w:i/>
                <w:strike w:val="0"/>
                <w:color w:val="2E7D32"/>
              </w:rPr>
              <w:t>Superseded in v10.0, kept for context: "Service lines are derived from the revenue source Excel file — not from a manual selection screen."</w:t>
            </w:r>
            <w:r>
              <w:rPr>
                <w:b w:val="0"/>
                <w:i w:val="0"/>
                <w:strike w:val="0"/>
              </w:rPr>
              <w:t xml:space="preserve"> </w:t>
            </w:r>
            <w:r>
              <w:rPr>
                <w:b w:val="0"/>
                <w:i/>
                <w:strike w:val="0"/>
                <w:color w:val="2E7D32"/>
                <w:sz w:val="16"/>
              </w:rPr>
              <w:t xml:space="preserve"> [Sep 2026 model revision]</w:t>
            </w:r>
            <w:r>
              <w:rPr>
                <w:b w:val="0"/>
                <w:i w:val="0"/>
                <w:strike w:val="0"/>
              </w:rPr>
              <w:t xml:space="preserve"> </w:t>
            </w:r>
            <w:r>
              <w:br/>
            </w:r>
            <w:r>
              <w:rPr>
                <w:b w:val="0"/>
                <w:i w:val="0"/>
                <w:strike w:val="0"/>
              </w:rPr>
              <w:t xml:space="preserve"> • NCA licence: the firm provides both the licence number (text) and optionally the licence document (file upload). </w:t>
            </w:r>
            <w:r>
              <w:br/>
            </w:r>
            <w:r>
              <w:rPr>
                <w:b w:val="0"/>
                <w:i w:val="0"/>
                <w:strike w:val="0"/>
              </w:rPr>
              <w:t xml:space="preserve"> • The onboarding flow is a step-by-step wizard. </w:t>
            </w:r>
            <w:r>
              <w:br/>
            </w:r>
            <w:r>
              <w:rPr>
                <w:b w:val="0"/>
                <w:i w:val="0"/>
                <w:strike w:val="0"/>
              </w:rPr>
              <w:t xml:space="preserve"> • Branch jurisdictions are captured and affect which local regulatory rules apply.</w:t>
            </w:r>
          </w:p>
        </w:tc>
      </w:tr>
      <w:tr>
        <w:tc>
          <w:tcPr>
            <w:tcW w:type="dxa" w:w="8640"/>
            <w:shd w:val="clear" w:fill="FFF2CC"/>
          </w:tcPr>
          <w:p>
            <w:r/>
            <w:r>
              <w:rPr>
                <w:b/>
                <w:i w:val="0"/>
                <w:strike w:val="0"/>
              </w:rPr>
              <w:t>💬 Questions still to confirm</w:t>
            </w:r>
            <w:r>
              <w:rPr>
                <w:b w:val="0"/>
                <w:i w:val="0"/>
                <w:strike w:val="0"/>
              </w:rPr>
              <w:t xml:space="preserve"> </w:t>
            </w:r>
            <w:r>
              <w:br/>
            </w:r>
            <w:r>
              <w:rPr>
                <w:b w:val="0"/>
                <w:i w:val="0"/>
                <w:strike w:val="0"/>
              </w:rPr>
              <w:t xml:space="preserve"> • Client type (FO-02): Should this be a simple set of checkboxes (tick: Retail, Institutional, Non-Profit) or should the firm enter a percentage split (e.g. 60% Retail, 40% Institutional)? </w:t>
            </w:r>
            <w:r>
              <w:br/>
            </w:r>
            <w:r>
              <w:rPr>
                <w:b w:val="0"/>
                <w:i w:val="0"/>
                <w:strike w:val="0"/>
              </w:rPr>
              <w:t xml:space="preserve"> • Who completes the setup (FO-07): Can any Firm Super Admin complete the onboarding, or should this be restricted to the CCO? </w:t>
            </w:r>
            <w:r>
              <w:rPr>
                <w:b/>
                <w:i/>
                <w:strike w:val="0"/>
                <w:color w:val="843C0C"/>
              </w:rPr>
              <w:t>v7.0 note: FR-117 partly answers this — the person who receives the onboarding link creates the first Firm Super Admin account and therefore completes the wizard. What is still undecided is whether that person must hold the CCO role.</w:t>
            </w:r>
            <w:r>
              <w:rPr>
                <w:b w:val="0"/>
                <w:i w:val="0"/>
                <w:strike w:val="0"/>
              </w:rPr>
              <w:t xml:space="preserve"> </w:t>
            </w:r>
            <w:r>
              <w:rPr>
                <w:b w:val="0"/>
                <w:i/>
                <w:strike w:val="0"/>
                <w:color w:val="843C0C"/>
                <w:sz w:val="16"/>
              </w:rPr>
              <w:t xml:space="preserve"> [Aug 2026 onboarding flow]</w:t>
            </w:r>
            <w:r>
              <w:rPr>
                <w:b w:val="0"/>
                <w:i w:val="0"/>
                <w:strike w:val="0"/>
              </w:rPr>
              <w:t xml:space="preserve"> </w:t>
            </w:r>
            <w:r>
              <w:br/>
            </w:r>
            <w:r>
              <w:rPr>
                <w:b w:val="0"/>
                <w:i w:val="0"/>
                <w:strike w:val="0"/>
              </w:rPr>
              <w:t xml:space="preserve"> • Multi-entity firms (FO-08): If a company has multiple regulated subsidiaries (e.g. a parent group with separate CASPs in Ireland and France), do they get separate logins for each entity, or one group login with a consolidated view? [Deferred — not needed for the first version]</w:t>
            </w:r>
          </w:p>
        </w:tc>
      </w:tr>
    </w:tbl>
    <w:p>
      <w:pPr>
        <w:pStyle w:val="Heading2"/>
      </w:pPr>
      <w:r>
        <w:t>5.6 Call Tree and Organisation Gap Review</w:t>
      </w:r>
    </w:p>
    <w:p>
      <w:r>
        <w:rPr>
          <w:b/>
          <w:i/>
          <w:strike w:val="0"/>
          <w:color w:val="843C0C"/>
        </w:rPr>
        <w:t>NEW in v7.0.</w:t>
      </w:r>
      <w:r>
        <w:rPr>
          <w:b w:val="0"/>
          <w:i w:val="0"/>
          <w:strike w:val="0"/>
        </w:rPr>
        <w:t xml:space="preserve"> </w:t>
      </w:r>
      <w:r>
        <w:rPr>
          <w:b w:val="0"/>
          <w:i/>
          <w:strike w:val="0"/>
          <w:color w:val="843C0C"/>
          <w:sz w:val="16"/>
        </w:rPr>
        <w:t xml:space="preserve"> [Aug 2026 onboarding flow]</w:t>
      </w:r>
    </w:p>
    <w:p>
      <w:r>
        <w:rPr>
          <w:b w:val="0"/>
          <w:i w:val="0"/>
          <w:strike w:val="0"/>
        </w:rPr>
        <w:t>The business continuity call tree — the chain by which the firm reaches everyone in an emergency — is captured during onboarding rather than left to be filled in later. It is reviewed for gaps at the same time, because a call tree with a break in it is not a call tree, and a firm that discovers this during an incident discovers it too late.</w:t>
      </w:r>
    </w:p>
    <w:p>
      <w:r>
        <w:rPr>
          <w:b/>
          <w:i w:val="0"/>
          <w:strike w:val="0"/>
          <w:color w:val="1155CC"/>
        </w:rPr>
        <w:t>[FR-120]</w:t>
      </w:r>
      <w:r>
        <w:rPr>
          <w:b w:val="0"/>
          <w:i w:val="0"/>
          <w:strike w:val="0"/>
        </w:rPr>
        <w:t xml:space="preserve"> </w:t>
      </w:r>
      <w:r>
        <w:rPr>
          <w:b/>
          <w:i/>
          <w:strike w:val="0"/>
          <w:color w:val="843C0C"/>
        </w:rPr>
        <w:t xml:space="preserve">Onboarding captures the firm's staff records, their reporting lines, and each person's next contact in the business continuity call tree. These are the same records described in Section 10 and are created here, by CSV upload against the platform's template (FR-62) </w:t>
      </w:r>
      <w:r>
        <w:rPr>
          <w:b/>
          <w:i/>
          <w:strike/>
          <w:color w:val="843C0C"/>
        </w:rPr>
        <w:t>or by manual entry</w:t>
      </w:r>
      <w:r>
        <w:rPr>
          <w:b/>
          <w:i/>
          <w:strike w:val="0"/>
          <w:color w:val="843C0C"/>
        </w:rPr>
        <w:t>. Onboarding is where the org chart and call tree first come into existence.</w:t>
      </w:r>
      <w:r>
        <w:rPr>
          <w:b w:val="0"/>
          <w:i w:val="0"/>
          <w:strike w:val="0"/>
        </w:rPr>
        <w:t xml:space="preserve"> </w:t>
      </w:r>
      <w:r>
        <w:rPr>
          <w:b w:val="0"/>
          <w:i/>
          <w:strike w:val="0"/>
          <w:color w:val="843C0C"/>
          <w:sz w:val="16"/>
        </w:rPr>
        <w:t xml:space="preserve"> [Aug 2026 onboarding flow]</w:t>
      </w:r>
      <w:r>
        <w:rPr>
          <w:b w:val="0"/>
          <w:i w:val="0"/>
          <w:strike w:val="0"/>
        </w:rPr>
        <w:t xml:space="preserve"> </w:t>
      </w:r>
      <w:r>
        <w:rPr>
          <w:b/>
          <w:i/>
          <w:strike w:val="0"/>
          <w:color w:val="CC00CC"/>
        </w:rPr>
        <w:t>REVISED in v8.0: manual entry is removed — the spreadsheet upload is the only route, per the FR-62 revision.</w:t>
      </w:r>
      <w:r>
        <w:rPr>
          <w:b w:val="0"/>
          <w:i w:val="0"/>
          <w:strike w:val="0"/>
        </w:rPr>
        <w:t xml:space="preserve"> </w:t>
      </w:r>
      <w:r>
        <w:rPr>
          <w:b w:val="0"/>
          <w:i/>
          <w:strike w:val="0"/>
          <w:color w:val="CC00CC"/>
          <w:sz w:val="16"/>
        </w:rPr>
        <w:t xml:space="preserve"> [14 Aug 2026 MOM]</w:t>
      </w:r>
    </w:p>
    <w:p>
      <w:r>
        <w:rPr>
          <w:b/>
          <w:i w:val="0"/>
          <w:strike w:val="0"/>
          <w:color w:val="1155CC"/>
        </w:rPr>
        <w:t>[FR-121]</w:t>
      </w:r>
      <w:r>
        <w:rPr>
          <w:b w:val="0"/>
          <w:i w:val="0"/>
          <w:strike w:val="0"/>
        </w:rPr>
        <w:t xml:space="preserve"> </w:t>
      </w:r>
      <w:r>
        <w:rPr>
          <w:b/>
          <w:i/>
          <w:strike w:val="0"/>
          <w:color w:val="843C0C"/>
        </w:rPr>
        <w:t>The platform evaluates the captured data for gaps and shows the firm the result before onboarding completes. Two checks are mandatory and were named by the client: every employee must have a call-tree contact, and every employee must have a reporting manager. The platform lists the specific people failing each check — a count alone is not actionable — and the firm corrects them in place.</w:t>
      </w:r>
      <w:r>
        <w:rPr>
          <w:b w:val="0"/>
          <w:i w:val="0"/>
          <w:strike w:val="0"/>
        </w:rPr>
        <w:t xml:space="preserve"> </w:t>
      </w:r>
      <w:r>
        <w:rPr>
          <w:b w:val="0"/>
          <w:i/>
          <w:strike w:val="0"/>
          <w:color w:val="843C0C"/>
          <w:sz w:val="16"/>
        </w:rPr>
        <w:t xml:space="preserve"> [Aug 2026 onboarding flow]</w:t>
      </w:r>
      <w:r>
        <w:rPr>
          <w:b w:val="0"/>
          <w:i w:val="0"/>
          <w:strike w:val="0"/>
        </w:rPr>
        <w:t xml:space="preserve"> </w:t>
      </w:r>
      <w:r>
        <w:rPr>
          <w:b/>
          <w:i/>
          <w:strike w:val="0"/>
          <w:color w:val="CC00CC"/>
        </w:rPr>
        <w:t>CONFIRMED on 14 Aug 2026: call trees are submitted during onboarding, the system evaluates whether every contact has a call contact, and identifies any missing call contact. FR-120 and FR-121 restated by the client; no change. Note the deliberate limit added the same day: the call tree is captured and gap-checked but is not displayed on any page — see Section 10.5.</w:t>
      </w:r>
      <w:r>
        <w:rPr>
          <w:b w:val="0"/>
          <w:i w:val="0"/>
          <w:strike w:val="0"/>
        </w:rPr>
        <w:t xml:space="preserve"> </w:t>
      </w:r>
      <w:r>
        <w:rPr>
          <w:b w:val="0"/>
          <w:i/>
          <w:strike w:val="0"/>
          <w:color w:val="CC00CC"/>
          <w:sz w:val="16"/>
        </w:rPr>
        <w:t xml:space="preserve"> [14 Aug 2026 MOM]</w:t>
      </w:r>
    </w:p>
    <w:p>
      <w:r>
        <w:rPr>
          <w:b/>
          <w:i w:val="0"/>
          <w:strike w:val="0"/>
          <w:color w:val="1155CC"/>
        </w:rPr>
        <w:t>[FR-122]</w:t>
      </w:r>
      <w:r>
        <w:rPr>
          <w:b w:val="0"/>
          <w:i w:val="0"/>
          <w:strike w:val="0"/>
        </w:rPr>
        <w:t xml:space="preserve"> </w:t>
      </w:r>
      <w:r>
        <w:rPr>
          <w:b/>
          <w:i/>
          <w:strike w:val="0"/>
          <w:color w:val="843C0C"/>
        </w:rPr>
        <w:t>Where a gap is legitimate rather than an oversight — the chief executive has no reporting manager, the last person in a call-tree branch has no next contact — the firm marks it as such with a written reason instead of inventing data to satisfy a validation rule. Acknowledged exceptions are recorded, are visible in the Section 10.6 analytics as exceptions rather than as gaps, and are re-surfaced at the next annual review.</w:t>
      </w:r>
      <w:r>
        <w:rPr>
          <w:b w:val="0"/>
          <w:i w:val="0"/>
          <w:strike w:val="0"/>
        </w:rPr>
        <w:t xml:space="preserve"> </w:t>
      </w:r>
      <w:r>
        <w:rPr>
          <w:b w:val="0"/>
          <w:i/>
          <w:strike w:val="0"/>
          <w:color w:val="843C0C"/>
          <w:sz w:val="16"/>
        </w:rPr>
        <w:t xml:space="preserve"> [Aug 2026 onboarding flow]</w:t>
      </w:r>
    </w:p>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v7.0)</w:t>
            </w:r>
          </w:p>
          <w:p>
            <w:r>
              <w:rPr>
                <w:b/>
                <w:i w:val="0"/>
                <w:strike w:val="0"/>
              </w:rPr>
              <w:t>📌 Note</w:t>
            </w:r>
          </w:p>
          <w:p>
            <w:pPr>
              <w:pStyle w:val="ListBullet"/>
            </w:pPr>
            <w:r>
              <w:rPr>
                <w:b/>
                <w:i/>
                <w:strike w:val="0"/>
                <w:color w:val="843C0C"/>
              </w:rPr>
              <w:t>FR-121 introduces no new rules. The same two checks already exist as FR-70 (call tree link missing) and FR-102 (employees with no reporting manager) — the change is that they now run at onboarding, when the data is first entered, instead of only appearing later on the analytics dashboard. One implementation, two entry points.</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This closes a real dependency, not just a nicety: FR-82 tags every test to a business owner drawn from these staff records, and Section 7.4 sends the announcement letter and request list to that person. Without staff data captured at onboarding, the first test a firm runs has nobody to send its request list to.</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Whether an unresolved gap blocks completion or merely warns is not settled — the requirement above is written as a soft gate with mandatory acknowledgement. See ON-05.</w:t>
            </w:r>
            <w:r>
              <w:rPr>
                <w:b w:val="0"/>
                <w:i w:val="0"/>
                <w:strike w:val="0"/>
              </w:rPr>
              <w:t xml:space="preserve"> </w:t>
            </w:r>
            <w:r>
              <w:rPr>
                <w:b w:val="0"/>
                <w:i/>
                <w:strike w:val="0"/>
                <w:color w:val="843C0C"/>
                <w:sz w:val="16"/>
              </w:rPr>
              <w:t xml:space="preserve"> [Aug 2026 onboarding flow]</w:t>
            </w:r>
          </w:p>
        </w:tc>
      </w:tr>
    </w:tbl>
    <w:p>
      <w:pPr>
        <w:pStyle w:val="Heading2"/>
      </w:pPr>
      <w:r>
        <w:t>5.7 Payment</w:t>
      </w:r>
    </w:p>
    <w:p>
      <w:r>
        <w:rPr>
          <w:b/>
          <w:i/>
          <w:strike w:val="0"/>
          <w:color w:val="843C0C"/>
        </w:rPr>
        <w:t>NEW in v7.0. This is the first version of this document in which money moves through the platform. Read the flags below before estimating.</w:t>
      </w:r>
      <w:r>
        <w:rPr>
          <w:b w:val="0"/>
          <w:i w:val="0"/>
          <w:strike w:val="0"/>
        </w:rPr>
        <w:t xml:space="preserve"> </w:t>
      </w:r>
      <w:r>
        <w:rPr>
          <w:b w:val="0"/>
          <w:i/>
          <w:strike w:val="0"/>
          <w:color w:val="843C0C"/>
          <w:sz w:val="16"/>
        </w:rPr>
        <w:t xml:space="preserve"> [Aug 2026 onboarding flow]</w:t>
      </w:r>
    </w:p>
    <w:p>
      <w:r>
        <w:rPr>
          <w:b/>
          <w:i w:val="0"/>
          <w:strike w:val="0"/>
          <w:color w:val="1155CC"/>
        </w:rPr>
        <w:t>[FR-123]</w:t>
      </w:r>
      <w:r>
        <w:rPr>
          <w:b w:val="0"/>
          <w:i w:val="0"/>
          <w:strike w:val="0"/>
        </w:rPr>
        <w:t xml:space="preserve"> </w:t>
      </w:r>
      <w:r>
        <w:rPr>
          <w:b/>
          <w:i/>
          <w:strike w:val="0"/>
          <w:color w:val="843C0C"/>
        </w:rPr>
        <w:t>Once every mandatory onboarding step is complete and validated, the firm proceeds to payment. The amount and plan are not chosen by the firm on screen — they are read from the agreed plan type and seat count recorded against the enquiry under SA-19, so what the firm sees is what Sosinna's team agreed with them offline. Payment is the final step of onboarding, not an earlier gate: a firm enters all of its details first.</w:t>
      </w:r>
      <w:r>
        <w:rPr>
          <w:b w:val="0"/>
          <w:i w:val="0"/>
          <w:strike w:val="0"/>
        </w:rPr>
        <w:t xml:space="preserve"> </w:t>
      </w:r>
      <w:r>
        <w:rPr>
          <w:b w:val="0"/>
          <w:i/>
          <w:strike w:val="0"/>
          <w:color w:val="843C0C"/>
          <w:sz w:val="16"/>
        </w:rPr>
        <w:t xml:space="preserve"> [Aug 2026 onboarding flow]</w:t>
      </w:r>
    </w:p>
    <w:p>
      <w:r>
        <w:rPr>
          <w:b/>
          <w:i w:val="0"/>
          <w:strike w:val="0"/>
          <w:color w:val="1155CC"/>
        </w:rPr>
        <w:t>[FR-124]</w:t>
      </w:r>
      <w:r>
        <w:rPr>
          <w:b w:val="0"/>
          <w:i w:val="0"/>
          <w:strike w:val="0"/>
        </w:rPr>
        <w:t xml:space="preserve"> </w:t>
      </w:r>
      <w:r>
        <w:rPr>
          <w:b/>
          <w:i/>
          <w:strike w:val="0"/>
          <w:color w:val="843C0C"/>
        </w:rPr>
        <w:t>Every payment attempt is recorded against the firm — when, how much, the outcome, and the provider's transaction reference — whether it succeeds or fails. This record is what the tenant's active status is derived from and what any billing question is answered from.</w:t>
      </w:r>
      <w:r>
        <w:rPr>
          <w:b w:val="0"/>
          <w:i w:val="0"/>
          <w:strike w:val="0"/>
        </w:rPr>
        <w:t xml:space="preserve"> </w:t>
      </w:r>
      <w:r>
        <w:rPr>
          <w:b w:val="0"/>
          <w:i/>
          <w:strike w:val="0"/>
          <w:color w:val="843C0C"/>
          <w:sz w:val="16"/>
        </w:rPr>
        <w:t xml:space="preserve"> [Aug 2026 onboarding flow]</w:t>
      </w:r>
    </w:p>
    <w:p>
      <w:r>
        <w:rPr>
          <w:b/>
          <w:i w:val="0"/>
          <w:strike w:val="0"/>
          <w:color w:val="1155CC"/>
        </w:rPr>
        <w:t>[FR-125]</w:t>
      </w:r>
      <w:r>
        <w:rPr>
          <w:b w:val="0"/>
          <w:i w:val="0"/>
          <w:strike w:val="0"/>
        </w:rPr>
        <w:t xml:space="preserve"> </w:t>
      </w:r>
      <w:r>
        <w:rPr>
          <w:b/>
          <w:i/>
          <w:strike w:val="0"/>
          <w:color w:val="843C0C"/>
        </w:rPr>
        <w:t>On successful payment the firm's tenant is activated: the account moves from pre-activation to active, the Requirement IDs derived at FR-07 are loaded into the pending-item pool (FR-78), and the enquiry moves to Active under SA-18. Sosinna's team is notified that the firm is live.</w:t>
      </w:r>
      <w:r>
        <w:rPr>
          <w:b w:val="0"/>
          <w:i w:val="0"/>
          <w:strike w:val="0"/>
        </w:rPr>
        <w:t xml:space="preserve"> </w:t>
      </w:r>
      <w:r>
        <w:rPr>
          <w:b w:val="0"/>
          <w:i/>
          <w:strike w:val="0"/>
          <w:color w:val="843C0C"/>
          <w:sz w:val="16"/>
        </w:rPr>
        <w:t xml:space="preserve"> [Aug 2026 onboarding flow]</w:t>
      </w:r>
    </w:p>
    <w:p>
      <w:r>
        <w:rPr>
          <w:b/>
          <w:i w:val="0"/>
          <w:strike w:val="0"/>
          <w:color w:val="1155CC"/>
        </w:rPr>
        <w:t>[FR-126]</w:t>
      </w:r>
      <w:r>
        <w:rPr>
          <w:b w:val="0"/>
          <w:i w:val="0"/>
          <w:strike w:val="0"/>
        </w:rPr>
        <w:t xml:space="preserve"> </w:t>
      </w:r>
      <w:r>
        <w:rPr>
          <w:b/>
          <w:i/>
          <w:strike w:val="0"/>
          <w:color w:val="843C0C"/>
        </w:rPr>
        <w:t>A failed payment does not end the onboarding and does not discard anything. The firm is shown a plain explanation, everything they entered is retained exactly as it was, and they can retry — immediately, or by returning later through the same link. Repeated failures are visible to Sosinna's team on the enquiry so they can intervene, since a firm stuck at payment is a firm that has already done all of the work and cannot get in.</w:t>
      </w:r>
      <w:r>
        <w:rPr>
          <w:b w:val="0"/>
          <w:i w:val="0"/>
          <w:strike w:val="0"/>
        </w:rPr>
        <w:t xml:space="preserve"> </w:t>
      </w:r>
      <w:r>
        <w:rPr>
          <w:b w:val="0"/>
          <w:i/>
          <w:strike w:val="0"/>
          <w:color w:val="843C0C"/>
          <w:sz w:val="16"/>
        </w:rPr>
        <w:t xml:space="preserve"> [Aug 2026 onboarding flow]</w:t>
      </w:r>
    </w:p>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v7.0)</w:t>
            </w:r>
          </w:p>
          <w:p>
            <w:r>
              <w:rPr>
                <w:b/>
                <w:i w:val="0"/>
                <w:strike w:val="0"/>
              </w:rPr>
              <w:t>📌 Note</w:t>
            </w:r>
          </w:p>
          <w:p>
            <w:pPr>
              <w:pStyle w:val="ListBullet"/>
            </w:pPr>
            <w:r>
              <w:rPr>
                <w:b/>
                <w:i/>
                <w:strike w:val="0"/>
                <w:color w:val="843C0C"/>
              </w:rPr>
              <w:t>Card data must never touch ControlIQ's servers or database. Use a payment provider's hosted fields or hosted checkout so the platform handles only a provider token and a transaction reference. This keeps PCI DSS obligations at the lightest tier and keeps card data out of Section 2's six-year retention regime, where it must not be. See NFR-12.</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Activation must be driven by the provider's confirmation — its server-to-server webhook — not by the browser returning to a success page. A user closing the tab after paying must still end up activated, and a user reaching the success URL without paying must not.</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Two commercial contradictions have to be resolved before this is built, and neither is a developer's to decide. MKT-02 states there is no self-serve checkout; CC-06 states Synergy is the reseller and bills firms directly. If the firm now pays through the platform, who is the merchant of record, who issues the invoice, who handles VAT, refunds and chasing a failed renewal? Logged as GAP-18 and GAP-19, and as ON-01 in Section 15. Do not resolve these by writing code.</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Recurrence is undefined. The flow above describes the first payment that unlocks the account. Whether the subscription then renews in-platform, and whether a failed renewal re-locks a firm that already holds six years of compliance evidence, is ON-02 — and the re-locking question is a serious one, because a regulated firm losing access to its own audit trail over a card expiry is not an acceptable outcome.</w:t>
            </w:r>
            <w:r>
              <w:rPr>
                <w:b w:val="0"/>
                <w:i w:val="0"/>
                <w:strike w:val="0"/>
              </w:rPr>
              <w:t xml:space="preserve"> </w:t>
            </w:r>
            <w:r>
              <w:rPr>
                <w:b w:val="0"/>
                <w:i/>
                <w:strike w:val="0"/>
                <w:color w:val="843C0C"/>
                <w:sz w:val="16"/>
              </w:rPr>
              <w:t xml:space="preserve"> [Aug 2026 onboarding flow]</w:t>
            </w:r>
          </w:p>
        </w:tc>
      </w:tr>
    </w:tbl>
    <w:p>
      <w:pPr>
        <w:pStyle w:val="Heading2"/>
      </w:pPr>
      <w:r>
        <w:t>5.8 First Login and What "Onboarded" Means</w:t>
      </w:r>
    </w:p>
    <w:p>
      <w:r>
        <w:rPr>
          <w:b/>
          <w:i w:val="0"/>
          <w:strike w:val="0"/>
          <w:color w:val="1155CC"/>
        </w:rPr>
        <w:t>[FR-127]</w:t>
      </w:r>
      <w:r>
        <w:rPr>
          <w:b w:val="0"/>
          <w:i w:val="0"/>
          <w:strike w:val="0"/>
        </w:rPr>
        <w:t xml:space="preserve"> </w:t>
      </w:r>
      <w:r>
        <w:rPr>
          <w:b/>
          <w:i/>
          <w:strike w:val="0"/>
          <w:color w:val="843C0C"/>
        </w:rPr>
        <w:t>A firm can log in once, and only once, its tenant is active under FR-125. Before that the onboarding link is the only thing that works — there is no partial or read-only access to the platform for an unpaid firm. After activation the normal login applies: email, password and MFA under FR-11.</w:t>
      </w:r>
      <w:r>
        <w:rPr>
          <w:b w:val="0"/>
          <w:i w:val="0"/>
          <w:strike w:val="0"/>
        </w:rPr>
        <w:t xml:space="preserve"> </w:t>
      </w:r>
      <w:r>
        <w:rPr>
          <w:b w:val="0"/>
          <w:i/>
          <w:strike w:val="0"/>
          <w:color w:val="843C0C"/>
          <w:sz w:val="16"/>
        </w:rPr>
        <w:t xml:space="preserve"> [Aug 2026 onboarding flow]</w:t>
      </w:r>
    </w:p>
    <w:p>
      <w:r>
        <w:rPr>
          <w:b/>
          <w:i w:val="0"/>
          <w:strike w:val="0"/>
          <w:color w:val="1155CC"/>
        </w:rPr>
        <w:t>[FR-128]</w:t>
      </w:r>
      <w:r>
        <w:rPr>
          <w:b w:val="0"/>
          <w:i w:val="0"/>
          <w:strike w:val="0"/>
        </w:rPr>
        <w:t xml:space="preserve"> </w:t>
      </w:r>
      <w:r>
        <w:rPr>
          <w:b/>
          <w:i/>
          <w:strike w:val="0"/>
          <w:color w:val="843C0C"/>
        </w:rPr>
        <w:t>A firm is "onboarded" when all of the following hold: firm details and licence captured (FR-01 to FR-03); revenue template and financial reports accepted (FR-04, FR-92); service lines selected and confirmed by the firm, with any deviation from the derived set reasoned, and the applicable regulations confirmed (FR-05, FR-104, FR-140, FR-141); client base captured (FR-06); staff, reporting lines and call tree captured with gaps resolved or acknowledged (FR-120 to FR-122); a second Firm Super Admin invited (FR-117); and payment successful (FR-125). The Portal shows each firm's position against this checklist, so Sosinna's team can see exactly where a stalled firm has stopped.</w:t>
      </w:r>
      <w:r>
        <w:rPr>
          <w:b w:val="0"/>
          <w:i w:val="0"/>
          <w:strike w:val="0"/>
        </w:rPr>
        <w:t xml:space="preserve"> </w:t>
      </w:r>
      <w:r>
        <w:rPr>
          <w:b w:val="0"/>
          <w:i/>
          <w:strike w:val="0"/>
          <w:color w:val="843C0C"/>
          <w:sz w:val="16"/>
        </w:rPr>
        <w:t xml:space="preserve"> [Aug 2026 onboarding flow]</w:t>
      </w:r>
      <w:r>
        <w:rPr>
          <w:b w:val="0"/>
          <w:i w:val="0"/>
          <w:strike w:val="0"/>
        </w:rPr>
        <w:t xml:space="preserve"> </w:t>
      </w:r>
      <w:r>
        <w:rPr>
          <w:b/>
          <w:i/>
          <w:strike w:val="0"/>
          <w:color w:val="2E7D32"/>
        </w:rPr>
        <w:t>REVISED in v10.0: the service line item on this checklist now reads "selected and confirmed" and carries the FR-141 deviation record, so a firm that overrode the platform's derivation is visible as such in the Portal. Superseded wording: "service lines and applicable regulations confirmed by the firm (FR-05, FR-104)".</w:t>
      </w:r>
      <w:r>
        <w:rPr>
          <w:b w:val="0"/>
          <w:i w:val="0"/>
          <w:strike w:val="0"/>
        </w:rPr>
        <w:t xml:space="preserve"> </w:t>
      </w:r>
      <w:r>
        <w:rPr>
          <w:b w:val="0"/>
          <w:i/>
          <w:strike w:val="0"/>
          <w:color w:val="2E7D32"/>
          <w:sz w:val="16"/>
        </w:rPr>
        <w:t xml:space="preserve"> [Sep 2026 model revision]</w:t>
      </w:r>
    </w:p>
    <w:tbl>
      <w:tblPr>
        <w:tblStyle w:val="TableGrid"/>
        <w:tblW w:type="auto" w:w="0"/>
        <w:tblLook w:firstColumn="1" w:firstRow="1" w:lastColumn="0" w:lastRow="0" w:noHBand="0" w:noVBand="1" w:val="04A0"/>
      </w:tblPr>
      <w:tblGrid>
        <w:gridCol w:w="8640"/>
      </w:tblGrid>
      <w:tr>
        <w:tc>
          <w:tcPr>
            <w:tcW w:type="dxa" w:w="8640"/>
            <w:shd w:val="clear" w:fill="E2EFDA"/>
          </w:tcPr>
          <w:p>
            <w:r>
              <w:rPr>
                <w:b/>
                <w:i w:val="0"/>
                <w:strike w:val="0"/>
              </w:rPr>
              <w:t>CONFIRMED</w:t>
            </w:r>
            <w:r>
              <w:rPr>
                <w:b w:val="0"/>
                <w:i w:val="0"/>
                <w:strike w:val="0"/>
              </w:rPr>
              <w:t xml:space="preserve"> </w:t>
            </w:r>
            <w:r>
              <w:rPr>
                <w:b w:val="0"/>
                <w:i/>
                <w:strike w:val="0"/>
              </w:rPr>
              <w:t>(green — agreed August 2026)</w:t>
            </w:r>
          </w:p>
          <w:p>
            <w:r>
              <w:rPr>
                <w:b/>
                <w:i w:val="0"/>
                <w:strike w:val="0"/>
              </w:rPr>
              <w:t>✅ What we have agreed</w:t>
            </w:r>
          </w:p>
          <w:p>
            <w:pPr>
              <w:pStyle w:val="ListBullet"/>
            </w:pPr>
            <w:r>
              <w:rPr>
                <w:b/>
                <w:i/>
                <w:strike w:val="0"/>
                <w:color w:val="843C0C"/>
              </w:rPr>
              <w:t>Firms arrive by enquiry. The platform receives enquiries and Sosinna's team works them from a list in the Portal.</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The legal agreement is done offline, outside the system. The platform records only that it happened.</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Entry is by an emailed onboarding link generated by Sosinna's team. No self-registration.</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The call tree is captured during onboarding and reviewed for gaps — every employee needs a call contact and a reporting manager.</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Payment comes after the onboarding details, and login comes after payment.</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A failed payment can be retried without losing the work already done.</w:t>
            </w:r>
            <w:r>
              <w:rPr>
                <w:b w:val="0"/>
                <w:i w:val="0"/>
                <w:strike w:val="0"/>
              </w:rPr>
              <w:t xml:space="preserve"> </w:t>
            </w:r>
            <w:r>
              <w:rPr>
                <w:b w:val="0"/>
                <w:i/>
                <w:strike w:val="0"/>
                <w:color w:val="843C0C"/>
                <w:sz w:val="16"/>
              </w:rPr>
              <w:t xml:space="preserve"> [Aug 2026 onboarding flow]</w:t>
            </w:r>
          </w:p>
        </w:tc>
      </w:tr>
    </w:tbl>
    <w:tbl>
      <w:tblPr>
        <w:tblStyle w:val="TableGrid"/>
        <w:tblW w:type="auto" w:w="0"/>
        <w:tblLook w:firstColumn="1" w:firstRow="1" w:lastColumn="0" w:lastRow="0" w:noHBand="0" w:noVBand="1" w:val="04A0"/>
      </w:tblPr>
      <w:tblGrid>
        <w:gridCol w:w="8640"/>
      </w:tblGrid>
      <w:tr>
        <w:tc>
          <w:tcPr>
            <w:tcW w:type="dxa" w:w="8640"/>
            <w:shd w:val="clear" w:fill="FFF2CC"/>
          </w:tcPr>
          <w:p>
            <w:r>
              <w:rPr>
                <w:b/>
                <w:i w:val="0"/>
                <w:strike w:val="0"/>
              </w:rPr>
              <w:t>OPEN QUESTION</w:t>
            </w:r>
            <w:r>
              <w:rPr>
                <w:b w:val="0"/>
                <w:i w:val="0"/>
                <w:strike w:val="0"/>
              </w:rPr>
              <w:t xml:space="preserve"> </w:t>
            </w:r>
            <w:r>
              <w:rPr>
                <w:b w:val="0"/>
                <w:i/>
                <w:strike w:val="0"/>
              </w:rPr>
              <w:t>(amber — new in v7.0)</w:t>
            </w:r>
          </w:p>
          <w:p>
            <w:r>
              <w:rPr>
                <w:b/>
                <w:i w:val="0"/>
                <w:strike w:val="0"/>
              </w:rPr>
              <w:t>💬 Questions still to confirm</w:t>
            </w:r>
          </w:p>
          <w:p>
            <w:pPr>
              <w:pStyle w:val="ListBullet"/>
            </w:pPr>
            <w:r>
              <w:rPr>
                <w:b/>
                <w:i/>
                <w:strike w:val="0"/>
                <w:color w:val="843C0C"/>
              </w:rPr>
              <w:t>Merchant of record (ON-01): CC-06 makes Synergy the reseller who bills firms directly, but the firm now pays through the platform. Who receives the money, issues the invoice, and handles VAT and refunds? This is a contract question with a direct build consequence and it blocks the Section 5.7 estimate.</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Recurrence and renewal (ON-02): is the onboarding payment a one-off unlock, or the first instalment of a subscription the platform then manages? If the latter — what happens on a failed renewal? Re-locking a regulated firm out of its own evidence is not obviously acceptable.</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Payment provider and currency (ON-03): which provider, which currencies, and does the firm pay by card, SEPA transfer, or invoice? An invoice-and-transfer model would mean no in-platform card payment at all and a much smaller build — worth deciding before assuming a checkout.</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Link lifetime (ON-04): what is the default expiry on an onboarding link, and can a firm that lets it lapse be re-invited automatically or only by Sosinna's team?</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Call tree gaps — block or warn (ON-05): can a firm finish onboarding with unresolved call-tree or reporting-manager gaps if it acknowledges them, or is a complete chain mandatory before payment? FR-122 assumes acknowledgement is enough.</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Staff data volume at onboarding (ON-06): must the firm load its entire headcount before it can pay, or only the compliance-relevant staff, with the rest added later? The client's worked example was 42 staff for 9 platform users — a real ask to complete before a firm has access to anything.</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Enquiry intake route (ON-07): does the marketing site post enquiries into the platform through an API, or does Sosinna's team re-key them? MKT-04's unresolved hosting/CMS question decides what is even possible here.</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Retention of dead enquiries and abandoned onboardings (ON-08): SA-18 says an enquiry is never deleted, and abandoned onboardings hold real firm data — licence numbers, financial reports, staff names. Section 2's never-delete rule was written for the compliance record of paying clients, not for prospects who walked away. GDPR data minimisation points the other way. Needs a retention rule of its own.</w:t>
            </w:r>
            <w:r>
              <w:rPr>
                <w:b w:val="0"/>
                <w:i w:val="0"/>
                <w:strike w:val="0"/>
              </w:rPr>
              <w:t xml:space="preserve"> </w:t>
            </w:r>
            <w:r>
              <w:rPr>
                <w:b w:val="0"/>
                <w:i/>
                <w:strike w:val="0"/>
                <w:color w:val="843C0C"/>
                <w:sz w:val="16"/>
              </w:rPr>
              <w:t xml:space="preserve"> [Aug 2026 onboarding flow]</w:t>
            </w:r>
          </w:p>
        </w:tc>
      </w:tr>
    </w:tbl>
    <w:p>
      <w:pPr>
        <w:pStyle w:val="Heading1"/>
      </w:pPr>
      <w:r>
        <w:t>6. Written Supervisory Procedures (WSP)</w:t>
      </w:r>
    </w:p>
    <w:p>
      <w:r>
        <w:rPr>
          <w:b w:val="0"/>
          <w:i w:val="0"/>
          <w:strike w:val="0"/>
        </w:rPr>
        <w:t>A Written Supervisory Procedure — WSP for short — is the firm's internal compliance manual. It describes, in the firm's own words, the policies and procedures they have in place to comply with each regulation. Regulators expect firms to have these procedures written down and kept up to date.</w:t>
      </w:r>
    </w:p>
    <w:p>
      <w:r>
        <w:rPr>
          <w:b w:val="0"/>
          <w:i w:val="0"/>
          <w:strike w:val="0"/>
        </w:rPr>
        <w:t>The WSP module in ControlIQ serves three purposes: it stores the firm's compliance manual, it checks that the manual actually covers all the rules the firm needs to comply with, and it alerts the firm when the manual needs to be updated because a regulation has changed.</w:t>
      </w:r>
    </w:p>
    <w:p>
      <w:pPr>
        <w:pStyle w:val="Heading2"/>
      </w:pPr>
      <w:r>
        <w:t>6.1 Uploading the WSP</w:t>
      </w:r>
    </w:p>
    <w:p>
      <w:r>
        <w:rPr>
          <w:b/>
          <w:i w:val="0"/>
          <w:strike w:val="0"/>
          <w:color w:val="1155CC"/>
        </w:rPr>
        <w:t>[FR-30]</w:t>
      </w:r>
      <w:r>
        <w:rPr>
          <w:b w:val="0"/>
          <w:i w:val="0"/>
          <w:strike w:val="0"/>
        </w:rPr>
        <w:t xml:space="preserve"> The firm uploads their entire compliance manual as a single document — not section by section. The platform accepts standard Word documents (.docx) and PDFs. It also accepts scanned PDFs (a scanned PDF is a photograph of a physical document — the platform uses OCR, which stands for Optical Character Recognition, to read the text from the scan automatically).</w:t>
      </w:r>
    </w:p>
    <w:p>
      <w:pPr>
        <w:pStyle w:val="Heading2"/>
      </w:pPr>
      <w:r>
        <w:t>6.2 AI-Assisted Rule Mapping</w:t>
      </w:r>
    </w:p>
    <w:p>
      <w:r>
        <w:rPr>
          <w:b w:val="0"/>
          <w:i w:val="0"/>
          <w:strike w:val="0"/>
        </w:rPr>
        <w:t>Once the document is uploaded, the platform uses artificial intelligence to read through it and suggest which regulations each section of the manual is addressing. For example, it might suggest that pages 12–15 cover the firm's transaction monitoring obligations under MiCA Art. 92.</w:t>
      </w:r>
    </w:p>
    <w:p>
      <w:r>
        <w:rPr>
          <w:b/>
          <w:i w:val="0"/>
          <w:strike w:val="0"/>
          <w:color w:val="1155CC"/>
        </w:rPr>
        <w:t>[FR-31]</w:t>
      </w:r>
      <w:r>
        <w:rPr>
          <w:b w:val="0"/>
          <w:i w:val="0"/>
          <w:strike w:val="0"/>
        </w:rPr>
        <w:t xml:space="preserve"> The AI suggestions are a starting point only — not a final determination. A compliance officer reviews each suggestion and either confirms it or adjusts it. The AI makes the process faster; the human makes the final call.</w:t>
      </w:r>
    </w:p>
    <w:p>
      <w:r>
        <w:rPr>
          <w:b/>
          <w:i w:val="0"/>
          <w:strike w:val="0"/>
        </w:rPr>
        <w:t>💬 Sosinna's comment (accepted by Jomin, 3 Jul 2026):</w:t>
      </w:r>
      <w:r>
        <w:rPr>
          <w:b w:val="0"/>
          <w:i w:val="0"/>
          <w:strike w:val="0"/>
        </w:rPr>
        <w:t xml:space="preserve"> </w:t>
      </w:r>
      <w:r>
        <w:rPr>
          <w:b w:val="0"/>
          <w:i/>
          <w:strike w:val="0"/>
          <w:color w:val="C55A11"/>
        </w:rPr>
        <w:t>the AI-assisted mapping feature must achieve a minimum verified accuracy rate of 85% against pre-defined verification text vectors during UAT. All the work to hit and maintain that bar — prompt engineering, vector database indexing, algorithmic tuning — is inside the initial fixed-fee scope. It does not trigger additional development cost. This supersedes the note below, which previously left accuracy entirely up to SayOne's internal judgement.</w:t>
      </w:r>
      <w:r>
        <w:rPr>
          <w:b w:val="0"/>
          <w:i w:val="0"/>
          <w:strike w:val="0"/>
        </w:rPr>
        <w:t xml:space="preserve"> </w:t>
      </w:r>
      <w:r>
        <w:rPr>
          <w:b w:val="0"/>
          <w:i/>
          <w:strike w:val="0"/>
          <w:color w:val="C55A11"/>
          <w:sz w:val="16"/>
        </w:rPr>
        <w:t xml:space="preserve"> [Sosinna's Drive comment]</w:t>
      </w:r>
    </w:p>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w:t>
            </w:r>
          </w:p>
          <w:p>
            <w:r>
              <w:rPr>
                <w:b/>
                <w:i w:val="0"/>
                <w:strike w:val="0"/>
              </w:rPr>
              <w:t>📌 Note</w:t>
            </w:r>
          </w:p>
          <w:p>
            <w:pPr>
              <w:pStyle w:val="ListBullet"/>
            </w:pPr>
            <w:r>
              <w:rPr>
                <w:b w:val="0"/>
                <w:i/>
                <w:strike w:val="0"/>
              </w:rPr>
              <w:t>Superseded — kept for context only: this note previously said the acceptable accuracy rate was an internal SayOne decision, not something Sosinna's team needed to weigh in on. That is no longer the case — see the accepted 85% UAT threshold above.</w:t>
            </w:r>
          </w:p>
        </w:tc>
      </w:tr>
    </w:tbl>
    <w:p>
      <w:pPr>
        <w:pStyle w:val="Heading2"/>
      </w:pPr>
      <w:r>
        <w:t>6.3 Sign-Off on Every Mapping</w:t>
      </w:r>
    </w:p>
    <w:p>
      <w:r>
        <w:rPr>
          <w:b/>
          <w:i w:val="0"/>
          <w:strike w:val="0"/>
          <w:color w:val="1155CC"/>
        </w:rPr>
        <w:t>[FR-32]</w:t>
      </w:r>
      <w:r>
        <w:rPr>
          <w:b w:val="0"/>
          <w:i w:val="0"/>
          <w:strike w:val="0"/>
        </w:rPr>
        <w:t xml:space="preserve"> Before any rule mapping is confirmed — or changed — two senior people at the firm must independently approve it. The person who wrote the policy cannot be one of the two approvers. This two-person sign-off rule is there to prevent any single person from unilaterally confirming that the firm's manual is compliant when it may not be.</w:t>
      </w:r>
    </w:p>
    <w:p>
      <w:r>
        <w:rPr>
          <w:b/>
          <w:i w:val="0"/>
          <w:strike w:val="0"/>
          <w:color w:val="1155CC"/>
        </w:rPr>
        <w:t>[FR-33]</w:t>
      </w:r>
      <w:r>
        <w:rPr>
          <w:b w:val="0"/>
          <w:i w:val="0"/>
          <w:strike w:val="0"/>
        </w:rPr>
        <w:t xml:space="preserve"> If a previously confirmed mapping is reversed — meaning a section of the manual is untagged from a rule it was previously mapped to — the same two-person approval process applies. The reversal, the two approvers, and the date are permanently recorded.</w:t>
      </w:r>
    </w:p>
    <w:p>
      <w:r>
        <w:rPr>
          <w:b/>
          <w:i w:val="0"/>
          <w:strike w:val="0"/>
        </w:rPr>
        <w:t>💬 Sosinna's comment (GAP-09 answer):</w:t>
      </w:r>
      <w:r>
        <w:rPr>
          <w:b w:val="0"/>
          <w:i w:val="0"/>
          <w:strike w:val="0"/>
        </w:rPr>
        <w:t xml:space="preserve"> </w:t>
      </w:r>
      <w:r>
        <w:rPr>
          <w:b w:val="0"/>
          <w:i/>
          <w:strike w:val="0"/>
          <w:color w:val="C55A11"/>
        </w:rPr>
        <w:t>the mapping should re-run automatically whenever a new WSP version is uploaded and correctly labelled — it shouldn't rely on someone remembering to re-map. Manual override of an automatic mapping is allowed, but any manual change must carry a visible tag flagging that it was a human override, not an AI or system-generated mapping.</w:t>
      </w:r>
      <w:r>
        <w:rPr>
          <w:b w:val="0"/>
          <w:i w:val="0"/>
          <w:strike w:val="0"/>
        </w:rPr>
        <w:t xml:space="preserve"> </w:t>
      </w:r>
      <w:r>
        <w:rPr>
          <w:b w:val="0"/>
          <w:i/>
          <w:strike w:val="0"/>
          <w:color w:val="C55A11"/>
          <w:sz w:val="16"/>
        </w:rPr>
        <w:t xml:space="preserve"> [Sosinna's Drive comment]</w:t>
      </w:r>
    </w:p>
    <w:p>
      <w:pPr>
        <w:pStyle w:val="Heading2"/>
      </w:pPr>
      <w:r>
        <w:t>6.4 Gap Analysis</w:t>
      </w:r>
    </w:p>
    <w:p>
      <w:r>
        <w:rPr>
          <w:b/>
          <w:i w:val="0"/>
          <w:strike w:val="0"/>
          <w:color w:val="1155CC"/>
        </w:rPr>
        <w:t>[FR-34]</w:t>
      </w:r>
      <w:r>
        <w:rPr>
          <w:b w:val="0"/>
          <w:i w:val="0"/>
          <w:strike w:val="0"/>
        </w:rPr>
        <w:t xml:space="preserve"> At any point, the platform shows a real-time gap analysis: which of the firm's required Requirement IDs have a corresponding section in their compliance manual, and which do not. Any gap is flagged on the firm's dashboard as a compliance gap that needs to be addressed.</w:t>
      </w:r>
    </w:p>
    <w:p>
      <w:pPr>
        <w:pStyle w:val="Heading2"/>
      </w:pPr>
      <w:r>
        <w:t>6.5 Staying Up to Date</w:t>
      </w:r>
    </w:p>
    <w:p>
      <w:r>
        <w:rPr>
          <w:b/>
          <w:i w:val="0"/>
          <w:strike w:val="0"/>
          <w:color w:val="1155CC"/>
        </w:rPr>
        <w:t>[FR-35]</w:t>
      </w:r>
      <w:r>
        <w:rPr>
          <w:b w:val="0"/>
          <w:i w:val="0"/>
          <w:strike w:val="0"/>
        </w:rPr>
        <w:t xml:space="preserve"> When the Platform Admin Portal detects a change to a regulation that the firm is subject to, the firm is immediately alerted. The specific sections of their compliance manual that were mapped to the affected rule are flagged for review. This review is not deferred to the next testing cycle — it is triggered straight away.</w:t>
      </w:r>
    </w:p>
    <w:p>
      <w:r>
        <w:rPr>
          <w:b/>
          <w:i w:val="0"/>
          <w:strike w:val="0"/>
          <w:color w:val="1155CC"/>
        </w:rPr>
        <w:t>[FR-36]</w:t>
      </w:r>
      <w:r>
        <w:rPr>
          <w:b w:val="0"/>
          <w:i w:val="0"/>
          <w:strike w:val="0"/>
        </w:rPr>
        <w:t xml:space="preserve"> Regardless of whether anything changes, the platform triggers an annual review of the entire compliance manual. The CCO and designated approvers sign off that they have reviewed the document and either updated it or confirmed that no changes were needed.</w:t>
      </w:r>
    </w:p>
    <w:p>
      <w:r>
        <w:rPr>
          <w:b/>
          <w:i w:val="0"/>
          <w:strike w:val="0"/>
          <w:color w:val="1155CC"/>
        </w:rPr>
        <w:t>[FR-37]</w:t>
      </w:r>
      <w:r>
        <w:rPr>
          <w:b w:val="0"/>
          <w:i w:val="0"/>
          <w:strike w:val="0"/>
        </w:rPr>
        <w:t xml:space="preserve"> Every version of the uploaded compliance manual, and every change to any rule mapping, is kept permanently with a complete version history. Nothing is overwritten.</w:t>
      </w:r>
    </w:p>
    <w:tbl>
      <w:tblPr>
        <w:tblStyle w:val="TableGrid"/>
        <w:tblW w:type="auto" w:w="0"/>
        <w:tblLook w:firstColumn="1" w:firstRow="1" w:lastColumn="0" w:lastRow="0" w:noHBand="0" w:noVBand="1" w:val="04A0"/>
      </w:tblPr>
      <w:tblGrid>
        <w:gridCol w:w="8640"/>
      </w:tblGrid>
      <w:tr>
        <w:tc>
          <w:tcPr>
            <w:tcW w:type="dxa" w:w="8640"/>
            <w:shd w:val="clear" w:fill="E2EFDA"/>
          </w:tcPr>
          <w:p>
            <w:r>
              <w:rPr>
                <w:b/>
                <w:i w:val="0"/>
                <w:strike w:val="0"/>
              </w:rPr>
              <w:t>CONFIRMED</w:t>
            </w:r>
            <w:r>
              <w:rPr>
                <w:b w:val="0"/>
                <w:i w:val="0"/>
                <w:strike w:val="0"/>
              </w:rPr>
              <w:t xml:space="preserve"> </w:t>
            </w:r>
            <w:r>
              <w:rPr>
                <w:b w:val="0"/>
                <w:i/>
                <w:strike w:val="0"/>
              </w:rPr>
              <w:t>(green — agreed decision)</w:t>
            </w:r>
          </w:p>
          <w:p>
            <w:r>
              <w:rPr>
                <w:b/>
                <w:i w:val="0"/>
                <w:strike w:val="0"/>
              </w:rPr>
              <w:t>✅ What we have agreed</w:t>
            </w:r>
          </w:p>
          <w:p>
            <w:pPr>
              <w:pStyle w:val="ListBullet"/>
            </w:pPr>
            <w:r>
              <w:rPr>
                <w:b w:val="0"/>
                <w:i w:val="0"/>
                <w:strike w:val="0"/>
              </w:rPr>
              <w:t>The firm uploads the complete compliance manual as one document — not section by section.</w:t>
            </w:r>
          </w:p>
          <w:p>
            <w:pPr>
              <w:pStyle w:val="ListBullet"/>
            </w:pPr>
            <w:r>
              <w:rPr>
                <w:b w:val="0"/>
                <w:i w:val="0"/>
                <w:strike w:val="0"/>
              </w:rPr>
              <w:t>Scanned PDFs are supported — the platform reads them using OCR.</w:t>
            </w:r>
          </w:p>
          <w:p>
            <w:pPr>
              <w:pStyle w:val="ListBullet"/>
            </w:pPr>
            <w:r>
              <w:rPr>
                <w:b w:val="0"/>
                <w:i w:val="0"/>
                <w:strike w:val="0"/>
              </w:rPr>
              <w:t>Any mapping, change, or reversal requires two-person sign-off. The policy author cannot be one of the approvers.</w:t>
            </w:r>
          </w:p>
          <w:p>
            <w:pPr>
              <w:pStyle w:val="ListBullet"/>
            </w:pPr>
            <w:r>
              <w:rPr>
                <w:b w:val="0"/>
                <w:i w:val="0"/>
                <w:strike w:val="0"/>
              </w:rPr>
              <w:t>Regulation changes trigger an immediate alert and WSP review — not deferred to the next test cycle.</w:t>
            </w:r>
          </w:p>
          <w:p>
            <w:pPr>
              <w:pStyle w:val="ListBullet"/>
            </w:pPr>
            <w:r>
              <w:rPr>
                <w:b/>
                <w:i/>
                <w:strike w:val="0"/>
                <w:color w:val="C55A11"/>
              </w:rPr>
              <w:t>AI mapping accuracy: minimum 85% verified at UAT, tuning included in the fixed fee (accepted 3 Jul 2026).</w:t>
            </w:r>
            <w:r>
              <w:rPr>
                <w:b w:val="0"/>
                <w:i w:val="0"/>
                <w:strike w:val="0"/>
              </w:rPr>
              <w:t xml:space="preserve"> </w:t>
            </w:r>
            <w:r>
              <w:rPr>
                <w:b w:val="0"/>
                <w:i/>
                <w:strike w:val="0"/>
                <w:color w:val="C55A11"/>
                <w:sz w:val="16"/>
              </w:rPr>
              <w:t xml:space="preserve"> [Sosinna's Drive comment]</w:t>
            </w:r>
          </w:p>
          <w:p>
            <w:pPr>
              <w:pStyle w:val="ListBullet"/>
            </w:pPr>
            <w:r>
              <w:rPr>
                <w:b/>
                <w:i/>
                <w:strike w:val="0"/>
                <w:color w:val="C55A11"/>
              </w:rPr>
              <w:t>Re-mapping triggers automatically on new WSP upload; manual overrides are permitted but must be tagged as manual.</w:t>
            </w:r>
            <w:r>
              <w:rPr>
                <w:b w:val="0"/>
                <w:i w:val="0"/>
                <w:strike w:val="0"/>
              </w:rPr>
              <w:t xml:space="preserve"> </w:t>
            </w:r>
            <w:r>
              <w:rPr>
                <w:b w:val="0"/>
                <w:i/>
                <w:strike w:val="0"/>
                <w:color w:val="C55A11"/>
                <w:sz w:val="16"/>
              </w:rPr>
              <w:t xml:space="preserve"> [Sosinna's Drive comment]</w:t>
            </w:r>
          </w:p>
        </w:tc>
      </w:tr>
    </w:tbl>
    <w:p>
      <w:pPr>
        <w:pStyle w:val="Heading1"/>
      </w:pPr>
      <w:r>
        <w:t>7. Running Compliance Tests</w:t>
      </w:r>
    </w:p>
    <w:p>
      <w:r>
        <w:rPr>
          <w:b w:val="0"/>
          <w:i w:val="0"/>
          <w:strike w:val="0"/>
        </w:rPr>
        <w:t>This is the core of the platform. The compliance testing module is where the firm's compliance team actually does the work: running tests, collecting evidence, recording what they find, and feeding results into the reporting process.</w:t>
      </w:r>
    </w:p>
    <w:p>
      <w:r>
        <w:rPr>
          <w:b w:val="0"/>
          <w:i w:val="0"/>
          <w:strike w:val="0"/>
        </w:rPr>
        <w:t>Every test the firm runs is based on one of the Requirement IDs built by Sosinna's team in the Platform Admin Portal. The test procedure — the step-by-step instructions — comes from that portal. The compliance team's job is to follow those steps, upload the required evidence, and record an honest result.</w:t>
      </w:r>
    </w:p>
    <w:p>
      <w:pPr>
        <w:pStyle w:val="Heading2"/>
      </w:pPr>
      <w:r>
        <w:t>7.1 The Full Testing Workflow — Step by Step</w:t>
      </w:r>
    </w:p>
    <w:p>
      <w:r>
        <w:rPr>
          <w:b w:val="0"/>
          <w:i w:val="0"/>
          <w:strike w:val="0"/>
        </w:rPr>
        <w:t>Here is the complete sequence of events from the moment a test is due to the moment the final report is distributed: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w:t>
            </w:r>
          </w:p>
        </w:tc>
        <w:tc>
          <w:tcPr>
            <w:tcW w:type="dxa" w:w="2880"/>
            <w:shd w:val="clear" w:fill="1F4E79"/>
          </w:tcPr>
          <w:p>
            <w:r>
              <w:rPr>
                <w:b/>
                <w:color w:val="FFFFFF"/>
              </w:rPr>
            </w:r>
            <w:r>
              <w:rPr>
                <w:b/>
                <w:i w:val="0"/>
                <w:strike w:val="0"/>
                <w:color w:val="FFFFFF"/>
              </w:rPr>
              <w:t>Who</w:t>
            </w:r>
          </w:p>
        </w:tc>
        <w:tc>
          <w:tcPr>
            <w:tcW w:type="dxa" w:w="2880"/>
            <w:shd w:val="clear" w:fill="1F4E79"/>
          </w:tcPr>
          <w:p>
            <w:r>
              <w:rPr>
                <w:b/>
                <w:color w:val="FFFFFF"/>
              </w:rPr>
            </w:r>
            <w:r>
              <w:rPr>
                <w:b/>
                <w:i w:val="0"/>
                <w:strike w:val="0"/>
                <w:color w:val="FFFFFF"/>
              </w:rPr>
              <w:t>What happens</w:t>
            </w:r>
          </w:p>
        </w:tc>
      </w:tr>
      <w:tr>
        <w:tc>
          <w:tcPr>
            <w:tcW w:type="dxa" w:w="2880"/>
          </w:tcPr>
          <w:p>
            <w:r/>
            <w:r>
              <w:rPr>
                <w:b w:val="0"/>
                <w:i w:val="0"/>
                <w:strike w:val="0"/>
              </w:rPr>
              <w:t>1</w:t>
            </w:r>
          </w:p>
        </w:tc>
        <w:tc>
          <w:tcPr>
            <w:tcW w:type="dxa" w:w="2880"/>
          </w:tcPr>
          <w:p>
            <w:r/>
            <w:r>
              <w:rPr>
                <w:b w:val="0"/>
                <w:i w:val="0"/>
                <w:strike w:val="0"/>
              </w:rPr>
              <w:t>Platform</w:t>
            </w:r>
          </w:p>
        </w:tc>
        <w:tc>
          <w:tcPr>
            <w:tcW w:type="dxa" w:w="2880"/>
          </w:tcPr>
          <w:p>
            <w:r/>
            <w:r>
              <w:rPr>
                <w:b/>
                <w:i/>
                <w:strike w:val="0"/>
                <w:color w:val="7B3F00"/>
              </w:rPr>
              <w:t>REVISED in v5.0, again in v11.0.</w:t>
            </w:r>
            <w:r>
              <w:rPr>
                <w:b w:val="0"/>
                <w:i w:val="0"/>
                <w:strike w:val="0"/>
              </w:rPr>
              <w:t xml:space="preserve"> The platform derives every </w:t>
            </w:r>
            <w:r>
              <w:rPr>
                <w:b/>
                <w:i/>
                <w:strike w:val="0"/>
                <w:color w:val="7B3F00"/>
              </w:rPr>
              <w:t>requirement</w:t>
            </w:r>
            <w:r>
              <w:rPr>
                <w:b w:val="0"/>
                <w:i w:val="0"/>
                <w:strike w:val="0"/>
              </w:rPr>
              <w:t xml:space="preserve"> the firm owes from </w:t>
            </w:r>
            <w:r>
              <w:rPr>
                <w:b/>
                <w:i/>
                <w:strike w:val="0"/>
                <w:color w:val="7B3F00"/>
              </w:rPr>
              <w:t>the requirements loaded at FR-07 and each one's own schedule</w:t>
            </w:r>
            <w:r>
              <w:rPr>
                <w:b w:val="0"/>
                <w:i w:val="0"/>
                <w:strike w:val="0"/>
              </w:rPr>
              <w:t xml:space="preserve"> — some monthly, some quarterly, some annual, some a one-off window — and places them in a </w:t>
            </w:r>
            <w:r>
              <w:rPr>
                <w:b/>
                <w:i w:val="0"/>
                <w:strike w:val="0"/>
              </w:rPr>
              <w:t>pending-item pool</w:t>
            </w:r>
            <w:r>
              <w:rPr>
                <w:b w:val="0"/>
                <w:i w:val="0"/>
                <w:strike w:val="0"/>
              </w:rPr>
              <w:t xml:space="preserve"> rather than writing each one into the calendar as its own scheduled entry. </w:t>
            </w:r>
            <w:r>
              <w:rPr>
                <w:b/>
                <w:i/>
                <w:strike w:val="0"/>
                <w:color w:val="7B3F00"/>
              </w:rPr>
              <w:t>The pool holds requirements, grouped under the test they belong to, because schedule is a property of the requirement and one test can hold requirements that fall due at different times.</w:t>
            </w:r>
            <w:r>
              <w:rPr>
                <w:b w:val="0"/>
                <w:i w:val="0"/>
                <w:strike w:val="0"/>
              </w:rPr>
              <w:t xml:space="preserve"> </w:t>
            </w:r>
            <w:r>
              <w:rPr>
                <w:b w:val="0"/>
                <w:i/>
                <w:strike w:val="0"/>
                <w:color w:val="7B3F00"/>
                <w:sz w:val="16"/>
              </w:rPr>
              <w:t xml:space="preserve"> [Sep 2026 test model]</w:t>
            </w:r>
            <w:r>
              <w:rPr>
                <w:b w:val="0"/>
                <w:i w:val="0"/>
                <w:strike w:val="0"/>
              </w:rPr>
              <w:t xml:space="preserve"> The CCO can also manually create additional one-off reviews at any time. </w:t>
            </w:r>
            <w:r>
              <w:rPr>
                <w:b w:val="0"/>
                <w:i/>
                <w:strike w:val="0"/>
                <w:color w:val="7030A0"/>
              </w:rPr>
              <w:t>Superseded text, kept for context: "The platform's testing calendar automatically schedules all regulatory tests…" — see Section 7.2 for why this changed.</w:t>
            </w:r>
            <w:r>
              <w:rPr>
                <w:b w:val="0"/>
                <w:i w:val="0"/>
                <w:strike w:val="0"/>
              </w:rPr>
              <w:t xml:space="preserve"> </w:t>
            </w:r>
            <w:r>
              <w:rPr>
                <w:b w:val="0"/>
                <w:i/>
                <w:strike w:val="0"/>
                <w:color w:val="7030A0"/>
                <w:sz w:val="16"/>
              </w:rPr>
              <w:t xml:space="preserve"> [Aug 2026 client MOM]</w:t>
            </w:r>
          </w:p>
        </w:tc>
      </w:tr>
      <w:tr>
        <w:tc>
          <w:tcPr>
            <w:tcW w:type="dxa" w:w="2880"/>
          </w:tcPr>
          <w:p>
            <w:r/>
            <w:r>
              <w:rPr>
                <w:b w:val="0"/>
                <w:i w:val="0"/>
                <w:strike w:val="0"/>
              </w:rPr>
              <w:t>2</w:t>
            </w:r>
          </w:p>
        </w:tc>
        <w:tc>
          <w:tcPr>
            <w:tcW w:type="dxa" w:w="2880"/>
          </w:tcPr>
          <w:p>
            <w:r/>
            <w:r>
              <w:rPr>
                <w:b w:val="0"/>
                <w:i w:val="0"/>
                <w:strike w:val="0"/>
              </w:rPr>
              <w:t>CCO</w:t>
            </w:r>
          </w:p>
        </w:tc>
        <w:tc>
          <w:tcPr>
            <w:tcW w:type="dxa" w:w="2880"/>
          </w:tcPr>
          <w:p>
            <w:r/>
            <w:r>
              <w:rPr>
                <w:b/>
                <w:i/>
                <w:strike w:val="0"/>
                <w:color w:val="7030A0"/>
              </w:rPr>
              <w:t>REVISED in v5.0, again in v11.0.</w:t>
            </w:r>
            <w:r>
              <w:rPr>
                <w:b w:val="0"/>
                <w:i w:val="0"/>
                <w:strike w:val="0"/>
              </w:rPr>
              <w:t xml:space="preserve"> The CCO works the pending pool: selects a </w:t>
            </w:r>
            <w:r>
              <w:rPr>
                <w:b/>
                <w:i/>
                <w:strike w:val="0"/>
                <w:color w:val="7030A0"/>
              </w:rPr>
              <w:t>requirement</w:t>
            </w:r>
            <w:r>
              <w:rPr>
                <w:b w:val="0"/>
                <w:i w:val="0"/>
                <w:strike w:val="0"/>
              </w:rPr>
              <w:t xml:space="preserve">, confirms or adjusts its scope period, and assigns it to a Compliance Officer — their Lead Tester. This is a formal step. The Lead Tester receives a notification and cannot start work without this assignment. </w:t>
            </w:r>
            <w:r>
              <w:rPr>
                <w:b w:val="0"/>
                <w:i/>
                <w:strike w:val="0"/>
                <w:color w:val="7030A0"/>
                <w:sz w:val="16"/>
              </w:rPr>
              <w:t xml:space="preserve"> [Aug 2026 client MOM]</w:t>
            </w:r>
            <w:r>
              <w:rPr>
                <w:b w:val="0"/>
                <w:i w:val="0"/>
                <w:strike w:val="0"/>
              </w:rPr>
              <w:t xml:space="preserve"> </w:t>
            </w:r>
            <w:r>
              <w:br/>
            </w:r>
            <w:r>
              <w:rPr>
                <w:b w:val="0"/>
                <w:i w:val="0"/>
                <w:strike w:val="0"/>
              </w:rPr>
              <w:t xml:space="preserve"> </w:t>
            </w:r>
            <w:r>
              <w:rPr>
                <w:b/>
                <w:i/>
                <w:strike w:val="0"/>
                <w:color w:val="7B3F00"/>
              </w:rPr>
              <w:t>v11.0: assignment is at requirement level. Where a test holds several requirements the CCO assigns each one separately, and may give them to different testers — so a test spanning several testers is the ordinary case rather than a special fan-out. The v6.0 reading, which split a test by article, is superseded: articles are now a property of the requirement, not a unit of assignment. See FR-143 and FR-106 as revised.</w:t>
            </w:r>
            <w:r>
              <w:rPr>
                <w:b w:val="0"/>
                <w:i w:val="0"/>
                <w:strike w:val="0"/>
              </w:rPr>
              <w:t xml:space="preserve"> </w:t>
            </w:r>
            <w:r>
              <w:rPr>
                <w:b w:val="0"/>
                <w:i/>
                <w:strike w:val="0"/>
                <w:color w:val="7B3F00"/>
                <w:sz w:val="16"/>
              </w:rPr>
              <w:t xml:space="preserve"> [Sep 2026 test model]</w:t>
            </w:r>
          </w:p>
        </w:tc>
      </w:tr>
      <w:tr>
        <w:tc>
          <w:tcPr>
            <w:tcW w:type="dxa" w:w="2880"/>
          </w:tcPr>
          <w:p>
            <w:r/>
            <w:r>
              <w:rPr>
                <w:b w:val="0"/>
                <w:i w:val="0"/>
                <w:strike w:val="0"/>
              </w:rPr>
              <w:t>2a</w:t>
            </w:r>
          </w:p>
        </w:tc>
        <w:tc>
          <w:tcPr>
            <w:tcW w:type="dxa" w:w="2880"/>
          </w:tcPr>
          <w:p>
            <w:r/>
            <w:r>
              <w:rPr>
                <w:b w:val="0"/>
                <w:i w:val="0"/>
                <w:strike w:val="0"/>
              </w:rPr>
              <w:t>CCO / Platform</w:t>
            </w:r>
          </w:p>
        </w:tc>
        <w:tc>
          <w:tcPr>
            <w:tcW w:type="dxa" w:w="2880"/>
          </w:tcPr>
          <w:p>
            <w:r/>
            <w:r>
              <w:rPr>
                <w:b/>
                <w:i/>
                <w:strike w:val="0"/>
                <w:color w:val="7030A0"/>
              </w:rPr>
              <w:t>NEW in v5.0.</w:t>
            </w:r>
            <w:r>
              <w:rPr>
                <w:b w:val="0"/>
                <w:i w:val="0"/>
                <w:strike w:val="0"/>
              </w:rPr>
              <w:t xml:space="preserve"> Before testing begins, the business unit owner receives an </w:t>
            </w:r>
            <w:r>
              <w:rPr>
                <w:b/>
                <w:i w:val="0"/>
                <w:strike w:val="0"/>
              </w:rPr>
              <w:t>announcement letter</w:t>
            </w:r>
            <w:r>
              <w:rPr>
                <w:b w:val="0"/>
                <w:i w:val="0"/>
                <w:strike w:val="0"/>
              </w:rPr>
              <w:t xml:space="preserve"> and an </w:t>
            </w:r>
            <w:r>
              <w:rPr>
                <w:b/>
                <w:i w:val="0"/>
                <w:strike w:val="0"/>
              </w:rPr>
              <w:t>initial request list</w:t>
            </w:r>
            <w:r>
              <w:rPr>
                <w:b w:val="0"/>
                <w:i w:val="0"/>
                <w:strike w:val="0"/>
              </w:rPr>
              <w:t xml:space="preserve"> — the documents and records the tester will need. The date each item is requested is recorded from this moment. See Section 7.4. </w:t>
            </w:r>
            <w:r>
              <w:rPr>
                <w:b w:val="0"/>
                <w:i/>
                <w:strike w:val="0"/>
                <w:color w:val="7030A0"/>
                <w:sz w:val="16"/>
              </w:rPr>
              <w:t xml:space="preserve"> [Aug 2026 client MOM]</w:t>
            </w:r>
            <w:r>
              <w:rPr>
                <w:b w:val="0"/>
                <w:i w:val="0"/>
                <w:strike w:val="0"/>
              </w:rPr>
              <w:t xml:space="preserve"> </w:t>
            </w:r>
            <w:r>
              <w:br/>
            </w:r>
            <w:r>
              <w:rPr>
                <w:b w:val="0"/>
                <w:i w:val="0"/>
                <w:strike w:val="0"/>
              </w:rPr>
              <w:t xml:space="preserve"> </w:t>
            </w:r>
            <w:r>
              <w:rPr>
                <w:b/>
                <w:i/>
                <w:strike w:val="0"/>
                <w:color w:val="CC00CC"/>
              </w:rPr>
              <w:t>REVISED in v8.0: the announcement letter goes to a distribution list of all relevant business units, auto-populated by the platform — see FR-132. The letter carries a link that takes each business owner to their own dashboard of request items — see FR-133.</w:t>
            </w:r>
            <w:r>
              <w:rPr>
                <w:b w:val="0"/>
                <w:i w:val="0"/>
                <w:strike w:val="0"/>
              </w:rPr>
              <w:t xml:space="preserve"> </w:t>
            </w:r>
            <w:r>
              <w:rPr>
                <w:b w:val="0"/>
                <w:i/>
                <w:strike w:val="0"/>
                <w:color w:val="CC00CC"/>
                <w:sz w:val="16"/>
              </w:rPr>
              <w:t xml:space="preserve"> [14 Aug 2026 MOM]</w:t>
            </w:r>
          </w:p>
        </w:tc>
      </w:tr>
      <w:tr>
        <w:tc>
          <w:tcPr>
            <w:tcW w:type="dxa" w:w="2880"/>
          </w:tcPr>
          <w:p>
            <w:r/>
            <w:r>
              <w:rPr>
                <w:b w:val="0"/>
                <w:i w:val="0"/>
                <w:strike w:val="0"/>
              </w:rPr>
              <w:t>2b</w:t>
            </w:r>
          </w:p>
        </w:tc>
        <w:tc>
          <w:tcPr>
            <w:tcW w:type="dxa" w:w="2880"/>
          </w:tcPr>
          <w:p>
            <w:r/>
            <w:r>
              <w:rPr>
                <w:b w:val="0"/>
                <w:i w:val="0"/>
                <w:strike w:val="0"/>
              </w:rPr>
              <w:t>Business unit</w:t>
            </w:r>
          </w:p>
        </w:tc>
        <w:tc>
          <w:tcPr>
            <w:tcW w:type="dxa" w:w="2880"/>
          </w:tcPr>
          <w:p>
            <w:r/>
            <w:r>
              <w:rPr>
                <w:b/>
                <w:i/>
                <w:strike w:val="0"/>
                <w:color w:val="7030A0"/>
              </w:rPr>
              <w:t>NEW in v5.0.</w:t>
            </w:r>
            <w:r>
              <w:rPr>
                <w:b w:val="0"/>
                <w:i w:val="0"/>
                <w:strike w:val="0"/>
              </w:rPr>
              <w:t xml:space="preserve"> The business side uploads the requested documents. Each upload is checked — initially by AI — to confirm it matches the item that was actually requested, and the date received is recorded against the request. See Section 7.4. </w:t>
            </w:r>
            <w:r>
              <w:rPr>
                <w:b w:val="0"/>
                <w:i/>
                <w:strike w:val="0"/>
                <w:color w:val="7030A0"/>
                <w:sz w:val="16"/>
              </w:rPr>
              <w:t xml:space="preserve"> [Aug 2026 client MOM]</w:t>
            </w:r>
          </w:p>
        </w:tc>
      </w:tr>
      <w:tr>
        <w:tc>
          <w:tcPr>
            <w:tcW w:type="dxa" w:w="2880"/>
          </w:tcPr>
          <w:p>
            <w:r/>
            <w:r>
              <w:rPr>
                <w:b w:val="0"/>
                <w:i w:val="0"/>
                <w:strike w:val="0"/>
              </w:rPr>
              <w:t>3</w:t>
            </w:r>
          </w:p>
        </w:tc>
        <w:tc>
          <w:tcPr>
            <w:tcW w:type="dxa" w:w="2880"/>
          </w:tcPr>
          <w:p>
            <w:r/>
            <w:r>
              <w:rPr>
                <w:b w:val="0"/>
                <w:i w:val="0"/>
                <w:strike w:val="0"/>
              </w:rPr>
              <w:t>Lead Tester</w:t>
            </w:r>
          </w:p>
        </w:tc>
        <w:tc>
          <w:tcPr>
            <w:tcW w:type="dxa" w:w="2880"/>
          </w:tcPr>
          <w:p>
            <w:r/>
            <w:r>
              <w:rPr>
                <w:b/>
                <w:i/>
                <w:strike w:val="0"/>
                <w:color w:val="7B3F00"/>
              </w:rPr>
              <w:t>The Lead Tester opens the requirement assigned to them and works through its steps</w:t>
            </w:r>
            <w:r>
              <w:rPr>
                <w:b w:val="0"/>
                <w:i w:val="0"/>
                <w:strike w:val="0"/>
              </w:rPr>
              <w:t xml:space="preserve"> </w:t>
            </w:r>
            <w:r>
              <w:rPr>
                <w:b w:val="0"/>
                <w:i/>
                <w:strike w:val="0"/>
                <w:color w:val="7B3F00"/>
                <w:sz w:val="16"/>
              </w:rPr>
              <w:t xml:space="preserve"> [Sep 2026 test model]</w:t>
            </w:r>
            <w:r>
              <w:rPr>
                <w:b w:val="0"/>
                <w:i w:val="0"/>
                <w:strike w:val="0"/>
              </w:rPr>
              <w:t xml:space="preserve"> step by step. Each step shows what to do and what evidence to collect. The Lead Tester records their observation at each step and uploads the relevant files. Other team members (for example, the IT manager) can upload specialist evidence to specific steps, but only the Lead Tester records the formal findings. </w:t>
            </w:r>
            <w:r>
              <w:rPr>
                <w:b/>
                <w:i/>
                <w:strike w:val="0"/>
                <w:color w:val="CC00CC"/>
              </w:rPr>
              <w:t>REVISED in v8.0: each step also shows the AI-identified gaps relevant to it, and the Lead Tester records a status per step accordingly — see FR-135 in Section 7.5.</w:t>
            </w:r>
            <w:r>
              <w:rPr>
                <w:b w:val="0"/>
                <w:i w:val="0"/>
                <w:strike w:val="0"/>
              </w:rPr>
              <w:t xml:space="preserve"> </w:t>
            </w:r>
            <w:r>
              <w:rPr>
                <w:b w:val="0"/>
                <w:i/>
                <w:strike w:val="0"/>
                <w:color w:val="CC00CC"/>
                <w:sz w:val="16"/>
              </w:rPr>
              <w:t xml:space="preserve"> [14 Aug 2026 MOM]</w:t>
            </w:r>
          </w:p>
        </w:tc>
      </w:tr>
      <w:tr>
        <w:tc>
          <w:tcPr>
            <w:tcW w:type="dxa" w:w="2880"/>
          </w:tcPr>
          <w:p>
            <w:r/>
            <w:r>
              <w:rPr>
                <w:b w:val="0"/>
                <w:i w:val="0"/>
                <w:strike w:val="0"/>
              </w:rPr>
              <w:t>4</w:t>
            </w:r>
          </w:p>
        </w:tc>
        <w:tc>
          <w:tcPr>
            <w:tcW w:type="dxa" w:w="2880"/>
          </w:tcPr>
          <w:p>
            <w:r/>
            <w:r>
              <w:rPr>
                <w:b w:val="0"/>
                <w:i w:val="0"/>
                <w:strike w:val="0"/>
              </w:rPr>
              <w:t>Lead Tester</w:t>
            </w:r>
          </w:p>
        </w:tc>
        <w:tc>
          <w:tcPr>
            <w:tcW w:type="dxa" w:w="2880"/>
          </w:tcPr>
          <w:p>
            <w:r/>
            <w:r>
              <w:rPr>
                <w:b/>
                <w:i/>
                <w:strike w:val="0"/>
                <w:color w:val="2E7D32"/>
              </w:rPr>
              <w:t>REVISED in v10.0.</w:t>
            </w:r>
            <w:r>
              <w:rPr>
                <w:b w:val="0"/>
                <w:i w:val="0"/>
                <w:strike w:val="0"/>
              </w:rPr>
              <w:t xml:space="preserve"> On a step flagged as requiring sampling (SA-27) — for example, reviewing a selection of KYC files rather than every single one — the Lead Tester records: how many records exist in total, how many were selected, how they were selected, and which sampling methodology from the platform's library they used. The platform enforces the minimum sample size </w:t>
            </w:r>
            <w:r>
              <w:rPr>
                <w:b/>
                <w:i/>
                <w:strike w:val="0"/>
                <w:color w:val="2E7D32"/>
              </w:rPr>
              <w:t>set for that step</w:t>
            </w:r>
            <w:r>
              <w:rPr>
                <w:b w:val="0"/>
                <w:i w:val="0"/>
                <w:strike w:val="0"/>
              </w:rPr>
              <w:t xml:space="preserve">. </w:t>
            </w:r>
            <w:r>
              <w:rPr>
                <w:b/>
                <w:i/>
                <w:strike w:val="0"/>
                <w:color w:val="2E7D32"/>
              </w:rPr>
              <w:t>On a step flagged as requiring no sampling, none of those fields appear and none are required: the step is completed on the evidence produced and the tester's observation alone — see FR-142. Superseded wording: "Where the test involves checking a sample of records … The platform enforces a minimum sample size", which held sampling at test level and enforced the minimum unconditionally.</w:t>
            </w:r>
            <w:r>
              <w:rPr>
                <w:b w:val="0"/>
                <w:i w:val="0"/>
                <w:strike w:val="0"/>
              </w:rPr>
              <w:t xml:space="preserve"> </w:t>
            </w:r>
            <w:r>
              <w:rPr>
                <w:b w:val="0"/>
                <w:i/>
                <w:strike w:val="0"/>
                <w:color w:val="2E7D32"/>
                <w:sz w:val="16"/>
              </w:rPr>
              <w:t xml:space="preserve"> [Sep 2026 model revision]</w:t>
            </w:r>
          </w:p>
        </w:tc>
      </w:tr>
      <w:tr>
        <w:tc>
          <w:tcPr>
            <w:tcW w:type="dxa" w:w="2880"/>
          </w:tcPr>
          <w:p>
            <w:r/>
            <w:r>
              <w:rPr>
                <w:b w:val="0"/>
                <w:i w:val="0"/>
                <w:strike w:val="0"/>
              </w:rPr>
              <w:t>5</w:t>
            </w:r>
          </w:p>
        </w:tc>
        <w:tc>
          <w:tcPr>
            <w:tcW w:type="dxa" w:w="2880"/>
          </w:tcPr>
          <w:p>
            <w:r/>
            <w:r>
              <w:rPr>
                <w:b w:val="0"/>
                <w:i w:val="0"/>
                <w:strike w:val="0"/>
              </w:rPr>
              <w:t>Lead Tester</w:t>
            </w:r>
          </w:p>
        </w:tc>
        <w:tc>
          <w:tcPr>
            <w:tcW w:type="dxa" w:w="2880"/>
          </w:tcPr>
          <w:p>
            <w:r/>
            <w:r>
              <w:rPr>
                <w:b w:val="0"/>
                <w:i w:val="0"/>
                <w:strike w:val="0"/>
              </w:rPr>
              <w:t>Evidence is uploaded during the test. This can be any type of file — a PDF, a screenshot, an Excel export, an audio recording, a video, a screen recording, a ZIP archive of files. All uploads are non-deletable and permanently linked to the test.</w:t>
            </w:r>
          </w:p>
        </w:tc>
      </w:tr>
      <w:tr>
        <w:tc>
          <w:tcPr>
            <w:tcW w:type="dxa" w:w="2880"/>
          </w:tcPr>
          <w:p>
            <w:r/>
            <w:r>
              <w:rPr>
                <w:b w:val="0"/>
                <w:i w:val="0"/>
                <w:strike w:val="0"/>
              </w:rPr>
              <w:t>6</w:t>
            </w:r>
          </w:p>
        </w:tc>
        <w:tc>
          <w:tcPr>
            <w:tcW w:type="dxa" w:w="2880"/>
          </w:tcPr>
          <w:p>
            <w:r/>
            <w:r>
              <w:rPr>
                <w:b w:val="0"/>
                <w:i w:val="0"/>
                <w:strike w:val="0"/>
              </w:rPr>
              <w:t>Lead Tester</w:t>
            </w:r>
          </w:p>
        </w:tc>
        <w:tc>
          <w:tcPr>
            <w:tcW w:type="dxa" w:w="2880"/>
          </w:tcPr>
          <w:p>
            <w:r/>
            <w:r>
              <w:rPr>
                <w:b w:val="0"/>
                <w:i w:val="0"/>
                <w:strike w:val="0"/>
              </w:rPr>
              <w:t>Some tests can be run in partial scope — for example, testing only the KYC segment of the onboarding obligations in one quarter and the UBO (Ultimate Beneficial Owner) refresh in the next. The Lead Tester documents the scope at the start, and the platform tracks which parts of each Requirement ID have been covered across testing periods.</w:t>
            </w:r>
          </w:p>
        </w:tc>
      </w:tr>
      <w:tr>
        <w:tc>
          <w:tcPr>
            <w:tcW w:type="dxa" w:w="2880"/>
          </w:tcPr>
          <w:p>
            <w:r/>
            <w:r>
              <w:rPr>
                <w:b w:val="0"/>
                <w:i w:val="0"/>
                <w:strike w:val="0"/>
              </w:rPr>
              <w:t>7</w:t>
            </w:r>
          </w:p>
        </w:tc>
        <w:tc>
          <w:tcPr>
            <w:tcW w:type="dxa" w:w="2880"/>
          </w:tcPr>
          <w:p>
            <w:r/>
            <w:r>
              <w:rPr>
                <w:b w:val="0"/>
                <w:i w:val="0"/>
                <w:strike w:val="0"/>
              </w:rPr>
              <w:t>Lead Tester</w:t>
            </w:r>
          </w:p>
        </w:tc>
        <w:tc>
          <w:tcPr>
            <w:tcW w:type="dxa" w:w="2880"/>
          </w:tcPr>
          <w:p>
            <w:r/>
            <w:r>
              <w:rPr>
                <w:b/>
                <w:i/>
                <w:strike w:val="0"/>
                <w:color w:val="7B3F00"/>
              </w:rPr>
              <w:t>REVISED in v11.0.</w:t>
            </w:r>
            <w:r>
              <w:rPr>
                <w:b w:val="0"/>
                <w:i w:val="0"/>
                <w:strike w:val="0"/>
              </w:rPr>
              <w:t xml:space="preserve"> Once all steps of </w:t>
            </w:r>
            <w:r>
              <w:rPr>
                <w:b/>
                <w:i/>
                <w:strike w:val="0"/>
                <w:color w:val="7B3F00"/>
              </w:rPr>
              <w:t>their requirement</w:t>
            </w:r>
            <w:r>
              <w:rPr>
                <w:b w:val="0"/>
                <w:i w:val="0"/>
                <w:strike w:val="0"/>
              </w:rPr>
              <w:t xml:space="preserve"> are complete, the Lead Tester records </w:t>
            </w:r>
            <w:r>
              <w:rPr>
                <w:b/>
                <w:i/>
                <w:strike w:val="0"/>
                <w:color w:val="7B3F00"/>
              </w:rPr>
              <w:t>that requirement's</w:t>
            </w:r>
            <w:r>
              <w:rPr>
                <w:b w:val="0"/>
                <w:i w:val="0"/>
                <w:strike w:val="0"/>
              </w:rPr>
              <w:t xml:space="preserve"> result: Pass (everything is in order), Fail (something is non-compliant), or Observation (something needs attention but is not yet a breach). </w:t>
            </w:r>
            <w:r>
              <w:rPr>
                <w:b/>
                <w:i/>
                <w:strike w:val="0"/>
                <w:color w:val="7B3F00"/>
              </w:rPr>
              <w:t>The test's own result is not typed by anyone — it is rolled up from its requirements and confirmed by the CCO at review. See FR-144.</w:t>
            </w:r>
            <w:r>
              <w:rPr>
                <w:b w:val="0"/>
                <w:i w:val="0"/>
                <w:strike w:val="0"/>
              </w:rPr>
              <w:t xml:space="preserve"> </w:t>
            </w:r>
            <w:r>
              <w:rPr>
                <w:b w:val="0"/>
                <w:i/>
                <w:strike w:val="0"/>
                <w:color w:val="7B3F00"/>
                <w:sz w:val="16"/>
              </w:rPr>
              <w:t xml:space="preserve"> [Sep 2026 test model]</w:t>
            </w:r>
          </w:p>
        </w:tc>
      </w:tr>
      <w:tr>
        <w:tc>
          <w:tcPr>
            <w:tcW w:type="dxa" w:w="2880"/>
          </w:tcPr>
          <w:p>
            <w:r/>
            <w:r>
              <w:rPr>
                <w:b w:val="0"/>
                <w:i w:val="0"/>
                <w:strike w:val="0"/>
              </w:rPr>
              <w:t>8</w:t>
            </w:r>
          </w:p>
        </w:tc>
        <w:tc>
          <w:tcPr>
            <w:tcW w:type="dxa" w:w="2880"/>
          </w:tcPr>
          <w:p>
            <w:r/>
            <w:r>
              <w:rPr>
                <w:b w:val="0"/>
                <w:i w:val="0"/>
                <w:strike w:val="0"/>
              </w:rPr>
              <w:t>Lead Tester</w:t>
            </w:r>
          </w:p>
        </w:tc>
        <w:tc>
          <w:tcPr>
            <w:tcW w:type="dxa" w:w="2880"/>
          </w:tcPr>
          <w:p>
            <w:r/>
            <w:r>
              <w:rPr>
                <w:b w:val="0"/>
                <w:i w:val="0"/>
                <w:strike w:val="0"/>
              </w:rPr>
              <w:t xml:space="preserve">For every Fail or Observation, the Lead Tester creates a Finding. Each Finding is independent — </w:t>
            </w:r>
            <w:r>
              <w:rPr>
                <w:b/>
                <w:i/>
                <w:strike w:val="0"/>
                <w:color w:val="7B3F00"/>
              </w:rPr>
              <w:t>one requirement can produce multiple Findings, and so therefore can one test</w:t>
            </w:r>
            <w:r>
              <w:rPr>
                <w:b w:val="0"/>
                <w:i w:val="0"/>
                <w:strike w:val="0"/>
              </w:rPr>
              <w:t xml:space="preserve"> </w:t>
            </w:r>
            <w:r>
              <w:rPr>
                <w:b w:val="0"/>
                <w:i/>
                <w:strike w:val="0"/>
                <w:color w:val="7B3F00"/>
                <w:sz w:val="16"/>
              </w:rPr>
              <w:t xml:space="preserve"> [Sep 2026 test model]</w:t>
            </w:r>
            <w:r>
              <w:rPr>
                <w:b w:val="0"/>
                <w:i w:val="0"/>
                <w:strike w:val="0"/>
              </w:rPr>
              <w:t>, each with its own description, seriousness rating, the specific regulation article it relates to, and a root cause category (for example: Process Gap, Control Failure, Missing Documentation, System Issue, or Training Gap).</w:t>
            </w:r>
          </w:p>
        </w:tc>
      </w:tr>
      <w:tr>
        <w:tc>
          <w:tcPr>
            <w:tcW w:type="dxa" w:w="2880"/>
          </w:tcPr>
          <w:p>
            <w:r/>
            <w:r>
              <w:rPr>
                <w:b w:val="0"/>
                <w:i w:val="0"/>
                <w:strike w:val="0"/>
              </w:rPr>
              <w:t>9</w:t>
            </w:r>
          </w:p>
        </w:tc>
        <w:tc>
          <w:tcPr>
            <w:tcW w:type="dxa" w:w="2880"/>
          </w:tcPr>
          <w:p>
            <w:r/>
            <w:r>
              <w:rPr>
                <w:b w:val="0"/>
                <w:i w:val="0"/>
                <w:strike w:val="0"/>
              </w:rPr>
              <w:t>Lead Tester / CCO</w:t>
            </w:r>
          </w:p>
        </w:tc>
        <w:tc>
          <w:tcPr>
            <w:tcW w:type="dxa" w:w="2880"/>
          </w:tcPr>
          <w:p>
            <w:r/>
            <w:r>
              <w:rPr>
                <w:b w:val="0"/>
                <w:i w:val="0"/>
                <w:strike w:val="0"/>
              </w:rPr>
              <w:t>For each Finding, a remediation plan is created: a description of the corrective action needed, one or more milestones, each with a due date and a Remediation Owner assigned from the platform's registered users. The Remediation Owner is notified immediately.</w:t>
            </w:r>
          </w:p>
        </w:tc>
      </w:tr>
      <w:tr>
        <w:tc>
          <w:tcPr>
            <w:tcW w:type="dxa" w:w="2880"/>
          </w:tcPr>
          <w:p>
            <w:r/>
            <w:r>
              <w:rPr>
                <w:b w:val="0"/>
                <w:i w:val="0"/>
                <w:strike w:val="0"/>
              </w:rPr>
              <w:t>10</w:t>
            </w:r>
          </w:p>
        </w:tc>
        <w:tc>
          <w:tcPr>
            <w:tcW w:type="dxa" w:w="2880"/>
          </w:tcPr>
          <w:p>
            <w:r/>
            <w:r>
              <w:rPr>
                <w:b w:val="0"/>
                <w:i w:val="0"/>
                <w:strike w:val="0"/>
              </w:rPr>
              <w:t>CCO</w:t>
            </w:r>
          </w:p>
        </w:tc>
        <w:tc>
          <w:tcPr>
            <w:tcW w:type="dxa" w:w="2880"/>
          </w:tcPr>
          <w:p>
            <w:r/>
            <w:r>
              <w:rPr>
                <w:b w:val="0"/>
                <w:i w:val="0"/>
                <w:strike w:val="0"/>
              </w:rPr>
              <w:t xml:space="preserve">The CCO reviews the entire test — </w:t>
            </w:r>
            <w:r>
              <w:rPr>
                <w:b/>
                <w:i/>
                <w:strike w:val="0"/>
                <w:color w:val="7B3F00"/>
              </w:rPr>
              <w:t>every requirement in it, whoever tested them</w:t>
            </w:r>
            <w:r>
              <w:rPr>
                <w:b w:val="0"/>
                <w:i w:val="0"/>
                <w:strike w:val="0"/>
              </w:rPr>
              <w:t xml:space="preserve"> </w:t>
            </w:r>
            <w:r>
              <w:rPr>
                <w:b w:val="0"/>
                <w:i/>
                <w:strike w:val="0"/>
                <w:color w:val="7B3F00"/>
                <w:sz w:val="16"/>
              </w:rPr>
              <w:t xml:space="preserve"> [Sep 2026 test model]</w:t>
            </w:r>
            <w:r>
              <w:rPr>
                <w:b w:val="0"/>
                <w:i w:val="0"/>
                <w:strike w:val="0"/>
              </w:rPr>
              <w:t xml:space="preserve"> — all the Findings, and all the remediation plans. </w:t>
            </w:r>
            <w:r>
              <w:rPr>
                <w:b/>
                <w:i/>
                <w:strike w:val="0"/>
                <w:color w:val="7B3F00"/>
              </w:rPr>
              <w:t>The CCO confirms the rolled-up test result at this point under FR-144.</w:t>
            </w:r>
            <w:r>
              <w:rPr>
                <w:b w:val="0"/>
                <w:i w:val="0"/>
                <w:strike w:val="0"/>
              </w:rPr>
              <w:t xml:space="preserve"> </w:t>
            </w:r>
            <w:r>
              <w:rPr>
                <w:b w:val="0"/>
                <w:i/>
                <w:strike w:val="0"/>
                <w:color w:val="7B3F00"/>
                <w:sz w:val="16"/>
              </w:rPr>
              <w:t xml:space="preserve"> [Sep 2026 test model]</w:t>
            </w:r>
            <w:r>
              <w:rPr>
                <w:b w:val="0"/>
                <w:i w:val="0"/>
                <w:strike w:val="0"/>
              </w:rPr>
              <w:t xml:space="preserve"> The CCO can send it back to the Lead Tester for corrections, or formally approve it. Approval is recorded in the audit log. </w:t>
            </w:r>
            <w:r>
              <w:rPr>
                <w:b/>
                <w:i/>
                <w:strike w:val="0"/>
                <w:color w:val="CC00CC"/>
              </w:rPr>
              <w:t>REVISED in v8.0: the Lead Tester formally submits the test for CCO review, and the CCO has exactly three outcomes — mark the test completed, assign a remediation owner, or return it to the Lead Tester. Only the CCO can assign a remediation owner. See FR-136.</w:t>
            </w:r>
            <w:r>
              <w:rPr>
                <w:b w:val="0"/>
                <w:i w:val="0"/>
                <w:strike w:val="0"/>
              </w:rPr>
              <w:t xml:space="preserve"> </w:t>
            </w:r>
            <w:r>
              <w:rPr>
                <w:b w:val="0"/>
                <w:i/>
                <w:strike w:val="0"/>
                <w:color w:val="CC00CC"/>
                <w:sz w:val="16"/>
              </w:rPr>
              <w:t xml:space="preserve"> [14 Aug 2026 MOM]</w:t>
            </w:r>
          </w:p>
        </w:tc>
      </w:tr>
      <w:tr>
        <w:tc>
          <w:tcPr>
            <w:tcW w:type="dxa" w:w="2880"/>
          </w:tcPr>
          <w:p>
            <w:r/>
            <w:r>
              <w:rPr>
                <w:b w:val="0"/>
                <w:i w:val="0"/>
                <w:strike w:val="0"/>
              </w:rPr>
              <w:t>11</w:t>
            </w:r>
          </w:p>
        </w:tc>
        <w:tc>
          <w:tcPr>
            <w:tcW w:type="dxa" w:w="2880"/>
          </w:tcPr>
          <w:p>
            <w:r/>
            <w:r>
              <w:rPr>
                <w:b w:val="0"/>
                <w:i w:val="0"/>
                <w:strike w:val="0"/>
              </w:rPr>
              <w:t>AML Officer</w:t>
            </w:r>
          </w:p>
        </w:tc>
        <w:tc>
          <w:tcPr>
            <w:tcW w:type="dxa" w:w="2880"/>
          </w:tcPr>
          <w:p>
            <w:r/>
            <w:r>
              <w:rPr>
                <w:b w:val="0"/>
                <w:i w:val="0"/>
                <w:strike w:val="0"/>
              </w:rPr>
              <w:t xml:space="preserve">For tests involving AML obligations — such as transaction monitoring, customer risk ratings, or sanctions screening — the AML Officer (a Senior Management or CCO-level user) separately reviews and formally agrees to the Findings. This agreement is recorded in the audit log. </w:t>
            </w:r>
            <w:r>
              <w:rPr>
                <w:b/>
                <w:i/>
                <w:strike w:val="0"/>
                <w:color w:val="7B3F00"/>
              </w:rPr>
              <w:t>v11.0: whether the AML Officer signs the whole test or only the AML-relevant requirements within it is not settled — see GAP-23.</w:t>
            </w:r>
            <w:r>
              <w:rPr>
                <w:b w:val="0"/>
                <w:i w:val="0"/>
                <w:strike w:val="0"/>
              </w:rPr>
              <w:t xml:space="preserve"> </w:t>
            </w:r>
            <w:r>
              <w:rPr>
                <w:b w:val="0"/>
                <w:i/>
                <w:strike w:val="0"/>
                <w:color w:val="7B3F00"/>
                <w:sz w:val="16"/>
              </w:rPr>
              <w:t xml:space="preserve"> [Sep 2026 test model]</w:t>
            </w:r>
          </w:p>
        </w:tc>
      </w:tr>
      <w:tr>
        <w:tc>
          <w:tcPr>
            <w:tcW w:type="dxa" w:w="2880"/>
          </w:tcPr>
          <w:p>
            <w:r/>
            <w:r>
              <w:rPr>
                <w:b w:val="0"/>
                <w:i w:val="0"/>
                <w:strike w:val="0"/>
              </w:rPr>
              <w:t>12</w:t>
            </w:r>
          </w:p>
        </w:tc>
        <w:tc>
          <w:tcPr>
            <w:tcW w:type="dxa" w:w="2880"/>
          </w:tcPr>
          <w:p>
            <w:r/>
            <w:r>
              <w:rPr>
                <w:b w:val="0"/>
                <w:i w:val="0"/>
                <w:strike w:val="0"/>
              </w:rPr>
              <w:t>CCO</w:t>
            </w:r>
          </w:p>
        </w:tc>
        <w:tc>
          <w:tcPr>
            <w:tcW w:type="dxa" w:w="2880"/>
          </w:tcPr>
          <w:p>
            <w:r/>
            <w:r>
              <w:rPr>
                <w:b w:val="0"/>
                <w:i w:val="0"/>
                <w:strike w:val="0"/>
              </w:rPr>
              <w:t>Before the report can be generated, all remediation milestone dates must be confirmed with the Remediation Owners and signed off by the CCO. This locks in the plan. The moment the report is issued, the clock starts running on every milestone.</w:t>
            </w:r>
          </w:p>
        </w:tc>
      </w:tr>
      <w:tr>
        <w:tc>
          <w:tcPr>
            <w:tcW w:type="dxa" w:w="2880"/>
          </w:tcPr>
          <w:p>
            <w:r/>
            <w:r>
              <w:rPr>
                <w:b w:val="0"/>
                <w:i w:val="0"/>
                <w:strike w:val="0"/>
              </w:rPr>
              <w:t>13</w:t>
            </w:r>
          </w:p>
        </w:tc>
        <w:tc>
          <w:tcPr>
            <w:tcW w:type="dxa" w:w="2880"/>
          </w:tcPr>
          <w:p>
            <w:r/>
            <w:r>
              <w:rPr>
                <w:b w:val="0"/>
                <w:i w:val="0"/>
                <w:strike w:val="0"/>
              </w:rPr>
              <w:t>CCO</w:t>
            </w:r>
          </w:p>
        </w:tc>
        <w:tc>
          <w:tcPr>
            <w:tcW w:type="dxa" w:w="2880"/>
          </w:tcPr>
          <w:p>
            <w:r/>
            <w:r>
              <w:rPr>
                <w:b w:val="0"/>
                <w:i w:val="0"/>
                <w:strike w:val="0"/>
              </w:rPr>
              <w:t>The CCO generates the formal risk-based testing report for the testing period. The report includes every test result, every Finding, and the complete confirmed remediation plan. The report is branded with the ControlIQ logo.</w:t>
            </w:r>
          </w:p>
        </w:tc>
      </w:tr>
      <w:tr>
        <w:tc>
          <w:tcPr>
            <w:tcW w:type="dxa" w:w="2880"/>
          </w:tcPr>
          <w:p>
            <w:r/>
            <w:r>
              <w:rPr>
                <w:b w:val="0"/>
                <w:i w:val="0"/>
                <w:strike w:val="0"/>
              </w:rPr>
              <w:t>14</w:t>
            </w:r>
          </w:p>
        </w:tc>
        <w:tc>
          <w:tcPr>
            <w:tcW w:type="dxa" w:w="2880"/>
          </w:tcPr>
          <w:p>
            <w:r/>
            <w:r>
              <w:rPr>
                <w:b w:val="0"/>
                <w:i w:val="0"/>
                <w:strike w:val="0"/>
              </w:rPr>
              <w:t>Senior Management</w:t>
            </w:r>
          </w:p>
        </w:tc>
        <w:tc>
          <w:tcPr>
            <w:tcW w:type="dxa" w:w="2880"/>
          </w:tcPr>
          <w:p>
            <w:r/>
            <w:r>
              <w:rPr>
                <w:b w:val="0"/>
                <w:i w:val="0"/>
                <w:strike w:val="0"/>
              </w:rPr>
              <w:t>Senior Management users receive a notification that the report is ready for sign-off. They review it and provide their formal approval within the platform. This sign-off is permanently recorded.</w:t>
            </w:r>
          </w:p>
        </w:tc>
      </w:tr>
      <w:tr>
        <w:tc>
          <w:tcPr>
            <w:tcW w:type="dxa" w:w="2880"/>
          </w:tcPr>
          <w:p>
            <w:r/>
            <w:r>
              <w:rPr>
                <w:b w:val="0"/>
                <w:i w:val="0"/>
                <w:strike w:val="0"/>
              </w:rPr>
              <w:t>15</w:t>
            </w:r>
          </w:p>
        </w:tc>
        <w:tc>
          <w:tcPr>
            <w:tcW w:type="dxa" w:w="2880"/>
          </w:tcPr>
          <w:p>
            <w:r/>
            <w:r>
              <w:rPr>
                <w:b w:val="0"/>
                <w:i w:val="0"/>
                <w:strike w:val="0"/>
              </w:rPr>
              <w:t>Platform</w:t>
            </w:r>
          </w:p>
        </w:tc>
        <w:tc>
          <w:tcPr>
            <w:tcW w:type="dxa" w:w="2880"/>
          </w:tcPr>
          <w:p>
            <w:r/>
            <w:r>
              <w:rPr>
                <w:b w:val="0"/>
                <w:i w:val="0"/>
                <w:strike w:val="0"/>
              </w:rPr>
              <w:t>The signed-off report is automatically sent to the firm's configured email distribution lists.</w:t>
            </w:r>
          </w:p>
        </w:tc>
      </w:tr>
      <w:tr>
        <w:tc>
          <w:tcPr>
            <w:tcW w:type="dxa" w:w="2880"/>
          </w:tcPr>
          <w:p>
            <w:r/>
            <w:r>
              <w:rPr>
                <w:b w:val="0"/>
                <w:i w:val="0"/>
                <w:strike w:val="0"/>
              </w:rPr>
              <w:t>16</w:t>
            </w:r>
          </w:p>
        </w:tc>
        <w:tc>
          <w:tcPr>
            <w:tcW w:type="dxa" w:w="2880"/>
          </w:tcPr>
          <w:p>
            <w:r/>
            <w:r>
              <w:rPr>
                <w:b w:val="0"/>
                <w:i w:val="0"/>
                <w:strike w:val="0"/>
              </w:rPr>
              <w:t>Remediation Owners / CCO / Senior Management</w:t>
            </w:r>
          </w:p>
        </w:tc>
        <w:tc>
          <w:tcPr>
            <w:tcW w:type="dxa" w:w="2880"/>
          </w:tcPr>
          <w:p>
            <w:r/>
            <w:r>
              <w:rPr>
                <w:b w:val="0"/>
                <w:i w:val="0"/>
                <w:strike w:val="0"/>
              </w:rPr>
              <w:t>After the report is issued, each Remediation Owner works through their assigned action items. They update the status as they go and upload evidence when each fix is complete. The CCO monitors all open items on the dashboard. Formally closing a Finding requires sign-off from both the CCO and one relevant Senior Management user — after the CCO has reviewed the Remediation Owner's uploaded evidence.</w:t>
            </w:r>
          </w:p>
        </w:tc>
      </w:tr>
    </w:tbl>
    <w:p>
      <w:r>
        <w:rPr>
          <w:b/>
          <w:i w:val="0"/>
          <w:strike w:val="0"/>
        </w:rPr>
        <w:t>💬 Sosinna's comment:</w:t>
      </w:r>
      <w:r>
        <w:rPr>
          <w:b w:val="0"/>
          <w:i w:val="0"/>
          <w:strike w:val="0"/>
        </w:rPr>
        <w:t xml:space="preserve"> </w:t>
      </w:r>
      <w:r>
        <w:rPr>
          <w:b w:val="0"/>
          <w:i/>
          <w:strike w:val="0"/>
          <w:color w:val="C55A11"/>
        </w:rPr>
        <w:t>she suggested building a flow chart alongside this table to make the end-to-end process easier to follow. Recommend producing this as a companion diagram for the next client-facing review.</w:t>
      </w:r>
      <w:r>
        <w:rPr>
          <w:b w:val="0"/>
          <w:i w:val="0"/>
          <w:strike w:val="0"/>
        </w:rPr>
        <w:t xml:space="preserve"> </w:t>
      </w:r>
      <w:r>
        <w:rPr>
          <w:b w:val="0"/>
          <w:i/>
          <w:strike w:val="0"/>
          <w:color w:val="C55A11"/>
          <w:sz w:val="16"/>
        </w:rPr>
        <w:t xml:space="preserve"> [Sosinna's Drive comment]</w:t>
      </w:r>
    </w:p>
    <w:p>
      <w:r>
        <w:rPr>
          <w:b/>
          <w:i w:val="0"/>
          <w:strike w:val="0"/>
        </w:rPr>
        <w:t>💬 Sosinna's comment (on step 3, in-progress visibility — GAP-05 answer):</w:t>
      </w:r>
      <w:r>
        <w:rPr>
          <w:b w:val="0"/>
          <w:i w:val="0"/>
          <w:strike w:val="0"/>
        </w:rPr>
        <w:t xml:space="preserve"> </w:t>
      </w:r>
      <w:r>
        <w:rPr>
          <w:b w:val="0"/>
          <w:i/>
          <w:strike w:val="0"/>
          <w:color w:val="C55A11"/>
        </w:rPr>
        <w:t>the test should be accessible to whoever is assigned. Each new contribution should trigger an additional version, tagged to whoever recorded it. If someone is not assigned to the test, they get view-only — and only senior personnel with the right entitlements can view it at all. It is not open for anyone in the firm to browse.</w:t>
      </w:r>
      <w:r>
        <w:rPr>
          <w:b w:val="0"/>
          <w:i w:val="0"/>
          <w:strike w:val="0"/>
        </w:rPr>
        <w:t xml:space="preserve"> </w:t>
      </w:r>
      <w:r>
        <w:rPr>
          <w:b w:val="0"/>
          <w:i/>
          <w:strike w:val="0"/>
          <w:color w:val="C55A11"/>
          <w:sz w:val="16"/>
        </w:rPr>
        <w:t xml:space="preserve"> [Sosinna's Drive comment]</w:t>
      </w:r>
    </w:p>
    <w:p>
      <w:r>
        <w:rPr>
          <w:b/>
          <w:i w:val="0"/>
          <w:strike w:val="0"/>
        </w:rPr>
        <w:t>💬 Sosinna's comment (on step 1, scheduling — supports GAP-04):</w:t>
      </w:r>
      <w:r>
        <w:rPr>
          <w:b w:val="0"/>
          <w:i w:val="0"/>
          <w:strike w:val="0"/>
        </w:rPr>
        <w:t xml:space="preserve"> </w:t>
      </w:r>
      <w:r>
        <w:rPr>
          <w:b w:val="0"/>
          <w:i/>
          <w:strike w:val="0"/>
          <w:color w:val="C55A11"/>
        </w:rPr>
        <w:t>there should be a calendar for the CCO to schedule tests manually, and if any applicable test hasn't been scheduled, the platform should raise an alert or pending notification flagging that a required control has no scheduled test. New notification added to Section 12.</w:t>
      </w:r>
      <w:r>
        <w:rPr>
          <w:b w:val="0"/>
          <w:i w:val="0"/>
          <w:strike w:val="0"/>
        </w:rPr>
        <w:t xml:space="preserve"> </w:t>
      </w:r>
      <w:r>
        <w:rPr>
          <w:b w:val="0"/>
          <w:i/>
          <w:strike w:val="0"/>
          <w:color w:val="C55A11"/>
          <w:sz w:val="16"/>
        </w:rPr>
        <w:t xml:space="preserve"> [Sosinna's Drive comment]</w:t>
      </w:r>
    </w:p>
    <w:p>
      <w:pPr>
        <w:pStyle w:val="Heading2"/>
      </w:pPr>
      <w:r>
        <w:t>7.2 Scheduling and Assigning Tests</w:t>
      </w:r>
    </w:p>
    <w:p>
      <w:r>
        <w:rPr>
          <w:b/>
          <w:i/>
          <w:strike w:val="0"/>
          <w:color w:val="7030A0"/>
        </w:rPr>
        <w:t>REVISED in v5.0. The August 2026 meeting changed the scheduling model. Read this subsection in full even if you know v4.0.</w:t>
      </w:r>
      <w:r>
        <w:rPr>
          <w:b w:val="0"/>
          <w:i w:val="0"/>
          <w:strike w:val="0"/>
        </w:rPr>
        <w:t xml:space="preserve"> </w:t>
      </w:r>
      <w:r>
        <w:rPr>
          <w:b w:val="0"/>
          <w:i/>
          <w:strike w:val="0"/>
          <w:color w:val="7030A0"/>
          <w:sz w:val="16"/>
        </w:rPr>
        <w:t xml:space="preserve"> [Aug 2026 client MOM]</w:t>
      </w:r>
    </w:p>
    <w:p>
      <w:r>
        <w:rPr>
          <w:b w:val="0"/>
          <w:i w:val="0"/>
          <w:strike w:val="0"/>
        </w:rPr>
        <w:t xml:space="preserve">In v4.0 the platform auto-scheduled every applicable test as its own dated calendar entry. On the call the team agreed this produces a cluttered, unusable interface — a firm with a full test set would face a calendar of hundreds of entries, most of which nobody is working on. The model is now a </w:t>
      </w:r>
      <w:r>
        <w:rPr>
          <w:b/>
          <w:i w:val="0"/>
          <w:strike w:val="0"/>
        </w:rPr>
        <w:t>pool</w:t>
      </w:r>
      <w:r>
        <w:rPr>
          <w:b w:val="0"/>
          <w:i w:val="0"/>
          <w:strike w:val="0"/>
        </w:rPr>
        <w:t>.</w:t>
      </w:r>
    </w:p>
    <w:p>
      <w:r>
        <w:rPr>
          <w:b/>
          <w:i w:val="0"/>
          <w:strike w:val="0"/>
          <w:color w:val="1155CC"/>
        </w:rPr>
        <w:t>[FR-78]</w:t>
      </w:r>
      <w:r>
        <w:rPr>
          <w:b w:val="0"/>
          <w:i w:val="0"/>
          <w:strike w:val="0"/>
        </w:rPr>
        <w:t xml:space="preserve"> </w:t>
      </w:r>
      <w:r>
        <w:rPr>
          <w:b/>
          <w:i/>
          <w:strike w:val="0"/>
          <w:color w:val="7B3F00"/>
        </w:rPr>
        <w:t xml:space="preserve">The platform maintains a pending-item pool: every </w:t>
      </w:r>
      <w:r>
        <w:rPr>
          <w:b/>
          <w:i/>
          <w:strike w:val="0"/>
          <w:color w:val="7B3F00"/>
        </w:rPr>
        <w:t>requirement</w:t>
      </w:r>
      <w:r>
        <w:rPr>
          <w:b/>
          <w:i/>
          <w:strike w:val="0"/>
          <w:color w:val="7B3F00"/>
        </w:rPr>
        <w:t xml:space="preserve"> the firm owes, derived from the requirements loaded at FR-07 and each requirement's own schedule (SA-29), held as an unassigned pending item and grouped in the view under the test it belongs to. REVISED in v11.0: the pool holds requirements rather than tests, because the schedule that decides when something is owed is a property of the requirement. Superseded wording: "every test the firm owes, derived from its active Requirement IDs and their frequencies".</w:t>
      </w:r>
      <w:r>
        <w:rPr>
          <w:b w:val="0"/>
          <w:i w:val="0"/>
          <w:strike w:val="0"/>
        </w:rPr>
        <w:t xml:space="preserve"> </w:t>
      </w:r>
      <w:r>
        <w:rPr>
          <w:b w:val="0"/>
          <w:i/>
          <w:strike w:val="0"/>
          <w:color w:val="7B3F00"/>
          <w:sz w:val="16"/>
        </w:rPr>
        <w:t xml:space="preserve"> [Sep 2026 test model]</w:t>
      </w:r>
      <w:r>
        <w:rPr>
          <w:b w:val="0"/>
          <w:i w:val="0"/>
          <w:strike w:val="0"/>
        </w:rPr>
        <w:t xml:space="preserve"> </w:t>
      </w:r>
      <w:r>
        <w:rPr>
          <w:b/>
          <w:i/>
          <w:strike w:val="0"/>
          <w:color w:val="7030A0"/>
        </w:rPr>
        <w:t xml:space="preserve"> Items enter the pool automatically; they do not become dated calendar entries until a human assigns them. The pool is the CCO's work queue.</w:t>
      </w:r>
      <w:r>
        <w:rPr>
          <w:b w:val="0"/>
          <w:i w:val="0"/>
          <w:strike w:val="0"/>
        </w:rPr>
        <w:t xml:space="preserve"> </w:t>
      </w:r>
      <w:r>
        <w:rPr>
          <w:b w:val="0"/>
          <w:i/>
          <w:strike w:val="0"/>
          <w:color w:val="7030A0"/>
          <w:sz w:val="16"/>
        </w:rPr>
        <w:t xml:space="preserve"> [Aug 2026 client MOM]</w:t>
      </w:r>
    </w:p>
    <w:p>
      <w:r>
        <w:rPr>
          <w:b/>
          <w:i w:val="0"/>
          <w:strike w:val="0"/>
          <w:color w:val="1155CC"/>
        </w:rPr>
        <w:t>[FR-79]</w:t>
      </w:r>
      <w:r>
        <w:rPr>
          <w:b w:val="0"/>
          <w:i w:val="0"/>
          <w:strike w:val="0"/>
        </w:rPr>
        <w:t xml:space="preserve"> </w:t>
      </w:r>
      <w:r>
        <w:rPr>
          <w:b/>
          <w:i/>
          <w:strike w:val="0"/>
          <w:color w:val="7B3F00"/>
        </w:rPr>
        <w:t>REVISED in v11.0. The CCO selects requirements from the pool and manually assigns each one to a tester. Selection and assignment are at requirement granularity — one requirement, one assignment, one Lead Tester. Assignment is what creates a live requirement instance with dates, and the parent test becomes live once any of its requirements is assigned. Superseded wording: "The CCO selects specific articles or requirements from the pool and manually assigns each to a tester. Selection is at article / requirement granularity — the CCO is not forced to take a whole Requirement ID at once where it splits into separately testable articles." Article-level assignment is retired: the articles a requirement covers are tagged to it at authoring (SA-29) and travel with it, rather than being carved up at assignment time.</w:t>
      </w:r>
      <w:r>
        <w:rPr>
          <w:b w:val="0"/>
          <w:i w:val="0"/>
          <w:strike w:val="0"/>
        </w:rPr>
        <w:t xml:space="preserve"> </w:t>
      </w:r>
      <w:r>
        <w:rPr>
          <w:b w:val="0"/>
          <w:i/>
          <w:strike w:val="0"/>
          <w:color w:val="7B3F00"/>
          <w:sz w:val="16"/>
        </w:rPr>
        <w:t xml:space="preserve"> [Sep 2026 test model]</w:t>
      </w:r>
    </w:p>
    <w:p>
      <w:r>
        <w:rPr>
          <w:b/>
          <w:i w:val="0"/>
          <w:strike w:val="0"/>
          <w:color w:val="1155CC"/>
        </w:rPr>
        <w:t>[FR-143]</w:t>
      </w:r>
      <w:r>
        <w:rPr>
          <w:b w:val="0"/>
          <w:i w:val="0"/>
          <w:strike w:val="0"/>
        </w:rPr>
        <w:t xml:space="preserve"> </w:t>
      </w:r>
      <w:r>
        <w:rPr>
          <w:b/>
          <w:i/>
          <w:strike w:val="0"/>
          <w:color w:val="7B3F00"/>
        </w:rPr>
        <w:t>A test is a container of requirements, and the requirement is the unit of assignment, execution, per-step work, result and reporting. A tester is assigned a requirement, not a test; they see that requirement's steps, request list, scope, articles and guidance documents, and nothing of the requirements in the same test that belong to someone else. A test holding a single requirement behaves exactly as a test did before this revision, which is why nothing in the firm-side workflow needs a second mode.</w:t>
      </w:r>
      <w:r>
        <w:rPr>
          <w:b w:val="0"/>
          <w:i w:val="0"/>
          <w:strike w:val="0"/>
        </w:rPr>
        <w:t xml:space="preserve"> </w:t>
      </w:r>
      <w:r>
        <w:rPr>
          <w:b w:val="0"/>
          <w:i/>
          <w:strike w:val="0"/>
          <w:color w:val="7B3F00"/>
          <w:sz w:val="16"/>
        </w:rPr>
        <w:t xml:space="preserve"> [Sep 2026 test model]</w:t>
      </w:r>
    </w:p>
    <w:p>
      <w:r>
        <w:rPr>
          <w:b/>
          <w:i w:val="0"/>
          <w:strike w:val="0"/>
          <w:color w:val="1155CC"/>
        </w:rPr>
        <w:t>[FR-144]</w:t>
      </w:r>
      <w:r>
        <w:rPr>
          <w:b w:val="0"/>
          <w:i w:val="0"/>
          <w:strike w:val="0"/>
        </w:rPr>
        <w:t xml:space="preserve"> </w:t>
      </w:r>
      <w:r>
        <w:rPr>
          <w:b/>
          <w:i/>
          <w:strike w:val="0"/>
          <w:color w:val="7B3F00"/>
        </w:rPr>
        <w:t>Each requirement carries its own Pass / Fail / Observation, recorded by its Lead Tester. The test's result is derived from them rather than typed: any Fail among its requirements makes the test a Fail; otherwise any Observation makes it an Observation; otherwise the test is a Pass. The CCO confirms the rolled-up result when reviewing the test under step 10 of Section 7.1, and can add a written rationale, but cannot silently record a test result that contradicts its requirements. This closes TS-05 and GAP-15: nobody has to decide who among several testers owns the formal result, because no tester owns it — each owns their own requirement, and the test result is arithmetic over them.</w:t>
      </w:r>
      <w:r>
        <w:rPr>
          <w:b w:val="0"/>
          <w:i w:val="0"/>
          <w:strike w:val="0"/>
        </w:rPr>
        <w:t xml:space="preserve"> </w:t>
      </w:r>
      <w:r>
        <w:rPr>
          <w:b w:val="0"/>
          <w:i/>
          <w:strike w:val="0"/>
          <w:color w:val="7B3F00"/>
          <w:sz w:val="16"/>
        </w:rPr>
        <w:t xml:space="preserve"> [Sep 2026 test model]</w:t>
      </w:r>
    </w:p>
    <w:p>
      <w:r>
        <w:rPr>
          <w:b/>
          <w:i w:val="0"/>
          <w:strike w:val="0"/>
          <w:color w:val="1155CC"/>
        </w:rPr>
        <w:t>[FR-145]</w:t>
      </w:r>
      <w:r>
        <w:rPr>
          <w:b w:val="0"/>
          <w:i w:val="0"/>
          <w:strike w:val="0"/>
        </w:rPr>
        <w:t xml:space="preserve"> </w:t>
      </w:r>
      <w:r>
        <w:rPr>
          <w:b/>
          <w:i/>
          <w:strike w:val="0"/>
          <w:color w:val="7B3F00"/>
        </w:rPr>
        <w:t>A firm receives a requirement when the requirement's service lines (SA-29) intersect the service lines the firm selected at onboarding (FR-140). Applicability is therefore evaluated per requirement, and a firm can receive some requirements of a test and not others — it sees the test with only the requirements that apply to it, and is never shown work it does not owe. Where none of a test's requirements apply, the firm does not receive the test at all. A change to the firm's service line selection re-evaluates applicability under FR-08 and adds or removes requirements from the pool accordingly.</w:t>
      </w:r>
      <w:r>
        <w:rPr>
          <w:b w:val="0"/>
          <w:i w:val="0"/>
          <w:strike w:val="0"/>
        </w:rPr>
        <w:t xml:space="preserve"> </w:t>
      </w:r>
      <w:r>
        <w:rPr>
          <w:b w:val="0"/>
          <w:i/>
          <w:strike w:val="0"/>
          <w:color w:val="7B3F00"/>
          <w:sz w:val="16"/>
        </w:rPr>
        <w:t xml:space="preserve"> [Sep 2026 test model]</w:t>
      </w:r>
    </w:p>
    <w:p>
      <w:r>
        <w:rPr>
          <w:b/>
          <w:i w:val="0"/>
          <w:strike w:val="0"/>
          <w:color w:val="1155CC"/>
        </w:rPr>
        <w:t>[FR-146]</w:t>
      </w:r>
      <w:r>
        <w:rPr>
          <w:b w:val="0"/>
          <w:i w:val="0"/>
          <w:strike w:val="0"/>
        </w:rPr>
        <w:t xml:space="preserve"> </w:t>
      </w:r>
      <w:r>
        <w:rPr>
          <w:b/>
          <w:i/>
          <w:strike w:val="0"/>
          <w:color w:val="7B3F00"/>
        </w:rPr>
        <w:t>Each requirement's authored schedule (SA-29) decides when it enters the pool and proposes its scope period: a recurring frequency proposes the period just ended — the last full quarter for a quarterly requirement — while a custom window proposes its own fixed start and end dates. The CCO confirms or overrides the proposal when assigning, and an override is recorded with the assignment so a shortened or extended period is visible as a decision rather than as a default. This answers TS-02 for the recurring case: the platform proposes, the CCO is not made to type both dates every time, and departing from the proposal leaves a trail.</w:t>
      </w:r>
      <w:r>
        <w:rPr>
          <w:b w:val="0"/>
          <w:i w:val="0"/>
          <w:strike w:val="0"/>
        </w:rPr>
        <w:t xml:space="preserve"> </w:t>
      </w:r>
      <w:r>
        <w:rPr>
          <w:b w:val="0"/>
          <w:i/>
          <w:strike w:val="0"/>
          <w:color w:val="7B3F00"/>
          <w:sz w:val="16"/>
        </w:rPr>
        <w:t xml:space="preserve"> [Sep 2026 test model]</w:t>
      </w:r>
    </w:p>
    <w:p>
      <w:r>
        <w:rPr>
          <w:b/>
          <w:i w:val="0"/>
          <w:strike w:val="0"/>
          <w:color w:val="1155CC"/>
        </w:rPr>
        <w:t>[FR-80]</w:t>
      </w:r>
      <w:r>
        <w:rPr>
          <w:b w:val="0"/>
          <w:i w:val="0"/>
          <w:strike w:val="0"/>
        </w:rPr>
        <w:t xml:space="preserve"> </w:t>
      </w:r>
      <w:r>
        <w:rPr>
          <w:b/>
          <w:i/>
          <w:strike w:val="0"/>
          <w:color w:val="7B3F00"/>
        </w:rPr>
        <w:t>REVISED in v11.0: read "requirement" for "test" throughout, and see FR-146 for where the dates come from — the requirement's authored schedule proposes them and the CCO confirms or overrides at assignment.</w:t>
      </w:r>
      <w:r>
        <w:rPr>
          <w:b w:val="0"/>
          <w:i w:val="0"/>
          <w:strike w:val="0"/>
        </w:rPr>
        <w:t xml:space="preserve"> </w:t>
      </w:r>
      <w:r>
        <w:rPr>
          <w:b w:val="0"/>
          <w:i/>
          <w:strike w:val="0"/>
          <w:color w:val="7B3F00"/>
          <w:sz w:val="16"/>
        </w:rPr>
        <w:t xml:space="preserve"> [Sep 2026 test model]</w:t>
      </w:r>
      <w:r>
        <w:rPr>
          <w:b w:val="0"/>
          <w:i w:val="0"/>
          <w:strike w:val="0"/>
        </w:rPr>
        <w:t xml:space="preserve"> </w:t>
      </w:r>
      <w:r>
        <w:rPr>
          <w:b/>
          <w:i/>
          <w:strike w:val="0"/>
          <w:color w:val="7030A0"/>
        </w:rPr>
        <w:t>Every test has a defined scope period — an explicit start and end date for the records under review (for example, January to June 2026). The scope period is set at assignment, is mandatory, and is displayed to the tester throughout execution. Its purpose is stated plainly in the minutes: a tester must not have to review "everything under the sun". Evidence and samples fall inside the scope period; anything outside it is out of scope for that test and the platform records it as such. The scope period is carried into the final report.</w:t>
      </w:r>
      <w:r>
        <w:rPr>
          <w:b w:val="0"/>
          <w:i w:val="0"/>
          <w:strike w:val="0"/>
        </w:rPr>
        <w:t xml:space="preserve"> </w:t>
      </w:r>
      <w:r>
        <w:rPr>
          <w:b w:val="0"/>
          <w:i/>
          <w:strike w:val="0"/>
          <w:color w:val="7030A0"/>
          <w:sz w:val="16"/>
        </w:rPr>
        <w:t xml:space="preserve"> [Aug 2026 client MOM]</w:t>
      </w:r>
      <w:r>
        <w:rPr>
          <w:b w:val="0"/>
          <w:i w:val="0"/>
          <w:strike w:val="0"/>
        </w:rPr>
        <w:t xml:space="preserve"> </w:t>
      </w:r>
      <w:r>
        <w:rPr>
          <w:b/>
          <w:i/>
          <w:strike w:val="0"/>
          <w:color w:val="CC00CC"/>
        </w:rPr>
        <w:t>CONFIRMED on 14 Aug 2026: when a test is created, the CCO sets its start and end dates. FR-80 restated; no change.</w:t>
      </w:r>
      <w:r>
        <w:rPr>
          <w:b w:val="0"/>
          <w:i w:val="0"/>
          <w:strike w:val="0"/>
        </w:rPr>
        <w:t xml:space="preserve"> </w:t>
      </w:r>
      <w:r>
        <w:rPr>
          <w:b w:val="0"/>
          <w:i/>
          <w:strike w:val="0"/>
          <w:color w:val="CC00CC"/>
          <w:sz w:val="16"/>
        </w:rPr>
        <w:t xml:space="preserve"> [14 Aug 2026 MOM]</w:t>
      </w:r>
    </w:p>
    <w:p>
      <w:r>
        <w:rPr>
          <w:b/>
          <w:i w:val="0"/>
          <w:strike w:val="0"/>
          <w:color w:val="1155CC"/>
        </w:rPr>
        <w:t>[FR-16]</w:t>
      </w:r>
      <w:r>
        <w:rPr>
          <w:b w:val="0"/>
          <w:i w:val="0"/>
          <w:strike w:val="0"/>
        </w:rPr>
        <w:t xml:space="preserve"> </w:t>
      </w:r>
      <w:r>
        <w:rPr>
          <w:b w:val="0"/>
          <w:i/>
          <w:strike w:val="0"/>
          <w:color w:val="7030A0"/>
        </w:rPr>
        <w:t>Superseded in v5.0 — kept for context. Previously: "The testing calendar is generated automatically when a firm completes onboarding, and is updated any time their service lines change." The derivation still happens on onboarding and on any service line change, but it now populates the FR-78 pool rather than the calendar.</w:t>
      </w:r>
      <w:r>
        <w:rPr>
          <w:b w:val="0"/>
          <w:i w:val="0"/>
          <w:strike w:val="0"/>
        </w:rPr>
        <w:t xml:space="preserve"> </w:t>
      </w:r>
      <w:r>
        <w:rPr>
          <w:b w:val="0"/>
          <w:i/>
          <w:strike w:val="0"/>
          <w:color w:val="7030A0"/>
          <w:sz w:val="16"/>
        </w:rPr>
        <w:t xml:space="preserve"> [Aug 2026 client MOM]</w:t>
      </w:r>
      <w:r>
        <w:rPr>
          <w:b w:val="0"/>
          <w:i w:val="0"/>
          <w:strike w:val="0"/>
        </w:rPr>
        <w:t xml:space="preserve"> </w:t>
      </w:r>
      <w:r>
        <w:rPr>
          <w:b/>
          <w:i/>
          <w:strike w:val="0"/>
          <w:color w:val="2E7D32"/>
        </w:rPr>
        <w:t>v10.0: "any service line change" now means a change to the firm's confirmed selection (FR-140), whether that came from a new revenue file or from the firm editing the selection directly under FR-08.</w:t>
      </w:r>
      <w:r>
        <w:rPr>
          <w:b w:val="0"/>
          <w:i w:val="0"/>
          <w:strike w:val="0"/>
        </w:rPr>
        <w:t xml:space="preserve"> </w:t>
      </w:r>
      <w:r>
        <w:rPr>
          <w:b w:val="0"/>
          <w:i/>
          <w:strike w:val="0"/>
          <w:color w:val="2E7D32"/>
          <w:sz w:val="16"/>
        </w:rPr>
        <w:t xml:space="preserve"> [Sep 2026 model revision]</w:t>
      </w:r>
    </w:p>
    <w:p>
      <w:r>
        <w:rPr>
          <w:b/>
          <w:i w:val="0"/>
          <w:strike w:val="0"/>
          <w:color w:val="1155CC"/>
        </w:rPr>
        <w:t>[FR-17]</w:t>
      </w:r>
      <w:r>
        <w:rPr>
          <w:b w:val="0"/>
          <w:i w:val="0"/>
          <w:strike w:val="0"/>
        </w:rPr>
        <w:t xml:space="preserve"> Thematic reviews (deep dives into a specific topic) and Selective reviews (tests triggered by a specific event or risk) are not automatically scheduled. The CCO manually creates these when needed. </w:t>
      </w:r>
      <w:r>
        <w:rPr>
          <w:b/>
          <w:i/>
          <w:strike w:val="0"/>
          <w:color w:val="7030A0"/>
        </w:rPr>
        <w:t>Unchanged by the MOM — under the pool model these are simply items the CCO adds to the pool by hand.</w:t>
      </w:r>
      <w:r>
        <w:rPr>
          <w:b w:val="0"/>
          <w:i w:val="0"/>
          <w:strike w:val="0"/>
        </w:rPr>
        <w:t xml:space="preserve"> </w:t>
      </w:r>
      <w:r>
        <w:rPr>
          <w:b w:val="0"/>
          <w:i/>
          <w:strike w:val="0"/>
          <w:color w:val="7030A0"/>
          <w:sz w:val="16"/>
        </w:rPr>
        <w:t xml:space="preserve"> [Aug 2026 client MOM]</w:t>
      </w:r>
    </w:p>
    <w:p>
      <w:r>
        <w:rPr>
          <w:b/>
          <w:i w:val="0"/>
          <w:strike w:val="0"/>
          <w:color w:val="1155CC"/>
        </w:rPr>
        <w:t>[FR-18]</w:t>
      </w:r>
      <w:r>
        <w:rPr>
          <w:b w:val="0"/>
          <w:i w:val="0"/>
          <w:strike w:val="0"/>
        </w:rPr>
        <w:t xml:space="preserve"> The testing dashboard shows every test — Planned, Ongoing, or Completed — with filters so the CCO can quickly find what they are looking for. </w:t>
      </w:r>
      <w:r>
        <w:rPr>
          <w:b/>
          <w:i/>
          <w:strike w:val="0"/>
          <w:color w:val="7030A0"/>
        </w:rPr>
        <w:t>Revised in v5.0: this view now covers assigned test instances only. Unassigned work lives in the FR-78 pool, which is a separate view with its own filters (regulation, pillar, service line, SA-10 priority, period due).</w:t>
      </w:r>
      <w:r>
        <w:rPr>
          <w:b w:val="0"/>
          <w:i w:val="0"/>
          <w:strike w:val="0"/>
        </w:rPr>
        <w:t xml:space="preserve"> </w:t>
      </w:r>
      <w:r>
        <w:rPr>
          <w:b w:val="0"/>
          <w:i/>
          <w:strike w:val="0"/>
          <w:color w:val="7030A0"/>
          <w:sz w:val="16"/>
        </w:rPr>
        <w:t xml:space="preserve"> [Aug 2026 client MOM]</w:t>
      </w:r>
    </w:p>
    <w:p>
      <w:r>
        <w:rPr>
          <w:b/>
          <w:i w:val="0"/>
          <w:strike w:val="0"/>
          <w:color w:val="1155CC"/>
        </w:rPr>
        <w:t>[FR-19]</w:t>
      </w:r>
      <w:r>
        <w:rPr>
          <w:b w:val="0"/>
          <w:i w:val="0"/>
          <w:strike w:val="0"/>
        </w:rPr>
        <w:t xml:space="preserve"> Partial testing is supported. The scope of each test execution is documented at the start of the test. The platform tracks which parts of a Requirement ID have been covered across different testing periods. </w:t>
      </w:r>
      <w:r>
        <w:rPr>
          <w:b/>
          <w:i/>
          <w:strike w:val="0"/>
          <w:color w:val="7030A0"/>
        </w:rPr>
        <w:t>The FR-80 scope period is the mechanism that records this.</w:t>
      </w:r>
      <w:r>
        <w:rPr>
          <w:b w:val="0"/>
          <w:i w:val="0"/>
          <w:strike w:val="0"/>
        </w:rPr>
        <w:t xml:space="preserve"> </w:t>
      </w:r>
      <w:r>
        <w:rPr>
          <w:b w:val="0"/>
          <w:i/>
          <w:strike w:val="0"/>
          <w:color w:val="7030A0"/>
          <w:sz w:val="16"/>
        </w:rPr>
        <w:t xml:space="preserve"> [Aug 2026 client MOM]</w:t>
      </w:r>
    </w:p>
    <w:p>
      <w:r>
        <w:rPr>
          <w:b/>
          <w:i w:val="0"/>
          <w:strike w:val="0"/>
          <w:color w:val="1155CC"/>
        </w:rPr>
        <w:t>[FR-20]</w:t>
      </w:r>
      <w:r>
        <w:rPr>
          <w:b w:val="0"/>
          <w:i w:val="0"/>
          <w:strike w:val="0"/>
        </w:rPr>
        <w:t xml:space="preserve"> Only the CCO can assign </w:t>
      </w:r>
      <w:r>
        <w:rPr>
          <w:b/>
          <w:i/>
          <w:strike w:val="0"/>
          <w:color w:val="7B3F00"/>
        </w:rPr>
        <w:t>a requirement</w:t>
      </w:r>
      <w:r>
        <w:rPr>
          <w:b w:val="0"/>
          <w:i w:val="0"/>
          <w:strike w:val="0"/>
        </w:rPr>
        <w:t xml:space="preserve"> to a Lead Tester. A Compliance Officer cannot pick up </w:t>
      </w:r>
      <w:r>
        <w:rPr>
          <w:b/>
          <w:i/>
          <w:strike w:val="0"/>
          <w:color w:val="7B3F00"/>
        </w:rPr>
        <w:t>a requirement</w:t>
      </w:r>
      <w:r>
        <w:rPr>
          <w:b w:val="0"/>
          <w:i w:val="0"/>
          <w:strike w:val="0"/>
        </w:rPr>
        <w:t xml:space="preserve"> and start it without that formal assignment. </w:t>
      </w:r>
      <w:r>
        <w:rPr>
          <w:b/>
          <w:i/>
          <w:strike w:val="0"/>
          <w:color w:val="7B3F00"/>
        </w:rPr>
        <w:t>REVISED in v11.0: the authority is unchanged and the unit is now the requirement. Superseded wording read "assign a test" / "pick up a test".</w:t>
      </w:r>
      <w:r>
        <w:rPr>
          <w:b w:val="0"/>
          <w:i w:val="0"/>
          <w:strike w:val="0"/>
        </w:rPr>
        <w:t xml:space="preserve"> </w:t>
      </w:r>
      <w:r>
        <w:rPr>
          <w:b w:val="0"/>
          <w:i/>
          <w:strike w:val="0"/>
          <w:color w:val="7B3F00"/>
          <w:sz w:val="16"/>
        </w:rPr>
        <w:t xml:space="preserve"> [Sep 2026 test model]</w:t>
      </w:r>
    </w:p>
    <w:p>
      <w:r>
        <w:rPr>
          <w:b/>
          <w:i w:val="0"/>
          <w:strike w:val="0"/>
          <w:color w:val="1155CC"/>
        </w:rPr>
        <w:t>[FR-21]</w:t>
      </w:r>
      <w:r>
        <w:rPr>
          <w:b w:val="0"/>
          <w:i w:val="0"/>
          <w:strike w:val="0"/>
        </w:rPr>
        <w:t xml:space="preserve"> </w:t>
      </w:r>
      <w:r>
        <w:rPr>
          <w:b/>
          <w:i/>
          <w:strike w:val="0"/>
          <w:color w:val="7B3F00"/>
        </w:rPr>
        <w:t xml:space="preserve">REVISED in v11.0. Each </w:t>
      </w:r>
      <w:r>
        <w:rPr>
          <w:b/>
          <w:i/>
          <w:strike w:val="0"/>
          <w:color w:val="7B3F00"/>
        </w:rPr>
        <w:t>requirement</w:t>
      </w:r>
      <w:r>
        <w:rPr>
          <w:b/>
          <w:i/>
          <w:strike w:val="0"/>
          <w:color w:val="7B3F00"/>
        </w:rPr>
        <w:t xml:space="preserve"> has one Lead Tester who is responsible for that requirement's formal result. Other team members can contribute evidence to specific steps, but the Lead Tester owns the outcome for the requirement they hold. A test with several requirements therefore has several Lead Testers, one per requirement, and no single person owns the test result — it is rolled up under FR-144. Every action is timestamped and linked to the individual who performed it. Superseded wording: "Each test has one Lead Tester who is responsible for the formal result… but the Lead Tester owns the outcome." This is the half of GAP-15 that could not stand alongside multi-tester execution; the gap closes here.</w:t>
      </w:r>
      <w:r>
        <w:rPr>
          <w:b w:val="0"/>
          <w:i w:val="0"/>
          <w:strike w:val="0"/>
        </w:rPr>
        <w:t xml:space="preserve"> </w:t>
      </w:r>
      <w:r>
        <w:rPr>
          <w:b w:val="0"/>
          <w:i/>
          <w:strike w:val="0"/>
          <w:color w:val="7B3F00"/>
          <w:sz w:val="16"/>
        </w:rPr>
        <w:t xml:space="preserve"> [Sep 2026 test model]</w:t>
      </w:r>
    </w:p>
    <w:p>
      <w:r>
        <w:rPr>
          <w:b/>
          <w:i w:val="0"/>
          <w:strike w:val="0"/>
          <w:color w:val="1155CC"/>
        </w:rPr>
        <w:t>[FR-81]</w:t>
      </w:r>
      <w:r>
        <w:rPr>
          <w:b w:val="0"/>
          <w:i w:val="0"/>
          <w:strike w:val="0"/>
        </w:rPr>
        <w:t xml:space="preserve"> </w:t>
      </w:r>
      <w:r>
        <w:rPr>
          <w:b/>
          <w:i/>
          <w:strike w:val="0"/>
          <w:color w:val="7030A0"/>
        </w:rPr>
        <w:t>One lead tester is normally assigned per business unit. Separately from that, the CCO has a holistic oversight view across all testers: who is assigned what, which requirements each is working, and how far each has progressed — grouped so that coverage across the pillars of a regulation (for example the DORA pillars) is visible at a glance. This is an oversight view, not a per-tester dashboard: its purpose is to let the CCO see the whole programme in one place.</w:t>
      </w:r>
      <w:r>
        <w:rPr>
          <w:b w:val="0"/>
          <w:i w:val="0"/>
          <w:strike w:val="0"/>
        </w:rPr>
        <w:t xml:space="preserve"> </w:t>
      </w:r>
      <w:r>
        <w:rPr>
          <w:b w:val="0"/>
          <w:i/>
          <w:strike w:val="0"/>
          <w:color w:val="7030A0"/>
          <w:sz w:val="16"/>
        </w:rPr>
        <w:t xml:space="preserve"> [Aug 2026 client MOM]</w:t>
      </w:r>
      <w:r>
        <w:rPr>
          <w:b w:val="0"/>
          <w:i w:val="0"/>
          <w:strike w:val="0"/>
        </w:rPr>
        <w:t xml:space="preserve"> </w:t>
      </w:r>
      <w:r>
        <w:rPr>
          <w:b/>
          <w:i/>
          <w:strike w:val="0"/>
          <w:color w:val="7B3F00"/>
        </w:rPr>
        <w:t>v11.0: "which articles each is working" now reads as which requirements each is working, since the requirement is the assigned unit (FR-79). Pillar grouping is unaffected — a requirement's pillar is read from its tagged articles.</w:t>
      </w:r>
      <w:r>
        <w:rPr>
          <w:b w:val="0"/>
          <w:i w:val="0"/>
          <w:strike w:val="0"/>
        </w:rPr>
        <w:t xml:space="preserve"> </w:t>
      </w:r>
      <w:r>
        <w:rPr>
          <w:b w:val="0"/>
          <w:i/>
          <w:strike w:val="0"/>
          <w:color w:val="7B3F00"/>
          <w:sz w:val="16"/>
        </w:rPr>
        <w:t xml:space="preserve"> [Sep 2026 test model]</w:t>
      </w:r>
    </w:p>
    <w:p>
      <w:r>
        <w:rPr>
          <w:b/>
          <w:i w:val="0"/>
          <w:strike w:val="0"/>
          <w:color w:val="1155CC"/>
        </w:rPr>
        <w:t>[FR-82]</w:t>
      </w:r>
      <w:r>
        <w:rPr>
          <w:b w:val="0"/>
          <w:i w:val="0"/>
          <w:strike w:val="0"/>
        </w:rPr>
        <w:t xml:space="preserve"> </w:t>
      </w:r>
      <w:r>
        <w:rPr>
          <w:b/>
          <w:i/>
          <w:strike w:val="0"/>
          <w:color w:val="7030A0"/>
        </w:rPr>
        <w:t xml:space="preserve">REVISED in v11.0. Every </w:t>
      </w:r>
      <w:r>
        <w:rPr>
          <w:b/>
          <w:i/>
          <w:strike w:val="0"/>
          <w:color w:val="7030A0"/>
        </w:rPr>
        <w:t>requirement</w:t>
      </w:r>
      <w:r>
        <w:rPr>
          <w:b/>
          <w:i/>
          <w:strike w:val="0"/>
          <w:color w:val="7030A0"/>
        </w:rPr>
        <w:t xml:space="preserve"> names the </w:t>
      </w:r>
      <w:r>
        <w:rPr>
          <w:b/>
          <w:i/>
          <w:strike w:val="0"/>
          <w:color w:val="7030A0"/>
        </w:rPr>
        <w:t>business unit</w:t>
      </w:r>
      <w:r>
        <w:rPr>
          <w:b/>
          <w:i/>
          <w:strike w:val="0"/>
          <w:color w:val="7030A0"/>
        </w:rPr>
        <w:t xml:space="preserve"> that is notified for it — the unit accountable for the area that requirement covers, for example IT &amp; Information Security for a governance-and-oversight requirement. The unit is set when the requirement is authored (SA-29), it is the unit that receives the announcement and the evidence requests for that requirement under Section 7.4, and it appears against the requirement in the final report. Because one test can hold requirements owned by different units, a single test can notify several units — which is what FR-131 and FR-132 already assume. Superseded wording: "Every test is tagged to a business owner — the person accountable for the area under test, for example the CTO for system-related tests. The business owner is a staff record from Section 10 and may or may not be a platform user." Two things change: the level moves from test to requirement, and the target moves from a named person to a business unit. Where the platform needs a person — to address the announcement letter — it resolves the unit to its contacts through the Section 10 staff records.</w:t>
      </w:r>
      <w:r>
        <w:rPr>
          <w:b w:val="0"/>
          <w:i w:val="0"/>
          <w:strike w:val="0"/>
        </w:rPr>
        <w:t xml:space="preserve"> </w:t>
      </w:r>
      <w:r>
        <w:rPr>
          <w:b w:val="0"/>
          <w:i/>
          <w:strike w:val="0"/>
          <w:color w:val="7030A0"/>
          <w:sz w:val="16"/>
        </w:rPr>
        <w:t xml:space="preserve"> [Aug 2026 client MOM]</w:t>
      </w:r>
    </w:p>
    <w:p>
      <w:r>
        <w:rPr>
          <w:b/>
          <w:i w:val="0"/>
          <w:strike w:val="0"/>
          <w:color w:val="1155CC"/>
        </w:rPr>
        <w:t>[FR-21b]</w:t>
      </w:r>
      <w:r>
        <w:rPr>
          <w:b w:val="0"/>
          <w:i w:val="0"/>
          <w:strike w:val="0"/>
        </w:rPr>
        <w:t xml:space="preserve"> If a test is marked Not Applicable — meaning the requirement does not apply to the firm for this period — a written reason must be documented before the N/A status can be set. The N/A response is then immutable, timestamped, and permanently retained. It cannot be changed after it is recorded. </w:t>
      </w:r>
      <w:r>
        <w:rPr>
          <w:b/>
          <w:i/>
          <w:strike w:val="0"/>
          <w:color w:val="7030A0"/>
        </w:rPr>
        <w:t>Revised in v5.0: the authority to mark a test Not Applicable sits with the CCO. A Lead Tester may propose N/A; the CCO decides. See FR-94.</w:t>
      </w:r>
      <w:r>
        <w:rPr>
          <w:b w:val="0"/>
          <w:i w:val="0"/>
          <w:strike w:val="0"/>
        </w:rPr>
        <w:t xml:space="preserve"> </w:t>
      </w:r>
      <w:r>
        <w:rPr>
          <w:b w:val="0"/>
          <w:i/>
          <w:strike w:val="0"/>
          <w:color w:val="7030A0"/>
          <w:sz w:val="16"/>
        </w:rPr>
        <w:t xml:space="preserve"> [Aug 2026 client MOM]</w:t>
      </w:r>
    </w:p>
    <w:p>
      <w:r>
        <w:rPr>
          <w:b/>
          <w:i w:val="0"/>
          <w:strike w:val="0"/>
          <w:color w:val="1155CC"/>
        </w:rPr>
        <w:t>[FR-94]</w:t>
      </w:r>
      <w:r>
        <w:rPr>
          <w:b w:val="0"/>
          <w:i w:val="0"/>
          <w:strike w:val="0"/>
        </w:rPr>
        <w:t xml:space="preserve"> </w:t>
      </w:r>
      <w:r>
        <w:rPr>
          <w:b/>
          <w:i/>
          <w:strike w:val="0"/>
          <w:color w:val="7B3F00"/>
        </w:rPr>
        <w:t>REVISED in v11.0: Not Applicable is set per requirement as well as per test — a firm may owe most of a test but genuinely not the one requirement, and marking the whole test N/A to dispose of it would be wrong. Marking a whole test N/A marks every requirement in it, each carrying the same justification. Everything below is unchanged and applies at both levels.</w:t>
      </w:r>
      <w:r>
        <w:rPr>
          <w:b w:val="0"/>
          <w:i w:val="0"/>
          <w:strike w:val="0"/>
        </w:rPr>
        <w:t xml:space="preserve"> </w:t>
      </w:r>
      <w:r>
        <w:rPr>
          <w:b w:val="0"/>
          <w:i/>
          <w:strike w:val="0"/>
          <w:color w:val="7B3F00"/>
          <w:sz w:val="16"/>
        </w:rPr>
        <w:t xml:space="preserve"> [Sep 2026 test model]</w:t>
      </w:r>
      <w:r>
        <w:rPr>
          <w:b w:val="0"/>
          <w:i w:val="0"/>
          <w:strike w:val="0"/>
        </w:rPr>
        <w:t xml:space="preserve"> </w:t>
      </w:r>
      <w:r>
        <w:rPr>
          <w:b/>
          <w:i/>
          <w:strike w:val="0"/>
          <w:color w:val="7030A0"/>
        </w:rPr>
        <w:t>Marking a test Not Applicable requires (a) the CCO's authority — no other role can set the final N/A status, (b) a mandatory written justification, and (c) automatic inclusion of the item and its justification in an appendix to the final report for the period. N/A is a documented, reviewable decision, not a way to make an obligation disappear quietly.</w:t>
      </w:r>
      <w:r>
        <w:rPr>
          <w:b w:val="0"/>
          <w:i w:val="0"/>
          <w:strike w:val="0"/>
        </w:rPr>
        <w:t xml:space="preserve"> </w:t>
      </w:r>
      <w:r>
        <w:rPr>
          <w:b w:val="0"/>
          <w:i/>
          <w:strike w:val="0"/>
          <w:color w:val="7030A0"/>
          <w:sz w:val="16"/>
        </w:rPr>
        <w:t xml:space="preserve"> [Aug 2026 client MOM]</w:t>
      </w:r>
    </w:p>
    <w:p>
      <w:r>
        <w:rPr>
          <w:b/>
          <w:i w:val="0"/>
          <w:strike w:val="0"/>
          <w:color w:val="1155CC"/>
        </w:rPr>
        <w:t>[FR-105]</w:t>
      </w:r>
      <w:r>
        <w:rPr>
          <w:b w:val="0"/>
          <w:i w:val="0"/>
          <w:strike w:val="0"/>
        </w:rPr>
        <w:t xml:space="preserve"> </w:t>
      </w:r>
      <w:r>
        <w:rPr>
          <w:b/>
          <w:i/>
          <w:strike w:val="0"/>
          <w:color w:val="7B3F00"/>
        </w:rPr>
        <w:t>REVISED in v11.0: both dimensions now sit on the requirement. The article subset is the requirement's own tagged articles, fixed at authoring (SA-29) rather than chosen at assignment, and the date range is the requirement's scope period under FR-80 and FR-146. The purpose is unchanged — keeping any one piece of work small enough that a firm is not overwhelmed by it — but it is achieved by how the test is composed rather than by carving a large test down at assignment time.</w:t>
      </w:r>
      <w:r>
        <w:rPr>
          <w:b w:val="0"/>
          <w:i w:val="0"/>
          <w:strike w:val="0"/>
        </w:rPr>
        <w:t xml:space="preserve"> </w:t>
      </w:r>
      <w:r>
        <w:rPr>
          <w:b w:val="0"/>
          <w:i/>
          <w:strike w:val="0"/>
          <w:color w:val="7B3F00"/>
          <w:sz w:val="16"/>
        </w:rPr>
        <w:t xml:space="preserve"> [Sep 2026 test model]</w:t>
      </w:r>
      <w:r>
        <w:rPr>
          <w:b w:val="0"/>
          <w:i w:val="0"/>
          <w:strike w:val="0"/>
        </w:rPr>
        <w:t xml:space="preserve"> </w:t>
      </w:r>
      <w:r>
        <w:rPr>
          <w:b/>
          <w:i/>
          <w:strike w:val="0"/>
          <w:color w:val="008080"/>
        </w:rPr>
        <w:t xml:space="preserve">Scope is two-dimensional. In addition to the FR-80 date range, a test can be scoped to a named subset of </w:t>
      </w:r>
      <w:r>
        <w:rPr>
          <w:b/>
          <w:i/>
          <w:strike w:val="0"/>
          <w:color w:val="008080"/>
        </w:rPr>
        <w:t>articles</w:t>
      </w:r>
      <w:r>
        <w:rPr>
          <w:b/>
          <w:i/>
          <w:strike w:val="0"/>
          <w:color w:val="008080"/>
        </w:rPr>
        <w:t xml:space="preserve"> within a regulation. The client's own examples: KYC tested only for accounts opened between January and August (a date range), and a DORA test limited to specified articles rather than the whole regulation (an article subset). Both dimensions are recorded at assignment, are shown to the tester throughout execution, and are stated in the report under FR-100. The stated purpose is to keep the scope of any one test small enough that a firm is not overwhelmed by it.</w:t>
      </w:r>
      <w:r>
        <w:rPr>
          <w:b w:val="0"/>
          <w:i w:val="0"/>
          <w:strike w:val="0"/>
        </w:rPr>
        <w:t xml:space="preserve"> </w:t>
      </w:r>
      <w:r>
        <w:rPr>
          <w:b w:val="0"/>
          <w:i/>
          <w:strike w:val="0"/>
          <w:color w:val="008080"/>
          <w:sz w:val="16"/>
        </w:rPr>
        <w:t xml:space="preserve"> [11 Aug 2026 MOM]</w:t>
      </w:r>
    </w:p>
    <w:p>
      <w:r>
        <w:rPr>
          <w:b/>
          <w:i w:val="0"/>
          <w:strike w:val="0"/>
          <w:color w:val="1155CC"/>
        </w:rPr>
        <w:t>[FR-106]</w:t>
      </w:r>
      <w:r>
        <w:rPr>
          <w:b w:val="0"/>
          <w:i w:val="0"/>
          <w:strike w:val="0"/>
        </w:rPr>
        <w:t xml:space="preserve"> </w:t>
      </w:r>
      <w:r>
        <w:rPr>
          <w:b/>
          <w:i/>
          <w:strike w:val="0"/>
          <w:color w:val="7B3F00"/>
        </w:rPr>
        <w:t>REVISED in v11.0. Fan-out is no longer a special mode: a test is spread across several testers simply because its requirements are assigned separately (FR-79). Each tester sees only the requirements assigned to them and works those to completion; the platform tracks per-requirement progress and rolls it up to the test. Superseded wording: "The CCO can fan out a single test across several testers by assigning different articles within its scope to different Compliance Officers. Each tester sees only the articles assigned to them and works those articles to completion; the platform tracks per-article progress and rolls it up to the test." The behaviour the client asked for on 11 Aug is preserved in full; the unit that makes it work is the requirement rather than the article.</w:t>
      </w:r>
      <w:r>
        <w:rPr>
          <w:b w:val="0"/>
          <w:i w:val="0"/>
          <w:strike w:val="0"/>
        </w:rPr>
        <w:t xml:space="preserve"> </w:t>
      </w:r>
      <w:r>
        <w:rPr>
          <w:b w:val="0"/>
          <w:i/>
          <w:strike w:val="0"/>
          <w:color w:val="7B3F00"/>
          <w:sz w:val="16"/>
        </w:rPr>
        <w:t xml:space="preserve"> [Sep 2026 test model]</w:t>
      </w:r>
      <w:r>
        <w:rPr>
          <w:b w:val="0"/>
          <w:i w:val="0"/>
          <w:strike w:val="0"/>
        </w:rPr>
        <w:t xml:space="preserve"> </w:t>
      </w:r>
      <w:r>
        <w:rPr>
          <w:b/>
          <w:i/>
          <w:strike w:val="0"/>
          <w:color w:val="008080"/>
        </w:rPr>
        <w:t xml:space="preserve"> Fan-out is a CCO decision taken at assignment time, its stated purpose is to complete a large review faster, and it does not change who approves the result — the CCO still reviews and approves the test as a whole under step 10 of Section 7.1.</w:t>
      </w:r>
      <w:r>
        <w:rPr>
          <w:b w:val="0"/>
          <w:i w:val="0"/>
          <w:strike w:val="0"/>
        </w:rPr>
        <w:t xml:space="preserve"> </w:t>
      </w:r>
      <w:r>
        <w:rPr>
          <w:b w:val="0"/>
          <w:i/>
          <w:strike w:val="0"/>
          <w:color w:val="008080"/>
          <w:sz w:val="16"/>
        </w:rPr>
        <w:t xml:space="preserve"> [11 Aug 2026 MOM]</w:t>
      </w:r>
    </w:p>
    <w:p>
      <w:r>
        <w:rPr>
          <w:b/>
          <w:i w:val="0"/>
          <w:strike w:val="0"/>
          <w:color w:val="1155CC"/>
        </w:rPr>
        <w:t>[FR-107]</w:t>
      </w:r>
      <w:r>
        <w:rPr>
          <w:b w:val="0"/>
          <w:i w:val="0"/>
          <w:strike w:val="0"/>
        </w:rPr>
        <w:t xml:space="preserve"> </w:t>
      </w:r>
      <w:r>
        <w:rPr>
          <w:b/>
          <w:i/>
          <w:strike w:val="0"/>
          <w:color w:val="008080"/>
        </w:rPr>
        <w:t xml:space="preserve">Marking an item Not Applicable requires a justification </w:t>
      </w:r>
      <w:r>
        <w:rPr>
          <w:b/>
          <w:i/>
          <w:strike w:val="0"/>
          <w:color w:val="008080"/>
        </w:rPr>
        <w:t>file</w:t>
      </w:r>
      <w:r>
        <w:rPr>
          <w:b/>
          <w:i/>
          <w:strike w:val="0"/>
          <w:color w:val="008080"/>
        </w:rPr>
        <w:t>, not only free text. The uploaded file is stored against the N/A decision under the same non-deletable evidence rules as any other upload, and it is the artefact reproduced in the report appendix under FR-99. This tightens FR-94(b): written text alone is no longer sufficient.</w:t>
      </w:r>
      <w:r>
        <w:rPr>
          <w:b w:val="0"/>
          <w:i w:val="0"/>
          <w:strike w:val="0"/>
        </w:rPr>
        <w:t xml:space="preserve"> </w:t>
      </w:r>
      <w:r>
        <w:rPr>
          <w:b w:val="0"/>
          <w:i/>
          <w:strike w:val="0"/>
          <w:color w:val="008080"/>
          <w:sz w:val="16"/>
        </w:rPr>
        <w:t xml:space="preserve"> [11 Aug 2026 MOM]</w:t>
      </w:r>
    </w:p>
    <w:p>
      <w:r>
        <w:rPr>
          <w:b/>
          <w:i w:val="0"/>
          <w:strike w:val="0"/>
          <w:color w:val="1155CC"/>
        </w:rPr>
        <w:t>[FR-129]</w:t>
      </w:r>
      <w:r>
        <w:rPr>
          <w:b w:val="0"/>
          <w:i w:val="0"/>
          <w:strike w:val="0"/>
        </w:rPr>
        <w:t xml:space="preserve"> </w:t>
      </w:r>
      <w:r>
        <w:rPr>
          <w:b/>
          <w:i/>
          <w:strike w:val="0"/>
          <w:color w:val="CC00CC"/>
        </w:rPr>
        <w:t>Every test presents an overview and the request list needed for executing it. The overview states what the test is, its regulation and articles, its scope period, priority, assigned tester(s) and business owner; the request list is the Section 7.4 register of documents and records the test needs, shown as part of the test itself rather than only in the separate request workflow. Both the CCO and the assigned tester see this surface; the business owner sees their slice of it through FR-133.</w:t>
      </w:r>
      <w:r>
        <w:rPr>
          <w:b w:val="0"/>
          <w:i w:val="0"/>
          <w:strike w:val="0"/>
        </w:rPr>
        <w:t xml:space="preserve"> </w:t>
      </w:r>
      <w:r>
        <w:rPr>
          <w:b w:val="0"/>
          <w:i/>
          <w:strike w:val="0"/>
          <w:color w:val="CC00CC"/>
          <w:sz w:val="16"/>
        </w:rPr>
        <w:t xml:space="preserve"> [14 Aug 2026 MOM]</w:t>
      </w:r>
      <w:r>
        <w:rPr>
          <w:b w:val="0"/>
          <w:i w:val="0"/>
          <w:strike w:val="0"/>
        </w:rPr>
        <w:t xml:space="preserve"> </w:t>
      </w:r>
      <w:r>
        <w:rPr>
          <w:b/>
          <w:i/>
          <w:strike w:val="0"/>
          <w:color w:val="7B3F00"/>
        </w:rPr>
        <w:t>REVISED in v11.0: the overview states the test's regulation and rule, and then, for each requirement inside it, the requirement ID and name, its articles, its scope period, its priority, its assigned tester and its notified business unit. The request list is likewise shown grouped by requirement, because that is where each item was authored (SA-29). A business unit reaching the test through FR-133 sees only the requirements whose items belong to it.</w:t>
      </w:r>
      <w:r>
        <w:rPr>
          <w:b w:val="0"/>
          <w:i w:val="0"/>
          <w:strike w:val="0"/>
        </w:rPr>
        <w:t xml:space="preserve"> </w:t>
      </w:r>
      <w:r>
        <w:rPr>
          <w:b w:val="0"/>
          <w:i/>
          <w:strike w:val="0"/>
          <w:color w:val="7B3F00"/>
          <w:sz w:val="16"/>
        </w:rPr>
        <w:t xml:space="preserve"> [Sep 2026 test model]</w:t>
      </w:r>
    </w:p>
    <w:p>
      <w:r>
        <w:rPr>
          <w:b/>
          <w:i w:val="0"/>
          <w:strike w:val="0"/>
          <w:color w:val="1155CC"/>
        </w:rPr>
        <w:t>[FR-130]</w:t>
      </w:r>
      <w:r>
        <w:rPr>
          <w:b w:val="0"/>
          <w:i w:val="0"/>
          <w:strike w:val="0"/>
        </w:rPr>
        <w:t xml:space="preserve"> </w:t>
      </w:r>
      <w:r>
        <w:rPr>
          <w:b/>
          <w:i/>
          <w:strike w:val="0"/>
          <w:color w:val="CC00CC"/>
        </w:rPr>
        <w:t xml:space="preserve">Tests marked Not Applicable are shown separately from the active test views — a dedicated N/A register listing, for each item: the test, the written justification and justification file (FR-94, FR-107), </w:t>
      </w:r>
      <w:r>
        <w:rPr>
          <w:b/>
          <w:i/>
          <w:strike w:val="0"/>
          <w:color w:val="CC00CC"/>
        </w:rPr>
        <w:t>who</w:t>
      </w:r>
      <w:r>
        <w:rPr>
          <w:b/>
          <w:i/>
          <w:strike w:val="0"/>
          <w:color w:val="CC00CC"/>
        </w:rPr>
        <w:t xml:space="preserve"> made the decision, and </w:t>
      </w:r>
      <w:r>
        <w:rPr>
          <w:b/>
          <w:i/>
          <w:strike w:val="0"/>
          <w:color w:val="CC00CC"/>
        </w:rPr>
        <w:t>when</w:t>
      </w:r>
      <w:r>
        <w:rPr>
          <w:b/>
          <w:i/>
          <w:strike w:val="0"/>
          <w:color w:val="CC00CC"/>
        </w:rPr>
        <w:t>. The register is the in-platform counterpart of the FR-99 report appendix, so an N/A decision is inspectable at any time, not only at report generation.</w:t>
      </w:r>
      <w:r>
        <w:rPr>
          <w:b w:val="0"/>
          <w:i w:val="0"/>
          <w:strike w:val="0"/>
        </w:rPr>
        <w:t xml:space="preserve"> </w:t>
      </w:r>
      <w:r>
        <w:rPr>
          <w:b w:val="0"/>
          <w:i/>
          <w:strike w:val="0"/>
          <w:color w:val="CC00CC"/>
          <w:sz w:val="16"/>
        </w:rPr>
        <w:t xml:space="preserve"> [14 Aug 2026 MOM]</w:t>
      </w:r>
      <w:r>
        <w:rPr>
          <w:b w:val="0"/>
          <w:i w:val="0"/>
          <w:strike w:val="0"/>
        </w:rPr>
        <w:t xml:space="preserve"> </w:t>
      </w:r>
      <w:r>
        <w:rPr>
          <w:b/>
          <w:i/>
          <w:strike w:val="0"/>
          <w:color w:val="7B3F00"/>
        </w:rPr>
        <w:t>v11.0: the register lists the requirement as well as the test wherever the decision was taken at requirement level under FR-94, so a partially-applicable test is legible — three requirements run, one marked N/A with its reason.</w:t>
      </w:r>
      <w:r>
        <w:rPr>
          <w:b w:val="0"/>
          <w:i w:val="0"/>
          <w:strike w:val="0"/>
        </w:rPr>
        <w:t xml:space="preserve"> </w:t>
      </w:r>
      <w:r>
        <w:rPr>
          <w:b w:val="0"/>
          <w:i/>
          <w:strike w:val="0"/>
          <w:color w:val="7B3F00"/>
          <w:sz w:val="16"/>
        </w:rPr>
        <w:t xml:space="preserve"> [Sep 2026 test model]</w:t>
      </w:r>
    </w:p>
    <w:p>
      <w:r>
        <w:rPr>
          <w:b/>
          <w:i w:val="0"/>
          <w:strike w:val="0"/>
          <w:color w:val="1155CC"/>
        </w:rPr>
        <w:t>[FR-21c]</w:t>
      </w:r>
      <w:r>
        <w:rPr>
          <w:b w:val="0"/>
          <w:i w:val="0"/>
          <w:strike w:val="0"/>
        </w:rPr>
        <w:t xml:space="preserve"> If the sample selection needs to be changed after it has been documented and locked at the start of a test, the change requires approval from one other senior team member and a written reason. The original selection is immutably retained in the audit log alongside the change. </w:t>
      </w:r>
      <w:r>
        <w:rPr>
          <w:b/>
          <w:i/>
          <w:strike w:val="0"/>
          <w:color w:val="2E7D32"/>
        </w:rPr>
        <w:t>v10.0: this rule bites where a sample exists — that is, on steps flagged as requiring sampling under SA-27. A step that requires no sampling has no selection to change.</w:t>
      </w:r>
      <w:r>
        <w:rPr>
          <w:b w:val="0"/>
          <w:i w:val="0"/>
          <w:strike w:val="0"/>
        </w:rPr>
        <w:t xml:space="preserve"> </w:t>
      </w:r>
      <w:r>
        <w:rPr>
          <w:b w:val="0"/>
          <w:i/>
          <w:strike w:val="0"/>
          <w:color w:val="2E7D32"/>
          <w:sz w:val="16"/>
        </w:rPr>
        <w:t xml:space="preserve"> [Sep 2026 model revision]</w:t>
      </w:r>
    </w:p>
    <w:p>
      <w:r>
        <w:rPr>
          <w:b/>
          <w:i w:val="0"/>
          <w:strike w:val="0"/>
          <w:color w:val="1155CC"/>
        </w:rPr>
        <w:t>[FR-142]</w:t>
      </w:r>
      <w:r>
        <w:rPr>
          <w:b w:val="0"/>
          <w:i w:val="0"/>
          <w:strike w:val="0"/>
        </w:rPr>
        <w:t xml:space="preserve"> </w:t>
      </w:r>
      <w:r>
        <w:rPr>
          <w:b/>
          <w:i/>
          <w:strike w:val="0"/>
          <w:color w:val="2E7D32"/>
        </w:rPr>
        <w:t>A step flagged as requiring no sampling (SA-27) is completed on the tester's observation and the evidence attached to it. The platform shows no population, sample size or methodology fields on that step, requires no sampling methodology, and does not hold the step, the test, or the submission for CCO review open for absent sample data. Everything else about the step is unchanged: it carries a per-step status under FR-135, it takes evidence uploads under Section 7.3, and it is subject to the same per-step gap review. A step that requires no sampling is a fully validated step, not a lesser one.</w:t>
      </w:r>
      <w:r>
        <w:rPr>
          <w:b w:val="0"/>
          <w:i w:val="0"/>
          <w:strike w:val="0"/>
        </w:rPr>
        <w:t xml:space="preserve"> </w:t>
      </w:r>
      <w:r>
        <w:rPr>
          <w:b w:val="0"/>
          <w:i/>
          <w:strike w:val="0"/>
          <w:color w:val="2E7D32"/>
          <w:sz w:val="16"/>
        </w:rPr>
        <w:t xml:space="preserve"> [Sep 2026 model revision]</w:t>
      </w:r>
    </w:p>
    <w:tbl>
      <w:tblPr>
        <w:tblStyle w:val="TableGrid"/>
        <w:tblW w:type="auto" w:w="0"/>
        <w:tblLook w:firstColumn="1" w:firstRow="1" w:lastColumn="0" w:lastRow="0" w:noHBand="0" w:noVBand="1" w:val="04A0"/>
      </w:tblPr>
      <w:tblGrid>
        <w:gridCol w:w="8640"/>
      </w:tblGrid>
      <w:tr>
        <w:tc>
          <w:tcPr>
            <w:tcW w:type="dxa" w:w="8640"/>
            <w:shd w:val="clear" w:fill="E2EFDA"/>
          </w:tcPr>
          <w:p>
            <w:r>
              <w:rPr>
                <w:b/>
                <w:i w:val="0"/>
                <w:strike w:val="0"/>
              </w:rPr>
              <w:t>CONFIRMED</w:t>
            </w:r>
            <w:r>
              <w:rPr>
                <w:b w:val="0"/>
                <w:i w:val="0"/>
                <w:strike w:val="0"/>
              </w:rPr>
              <w:t xml:space="preserve"> </w:t>
            </w:r>
            <w:r>
              <w:rPr>
                <w:b w:val="0"/>
                <w:i/>
                <w:strike w:val="0"/>
              </w:rPr>
              <w:t>(green — agreed decision, August 2026)</w:t>
            </w:r>
          </w:p>
          <w:p>
            <w:r>
              <w:rPr>
                <w:b/>
                <w:i w:val="0"/>
                <w:strike w:val="0"/>
              </w:rPr>
              <w:t>✅ What we have agreed</w:t>
            </w:r>
          </w:p>
          <w:p>
            <w:pPr>
              <w:pStyle w:val="ListBullet"/>
            </w:pPr>
            <w:r>
              <w:rPr>
                <w:b/>
                <w:i/>
                <w:strike w:val="0"/>
                <w:color w:val="7030A0"/>
              </w:rPr>
              <w:t>Auto-scheduling every test as a separate calendar entry is dropped. Pending work sits in a pool.</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The CCO selects items from the pool at article / requirement level and assigns them to a tester manually.</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Every test carries a mandatory scope period.</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The CCO gets a holistic cross-tester, cross-pillar progress view.</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Tests are tagged to a business owner for accountability.</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Not Applicable is a CCO decision, justified in writing, and surfaced in a report appendix.</w:t>
            </w:r>
            <w:r>
              <w:rPr>
                <w:b w:val="0"/>
                <w:i w:val="0"/>
                <w:strike w:val="0"/>
              </w:rPr>
              <w:t xml:space="preserve"> </w:t>
            </w:r>
            <w:r>
              <w:rPr>
                <w:b w:val="0"/>
                <w:i/>
                <w:strike w:val="0"/>
                <w:color w:val="7030A0"/>
                <w:sz w:val="16"/>
              </w:rPr>
              <w:t xml:space="preserve"> [Aug 2026 client MOM]</w:t>
            </w:r>
          </w:p>
        </w:tc>
      </w:tr>
    </w:tbl>
    <w:tbl>
      <w:tblPr>
        <w:tblStyle w:val="TableGrid"/>
        <w:tblW w:type="auto" w:w="0"/>
        <w:tblLook w:firstColumn="1" w:firstRow="1" w:lastColumn="0" w:lastRow="0" w:noHBand="0" w:noVBand="1" w:val="04A0"/>
      </w:tblPr>
      <w:tblGrid>
        <w:gridCol w:w="8640"/>
      </w:tblGrid>
      <w:tr>
        <w:tc>
          <w:tcPr>
            <w:tcW w:type="dxa" w:w="8640"/>
            <w:shd w:val="clear" w:fill="E2EFDA"/>
          </w:tcPr>
          <w:p>
            <w:r>
              <w:rPr>
                <w:b/>
                <w:i w:val="0"/>
                <w:strike w:val="0"/>
              </w:rPr>
              <w:t>CONFIRMED</w:t>
            </w:r>
            <w:r>
              <w:rPr>
                <w:b w:val="0"/>
                <w:i w:val="0"/>
                <w:strike w:val="0"/>
              </w:rPr>
              <w:t xml:space="preserve"> </w:t>
            </w:r>
            <w:r>
              <w:rPr>
                <w:b w:val="0"/>
                <w:i/>
                <w:strike w:val="0"/>
              </w:rPr>
              <w:t>(green — agreed 11 Aug 2026)</w:t>
            </w:r>
          </w:p>
          <w:p>
            <w:r>
              <w:rPr>
                <w:b/>
                <w:i w:val="0"/>
                <w:strike w:val="0"/>
              </w:rPr>
              <w:t>✅ What we have agreed</w:t>
            </w:r>
          </w:p>
          <w:p>
            <w:pPr>
              <w:pStyle w:val="ListBullet"/>
            </w:pPr>
            <w:r>
              <w:rPr>
                <w:b/>
                <w:i/>
                <w:strike w:val="0"/>
                <w:color w:val="008080"/>
              </w:rPr>
              <w:t>Scoping exists to stop firms being overwhelmed. Tests are deliberately scoped down by date range and by article — the client's examples were KYC for accounts opened January to August, and specified articles within DORA rather than the whole regulation.</w:t>
            </w:r>
            <w:r>
              <w:rPr>
                <w:b w:val="0"/>
                <w:i w:val="0"/>
                <w:strike w:val="0"/>
              </w:rPr>
              <w:t xml:space="preserve"> </w:t>
            </w:r>
            <w:r>
              <w:rPr>
                <w:b w:val="0"/>
                <w:i/>
                <w:strike w:val="0"/>
                <w:color w:val="008080"/>
                <w:sz w:val="16"/>
              </w:rPr>
              <w:t xml:space="preserve"> [11 Aug 2026 MOM]</w:t>
            </w:r>
          </w:p>
          <w:p>
            <w:pPr>
              <w:pStyle w:val="ListBullet"/>
            </w:pPr>
            <w:r>
              <w:rPr>
                <w:b/>
                <w:i/>
                <w:strike w:val="0"/>
                <w:color w:val="008080"/>
              </w:rPr>
              <w:t>The CCO can split a complex test across multiple testers by article, so the review completes faster.</w:t>
            </w:r>
            <w:r>
              <w:rPr>
                <w:b w:val="0"/>
                <w:i w:val="0"/>
                <w:strike w:val="0"/>
              </w:rPr>
              <w:t xml:space="preserve"> </w:t>
            </w:r>
            <w:r>
              <w:rPr>
                <w:b w:val="0"/>
                <w:i/>
                <w:strike w:val="0"/>
                <w:color w:val="008080"/>
                <w:sz w:val="16"/>
              </w:rPr>
              <w:t xml:space="preserve"> [11 Aug 2026 MOM]</w:t>
            </w:r>
          </w:p>
          <w:p>
            <w:pPr>
              <w:pStyle w:val="ListBullet"/>
            </w:pPr>
            <w:r>
              <w:rPr>
                <w:b/>
                <w:i/>
                <w:strike w:val="0"/>
                <w:color w:val="008080"/>
              </w:rPr>
              <w:t>A tester may mark items Not Applicable, but the decision needs a justification file and lands in the report appendix. Confirms FR-94 and tightens it — the justification is a document, not a text box.</w:t>
            </w:r>
            <w:r>
              <w:rPr>
                <w:b w:val="0"/>
                <w:i w:val="0"/>
                <w:strike w:val="0"/>
              </w:rPr>
              <w:t xml:space="preserve"> </w:t>
            </w:r>
            <w:r>
              <w:rPr>
                <w:b w:val="0"/>
                <w:i/>
                <w:strike w:val="0"/>
                <w:color w:val="008080"/>
                <w:sz w:val="16"/>
              </w:rPr>
              <w:t xml:space="preserve"> [11 Aug 2026 MOM]</w:t>
            </w:r>
          </w:p>
          <w:p>
            <w:pPr>
              <w:pStyle w:val="ListBullet"/>
            </w:pPr>
            <w:r>
              <w:rPr>
                <w:b/>
                <w:i/>
                <w:strike w:val="0"/>
                <w:color w:val="008080"/>
              </w:rPr>
              <w:t>Tests are tagged to specific business units — the client's example was the CTO owning system-related tests rather than everything defaulting to the CEO — so the right person is accountable for producing evidence. Confirms FR-82 unchanged.</w:t>
            </w:r>
            <w:r>
              <w:rPr>
                <w:b w:val="0"/>
                <w:i w:val="0"/>
                <w:strike w:val="0"/>
              </w:rPr>
              <w:t xml:space="preserve"> </w:t>
            </w:r>
            <w:r>
              <w:rPr>
                <w:b w:val="0"/>
                <w:i/>
                <w:strike w:val="0"/>
                <w:color w:val="008080"/>
                <w:sz w:val="16"/>
              </w:rPr>
              <w:t xml:space="preserve"> [11 Aug 2026 MOM]</w:t>
            </w:r>
          </w:p>
        </w:tc>
      </w:tr>
    </w:tbl>
    <w:tbl>
      <w:tblPr>
        <w:tblStyle w:val="TableGrid"/>
        <w:tblW w:type="auto" w:w="0"/>
        <w:tblLook w:firstColumn="1" w:firstRow="1" w:lastColumn="0" w:lastRow="0" w:noHBand="0" w:noVBand="1" w:val="04A0"/>
      </w:tblPr>
      <w:tblGrid>
        <w:gridCol w:w="8640"/>
      </w:tblGrid>
      <w:tr>
        <w:tc>
          <w:tcPr>
            <w:tcW w:type="dxa" w:w="8640"/>
            <w:shd w:val="clear" w:fill="FFF2CC"/>
          </w:tcPr>
          <w:p>
            <w:r>
              <w:rPr>
                <w:b/>
                <w:i w:val="0"/>
                <w:strike w:val="0"/>
              </w:rPr>
              <w:t>OPEN QUESTION</w:t>
            </w:r>
            <w:r>
              <w:rPr>
                <w:b w:val="0"/>
                <w:i w:val="0"/>
                <w:strike w:val="0"/>
              </w:rPr>
              <w:t xml:space="preserve"> </w:t>
            </w:r>
            <w:r>
              <w:rPr>
                <w:b w:val="0"/>
                <w:i/>
                <w:strike w:val="0"/>
              </w:rPr>
              <w:t>(amber — new in v6.0)</w:t>
            </w:r>
          </w:p>
          <w:p>
            <w:r>
              <w:rPr>
                <w:b/>
                <w:i w:val="0"/>
                <w:strike w:val="0"/>
              </w:rPr>
              <w:t>💬 Questions still to confirm</w:t>
            </w:r>
          </w:p>
          <w:p>
            <w:pPr>
              <w:pStyle w:val="ListBullet"/>
            </w:pPr>
            <w:r>
              <w:rPr>
                <w:b/>
                <w:i/>
                <w:strike w:val="0"/>
                <w:color w:val="008080"/>
              </w:rPr>
              <w:t>Fan-out and result ownership (TS-05): FR-21 says each test has one Lead Tester who owns the formal result. FR-106 splits a test across several. Who records the overall Pass / Fail / Observation when four testers each worked three articles — a nominated lead among them, the CCO, or one result per article that rolls up? This needs answering before the testing data model is built. Tracked as GAP-15 in Section 16.</w:t>
            </w:r>
            <w:r>
              <w:rPr>
                <w:b w:val="0"/>
                <w:i w:val="0"/>
                <w:strike w:val="0"/>
              </w:rPr>
              <w:t xml:space="preserve"> </w:t>
            </w:r>
            <w:r>
              <w:rPr>
                <w:b w:val="0"/>
                <w:i/>
                <w:strike w:val="0"/>
                <w:color w:val="008080"/>
                <w:sz w:val="16"/>
              </w:rPr>
              <w:t xml:space="preserve"> [11 Aug 2026 MOM]</w:t>
            </w:r>
          </w:p>
          <w:p>
            <w:pPr>
              <w:pStyle w:val="ListBullet"/>
            </w:pPr>
            <w:r>
              <w:rPr>
                <w:b/>
                <w:i/>
                <w:strike w:val="0"/>
                <w:color w:val="008080"/>
              </w:rPr>
              <w:t>Fan-out and findings (TS-06): if two testers on the same test each raise a finding on adjacent articles, are they two findings or one? FR-39 allows many findings per test, so two is the default reading, but repeat-finding detection (FR-46) and the risk-rating calculation both count findings per test and would be affected.</w:t>
            </w:r>
            <w:r>
              <w:rPr>
                <w:b w:val="0"/>
                <w:i w:val="0"/>
                <w:strike w:val="0"/>
              </w:rPr>
              <w:t xml:space="preserve"> </w:t>
            </w:r>
            <w:r>
              <w:rPr>
                <w:b w:val="0"/>
                <w:i/>
                <w:strike w:val="0"/>
                <w:color w:val="008080"/>
                <w:sz w:val="16"/>
              </w:rPr>
              <w:t xml:space="preserve"> [11 Aug 2026 MOM]</w:t>
            </w:r>
          </w:p>
          <w:p>
            <w:pPr>
              <w:pStyle w:val="ListBullet"/>
            </w:pPr>
            <w:r>
              <w:rPr>
                <w:b/>
                <w:i/>
                <w:strike w:val="0"/>
                <w:color w:val="008080"/>
              </w:rPr>
              <w:t>Article catalogue (TS-07): article-level scoping and fan-out both assume the platform holds regulations broken down to article level as selectable objects. SA-12 renders fetched content to article and paragraph, so the structure exists — confirm that every Requirement ID is mapped to its constituent articles, since without that mapping neither FR-105 nor FR-106 can be built.</w:t>
            </w:r>
            <w:r>
              <w:rPr>
                <w:b w:val="0"/>
                <w:i w:val="0"/>
                <w:strike w:val="0"/>
              </w:rPr>
              <w:t xml:space="preserve"> </w:t>
            </w:r>
            <w:r>
              <w:rPr>
                <w:b w:val="0"/>
                <w:i/>
                <w:strike w:val="0"/>
                <w:color w:val="008080"/>
                <w:sz w:val="16"/>
              </w:rPr>
              <w:t xml:space="preserve"> [11 Aug 2026 MOM]</w:t>
            </w:r>
          </w:p>
        </w:tc>
      </w:tr>
    </w:tbl>
    <w:tbl>
      <w:tblPr>
        <w:tblStyle w:val="TableGrid"/>
        <w:tblW w:type="auto" w:w="0"/>
        <w:tblLook w:firstColumn="1" w:firstRow="1" w:lastColumn="0" w:lastRow="0" w:noHBand="0" w:noVBand="1" w:val="04A0"/>
      </w:tblPr>
      <w:tblGrid>
        <w:gridCol w:w="8640"/>
      </w:tblGrid>
      <w:tr>
        <w:tc>
          <w:tcPr>
            <w:tcW w:type="dxa" w:w="8640"/>
            <w:shd w:val="clear" w:fill="FFF2CC"/>
          </w:tcPr>
          <w:p>
            <w:r>
              <w:rPr>
                <w:b/>
                <w:i w:val="0"/>
                <w:strike w:val="0"/>
              </w:rPr>
              <w:t>OPEN QUESTION</w:t>
            </w:r>
            <w:r>
              <w:rPr>
                <w:b w:val="0"/>
                <w:i w:val="0"/>
                <w:strike w:val="0"/>
              </w:rPr>
              <w:t xml:space="preserve"> </w:t>
            </w:r>
            <w:r>
              <w:rPr>
                <w:b w:val="0"/>
                <w:i/>
                <w:strike w:val="0"/>
              </w:rPr>
              <w:t>(amber — new in v5.0)</w:t>
            </w:r>
          </w:p>
          <w:p>
            <w:r>
              <w:rPr>
                <w:b/>
                <w:i w:val="0"/>
                <w:strike w:val="0"/>
              </w:rPr>
              <w:t>💬 Questions still to confirm</w:t>
            </w:r>
          </w:p>
          <w:p>
            <w:pPr>
              <w:pStyle w:val="ListBullet"/>
            </w:pPr>
            <w:r>
              <w:rPr>
                <w:b/>
                <w:i/>
                <w:strike w:val="0"/>
                <w:color w:val="7030A0"/>
              </w:rPr>
              <w:t>Pool ageing (TS-01): an item sits in the pool with a period it is owed for. If the CCO never assigns it and the period ends, what happens — does it stay in the pool flagged overdue, roll into the next period, or generate a missed-obligation record? The Section 12 "required test not scheduled" alert fires, but the item's own end state is undefined. This is the pool-model version of GAP-01 and needs answering with it.</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Scope period defaults (TS-02): does the platform propose a scope period from the test's frequency (e.g. the last full quarter) that the CCO can accept or edit, or does the CCO type both dates every time? A proposal saves a lot of clicks at the cost of a wrong default being accepted without thought.</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Scope period vs. evidence dates (TS-03): if a tester uploads evidence dated outside the scope period, does the platform warn, block, or simply record it? FR-80 says it is recorded as out of scope — confirm that is enough.</w:t>
            </w:r>
            <w:r>
              <w:rPr>
                <w:b w:val="0"/>
                <w:i w:val="0"/>
                <w:strike w:val="0"/>
              </w:rPr>
              <w:t xml:space="preserve"> </w:t>
            </w:r>
            <w:r>
              <w:rPr>
                <w:b w:val="0"/>
                <w:i/>
                <w:strike w:val="0"/>
                <w:color w:val="7030A0"/>
                <w:sz w:val="16"/>
              </w:rPr>
              <w:t xml:space="preserve"> [Aug 2026 client MOM]</w:t>
            </w:r>
          </w:p>
          <w:p>
            <w:pPr>
              <w:pStyle w:val="ListBullet"/>
            </w:pPr>
            <w:r>
              <w:rPr>
                <w:b/>
                <w:i/>
                <w:strike w:val="0"/>
                <w:color w:val="C00000"/>
              </w:rPr>
              <w:t>Business owner authority (TS-04) — RESOLVED 14 Aug 2026, delivery revised in v9.0: the business owner sees the test together with every request item on their side (FR-133). Visibility is unchanged — test-plus-own-request-list, with the GAP-05 rule still governing anything beyond that — but it is delivered through a scoped expiring link rather than a dashboard, which also closes EV-03.</w:t>
            </w:r>
            <w:r>
              <w:rPr>
                <w:b w:val="0"/>
                <w:i w:val="0"/>
                <w:strike w:val="0"/>
              </w:rPr>
              <w:t xml:space="preserve"> </w:t>
            </w:r>
            <w:r>
              <w:rPr>
                <w:b w:val="0"/>
                <w:i/>
                <w:strike w:val="0"/>
                <w:color w:val="C00000"/>
                <w:sz w:val="16"/>
              </w:rPr>
              <w:t xml:space="preserve"> [Sep 2026 scope decision]</w:t>
            </w:r>
          </w:p>
        </w:tc>
      </w:tr>
    </w:tbl>
    <w:p>
      <w:pPr>
        <w:pStyle w:val="Heading2"/>
      </w:pPr>
      <w:r>
        <w:t>7.3 Evidence</w:t>
      </w:r>
    </w:p>
    <w:p>
      <w:r>
        <w:rPr>
          <w:b/>
          <w:i w:val="0"/>
          <w:strike w:val="0"/>
          <w:color w:val="1155CC"/>
        </w:rPr>
        <w:t>[FR-24]</w:t>
      </w:r>
      <w:r>
        <w:rPr>
          <w:b w:val="0"/>
          <w:i w:val="0"/>
          <w:strike w:val="0"/>
        </w:rPr>
        <w:t xml:space="preserve"> The platform accepts the following evidence file types: PDF, Word documents (.docx), Excel spreadsheets (.xlsx), images (PNG, JPG), audio recordings (MP3, WAV), video recordings (MP4, MOV, AVI), screen recordings, ZIP archives, and CSV data exports. The maximum file size is set by the development team in the platform configuration and can be adjusted without a code change.</w:t>
      </w:r>
    </w:p>
    <w:p>
      <w:r>
        <w:rPr>
          <w:b/>
          <w:i w:val="0"/>
          <w:strike w:val="0"/>
          <w:color w:val="1155CC"/>
        </w:rPr>
        <w:t>[FR-25]</w:t>
      </w:r>
      <w:r>
        <w:rPr>
          <w:b w:val="0"/>
          <w:i w:val="0"/>
          <w:strike w:val="0"/>
        </w:rPr>
        <w:t xml:space="preserve"> Before a test begins, the platform generates a structured document checklist — a list of everything the Lead Tester will need to collect during the test. </w:t>
      </w:r>
      <w:r>
        <w:rPr>
          <w:b/>
          <w:i/>
          <w:strike w:val="0"/>
          <w:color w:val="7B3F00"/>
        </w:rPr>
        <w:t>v11.0: the checklist is assembled from the request lists authored on each requirement (SA-29), so a test's checklist is the sum of its requirements' request lists and each item already knows which requirement, and therefore which business unit, it belongs to.</w:t>
      </w:r>
      <w:r>
        <w:rPr>
          <w:b w:val="0"/>
          <w:i w:val="0"/>
          <w:strike w:val="0"/>
        </w:rPr>
        <w:t xml:space="preserve"> </w:t>
      </w:r>
      <w:r>
        <w:rPr>
          <w:b w:val="0"/>
          <w:i/>
          <w:strike w:val="0"/>
          <w:color w:val="7B3F00"/>
          <w:sz w:val="16"/>
        </w:rPr>
        <w:t xml:space="preserve"> [Sep 2026 test model]</w:t>
      </w:r>
      <w:r>
        <w:rPr>
          <w:b w:val="0"/>
          <w:i w:val="0"/>
          <w:strike w:val="0"/>
        </w:rPr>
        <w:t xml:space="preserve"> This checklist can be exported as a PDF and shared with the IT team, Finance team, or Legal team so they can gather the required documents in advance. </w:t>
      </w:r>
      <w:r>
        <w:rPr>
          <w:b/>
          <w:i/>
          <w:strike w:val="0"/>
          <w:color w:val="7030A0"/>
        </w:rPr>
        <w:t>v5.0: this checklist is now the source of the initial request list in Section 7.4. Whether the exportable PDF form survives alongside the tracked request register is an open design question — see GAP-12.</w:t>
      </w:r>
      <w:r>
        <w:rPr>
          <w:b w:val="0"/>
          <w:i w:val="0"/>
          <w:strike w:val="0"/>
        </w:rPr>
        <w:t xml:space="preserve"> </w:t>
      </w:r>
      <w:r>
        <w:rPr>
          <w:b w:val="0"/>
          <w:i/>
          <w:strike w:val="0"/>
          <w:color w:val="7030A0"/>
          <w:sz w:val="16"/>
        </w:rPr>
        <w:t xml:space="preserve"> [Aug 2026 client MOM]</w:t>
      </w:r>
    </w:p>
    <w:p>
      <w:r>
        <w:rPr>
          <w:b/>
          <w:i w:val="0"/>
          <w:strike w:val="0"/>
          <w:color w:val="1155CC"/>
        </w:rPr>
        <w:t>[FR-27]</w:t>
      </w:r>
      <w:r>
        <w:rPr>
          <w:b w:val="0"/>
          <w:i w:val="0"/>
          <w:strike w:val="0"/>
        </w:rPr>
        <w:t xml:space="preserve"> Once a test has been signed off by the CCO, the result is final. If a mistake was made or new information comes to light, the CCO is the only person who can add an amendment. The amendment must include a written explanation of why the result is being changed. The original result is never deleted — it stays in the audit log alongside the amendment.</w:t>
      </w:r>
    </w:p>
    <w:p>
      <w:r>
        <w:rPr>
          <w:b/>
          <w:i w:val="0"/>
          <w:strike w:val="0"/>
          <w:color w:val="1155CC"/>
        </w:rPr>
        <w:t>[FR-28]</w:t>
      </w:r>
      <w:r>
        <w:rPr>
          <w:b w:val="0"/>
          <w:i w:val="0"/>
          <w:strike w:val="0"/>
        </w:rPr>
        <w:t xml:space="preserve"> Evidence files have a shelf life. For example, a Business Continuity Plan test report is only valid evidence if it is less than 12 months old. The platform tracks the age of evidence files linked to each test and proactively alerts the CCO and Lead Tester before the next test is due if any evidence is approaching its validity limit.</w:t>
      </w:r>
    </w:p>
    <w:p>
      <w:pPr>
        <w:pStyle w:val="Heading2"/>
      </w:pPr>
      <w:r>
        <w:t>7.4 Records Requests and Evidence Collection</w:t>
      </w:r>
    </w:p>
    <w:p>
      <w:r>
        <w:rPr>
          <w:b/>
          <w:i/>
          <w:strike w:val="0"/>
          <w:color w:val="7030A0"/>
        </w:rPr>
        <w:t>NEW in v5.0 — a substantial part of the August 2026 meeting was spent on this workflow.</w:t>
      </w:r>
      <w:r>
        <w:rPr>
          <w:b w:val="0"/>
          <w:i w:val="0"/>
          <w:strike w:val="0"/>
        </w:rPr>
        <w:t xml:space="preserve"> </w:t>
      </w:r>
      <w:r>
        <w:rPr>
          <w:b w:val="0"/>
          <w:i/>
          <w:strike w:val="0"/>
          <w:color w:val="7030A0"/>
          <w:sz w:val="16"/>
        </w:rPr>
        <w:t xml:space="preserve"> [Aug 2026 client MOM]</w:t>
      </w:r>
    </w:p>
    <w:p>
      <w:r>
        <w:rPr>
          <w:b w:val="0"/>
          <w:i w:val="0"/>
          <w:strike w:val="0"/>
        </w:rPr>
        <w:t xml:space="preserve">Before a tester can test anything, somebody on the business side has to hand over records. In v4.0 this was a single line — FR-25's exportable document checklist. The meeting established that this is a workflow in its own right, and that </w:t>
      </w:r>
      <w:r>
        <w:rPr>
          <w:b/>
          <w:i w:val="0"/>
          <w:strike w:val="0"/>
        </w:rPr>
        <w:t>how long the business side takes to respond is itself compliance information</w:t>
      </w:r>
      <w:r>
        <w:rPr>
          <w:b w:val="0"/>
          <w:i w:val="0"/>
          <w:strike w:val="0"/>
        </w:rPr>
        <w:t>. In the client's words, delays are a "clear indicator" of internal control problems, and the CCO needs to be able to see them.</w:t>
      </w:r>
    </w:p>
    <w:p>
      <w:pPr>
        <w:pStyle w:val="Heading3"/>
      </w:pPr>
      <w:r>
        <w:t>Announcing the test and issuing the request list</w:t>
      </w:r>
    </w:p>
    <w:p>
      <w:r>
        <w:rPr>
          <w:b/>
          <w:i w:val="0"/>
          <w:strike w:val="0"/>
          <w:color w:val="1155CC"/>
        </w:rPr>
        <w:t>[FR-83]</w:t>
      </w:r>
      <w:r>
        <w:rPr>
          <w:b w:val="0"/>
          <w:i w:val="0"/>
          <w:strike w:val="0"/>
        </w:rPr>
        <w:t xml:space="preserve"> </w:t>
      </w:r>
      <w:r>
        <w:rPr>
          <w:b/>
          <w:i/>
          <w:strike w:val="0"/>
          <w:color w:val="7030A0"/>
        </w:rPr>
        <w:t>Before a test begins, the business unit owner (the FR-82 business owner for that test) receives two things: an announcement letter stating that the test is starting, its scope period, and who is running it; and an initial request list — the specific documents and records required. Both are generated by the platform from the test procedure's evidence checklist, and both are sent through the platform, not by side-channel email, so that the issue date is recorded.</w:t>
      </w:r>
      <w:r>
        <w:rPr>
          <w:b w:val="0"/>
          <w:i w:val="0"/>
          <w:strike w:val="0"/>
        </w:rPr>
        <w:t xml:space="preserve"> </w:t>
      </w:r>
      <w:r>
        <w:rPr>
          <w:b w:val="0"/>
          <w:i/>
          <w:strike w:val="0"/>
          <w:color w:val="7030A0"/>
          <w:sz w:val="16"/>
        </w:rPr>
        <w:t xml:space="preserve"> [Aug 2026 client MOM]</w:t>
      </w:r>
      <w:r>
        <w:rPr>
          <w:b w:val="0"/>
          <w:i w:val="0"/>
          <w:strike w:val="0"/>
        </w:rPr>
        <w:t xml:space="preserve"> </w:t>
      </w:r>
      <w:r>
        <w:rPr>
          <w:b/>
          <w:i/>
          <w:strike w:val="0"/>
          <w:color w:val="CC00CC"/>
        </w:rPr>
        <w:t xml:space="preserve">REVISED in v8.0: the announcement letter is sent to a </w:t>
      </w:r>
      <w:r>
        <w:rPr>
          <w:b/>
          <w:i/>
          <w:strike w:val="0"/>
          <w:color w:val="CC00CC"/>
        </w:rPr>
        <w:t>distribution list of all relevant business units</w:t>
      </w:r>
      <w:r>
        <w:rPr>
          <w:b/>
          <w:i/>
          <w:strike w:val="0"/>
          <w:color w:val="CC00CC"/>
        </w:rPr>
        <w:t xml:space="preserve"> for the test, not to a single addressee. The list is auto-populated by the platform — see FR-132. The letter carries the FR-133 link.</w:t>
      </w:r>
      <w:r>
        <w:rPr>
          <w:b w:val="0"/>
          <w:i w:val="0"/>
          <w:strike w:val="0"/>
        </w:rPr>
        <w:t xml:space="preserve"> </w:t>
      </w:r>
      <w:r>
        <w:rPr>
          <w:b w:val="0"/>
          <w:i/>
          <w:strike w:val="0"/>
          <w:color w:val="CC00CC"/>
          <w:sz w:val="16"/>
        </w:rPr>
        <w:t xml:space="preserve"> [14 Aug 2026 MOM]</w:t>
      </w:r>
    </w:p>
    <w:p>
      <w:r>
        <w:rPr>
          <w:b/>
          <w:i w:val="0"/>
          <w:strike w:val="0"/>
          <w:color w:val="1155CC"/>
        </w:rPr>
        <w:t>[FR-84]</w:t>
      </w:r>
      <w:r>
        <w:rPr>
          <w:b w:val="0"/>
          <w:i w:val="0"/>
          <w:strike w:val="0"/>
        </w:rPr>
        <w:t xml:space="preserve"> </w:t>
      </w:r>
      <w:r>
        <w:rPr>
          <w:b/>
          <w:i/>
          <w:strike w:val="0"/>
          <w:color w:val="7030A0"/>
        </w:rPr>
        <w:t>The initial request list is not final. The Lead Tester can issue supplementary requests during the test as the work uncovers a need for more records. Every request — initial or supplementary — is a tracked item in its own right.</w:t>
      </w:r>
      <w:r>
        <w:rPr>
          <w:b w:val="0"/>
          <w:i w:val="0"/>
          <w:strike w:val="0"/>
        </w:rPr>
        <w:t xml:space="preserve"> </w:t>
      </w:r>
      <w:r>
        <w:rPr>
          <w:b w:val="0"/>
          <w:i/>
          <w:strike w:val="0"/>
          <w:color w:val="7030A0"/>
          <w:sz w:val="16"/>
        </w:rPr>
        <w:t xml:space="preserve"> [Aug 2026 client MOM]</w:t>
      </w:r>
    </w:p>
    <w:p>
      <w:r>
        <w:rPr>
          <w:b/>
          <w:i w:val="0"/>
          <w:strike w:val="0"/>
          <w:color w:val="1155CC"/>
        </w:rPr>
        <w:t>[FR-131]</w:t>
      </w:r>
      <w:r>
        <w:rPr>
          <w:b w:val="0"/>
          <w:i w:val="0"/>
          <w:strike w:val="0"/>
        </w:rPr>
        <w:t xml:space="preserve"> </w:t>
      </w:r>
      <w:r>
        <w:rPr>
          <w:b/>
          <w:i/>
          <w:strike w:val="0"/>
          <w:color w:val="CC00CC"/>
        </w:rPr>
        <w:t xml:space="preserve">Each request list item is mapped to a </w:t>
      </w:r>
      <w:r>
        <w:rPr>
          <w:b/>
          <w:i/>
          <w:strike w:val="0"/>
          <w:color w:val="CC00CC"/>
        </w:rPr>
        <w:t>business unit</w:t>
      </w:r>
      <w:r>
        <w:rPr>
          <w:b/>
          <w:i/>
          <w:strike w:val="0"/>
          <w:color w:val="CC00CC"/>
        </w:rPr>
        <w:t>. One test's request list can span several units — the KYC records to one unit, the system logs to another — and each item is answered by, and its turnaround measured against, the unit it is mapped to. This refines FR-82: the test still has one accountable business owner, but responsibility for producing each individual record sits with the unit the item names. The FR-86 delay analytics report at this per-unit granularity.</w:t>
      </w:r>
      <w:r>
        <w:rPr>
          <w:b w:val="0"/>
          <w:i w:val="0"/>
          <w:strike w:val="0"/>
        </w:rPr>
        <w:t xml:space="preserve"> </w:t>
      </w:r>
      <w:r>
        <w:rPr>
          <w:b w:val="0"/>
          <w:i/>
          <w:strike w:val="0"/>
          <w:color w:val="CC00CC"/>
          <w:sz w:val="16"/>
        </w:rPr>
        <w:t xml:space="preserve"> [14 Aug 2026 MOM]</w:t>
      </w:r>
      <w:r>
        <w:rPr>
          <w:b w:val="0"/>
          <w:i w:val="0"/>
          <w:strike w:val="0"/>
        </w:rPr>
        <w:t xml:space="preserve"> </w:t>
      </w:r>
      <w:r>
        <w:rPr>
          <w:b/>
          <w:i/>
          <w:strike w:val="0"/>
          <w:color w:val="7B3F00"/>
        </w:rPr>
        <w:t>REVISED in v11.0: FR-82 now names a business unit per requirement, and every request item is authored on a requirement (SA-29), so an item inherits its unit from its requirement by default. An item can still name a different unit where that particular record is held elsewhere, and responsibility follows the item rather than the requirement. The superseded sentence above — "the test still has one accountable business owner" — no longer holds: a test has as many notified units as it has requirements.</w:t>
      </w:r>
      <w:r>
        <w:rPr>
          <w:b w:val="0"/>
          <w:i w:val="0"/>
          <w:strike w:val="0"/>
        </w:rPr>
        <w:t xml:space="preserve"> </w:t>
      </w:r>
      <w:r>
        <w:rPr>
          <w:b w:val="0"/>
          <w:i/>
          <w:strike w:val="0"/>
          <w:color w:val="7B3F00"/>
          <w:sz w:val="16"/>
        </w:rPr>
        <w:t xml:space="preserve"> [Sep 2026 test model]</w:t>
      </w:r>
    </w:p>
    <w:p>
      <w:r>
        <w:rPr>
          <w:b/>
          <w:i w:val="0"/>
          <w:strike w:val="0"/>
          <w:color w:val="1155CC"/>
        </w:rPr>
        <w:t>[FR-132]</w:t>
      </w:r>
      <w:r>
        <w:rPr>
          <w:b w:val="0"/>
          <w:i w:val="0"/>
          <w:strike w:val="0"/>
        </w:rPr>
        <w:t xml:space="preserve"> </w:t>
      </w:r>
      <w:r>
        <w:rPr>
          <w:b/>
          <w:i/>
          <w:strike w:val="0"/>
          <w:color w:val="CC00CC"/>
        </w:rPr>
        <w:t xml:space="preserve">The announcement letter's distribution list is </w:t>
      </w:r>
      <w:r>
        <w:rPr>
          <w:b/>
          <w:i/>
          <w:strike w:val="0"/>
          <w:color w:val="CC00CC"/>
        </w:rPr>
        <w:t>auto-populated</w:t>
      </w:r>
      <w:r>
        <w:rPr>
          <w:b/>
          <w:i/>
          <w:strike w:val="0"/>
          <w:color w:val="CC00CC"/>
        </w:rPr>
        <w:t xml:space="preserve"> by the platform from the business units mapped to the test's request items (FR-131) and the FR-82 business owner. The CCO can add or edit recipients before issue, but any addition or edit requires a recorded </w:t>
      </w:r>
      <w:r>
        <w:rPr>
          <w:b/>
          <w:i/>
          <w:strike w:val="0"/>
          <w:color w:val="CC00CC"/>
        </w:rPr>
        <w:t>justification</w:t>
      </w:r>
      <w:r>
        <w:rPr>
          <w:b/>
          <w:i/>
          <w:strike w:val="0"/>
          <w:color w:val="CC00CC"/>
        </w:rPr>
        <w:t xml:space="preserve"> — the auto-populated list is the default, and departing from it is an audited decision, in the same spirit as the FR-109 deviation rule.</w:t>
      </w:r>
      <w:r>
        <w:rPr>
          <w:b w:val="0"/>
          <w:i w:val="0"/>
          <w:strike w:val="0"/>
        </w:rPr>
        <w:t xml:space="preserve"> </w:t>
      </w:r>
      <w:r>
        <w:rPr>
          <w:b w:val="0"/>
          <w:i/>
          <w:strike w:val="0"/>
          <w:color w:val="CC00CC"/>
          <w:sz w:val="16"/>
        </w:rPr>
        <w:t xml:space="preserve"> [14 Aug 2026 MOM]</w:t>
      </w:r>
    </w:p>
    <w:p>
      <w:r>
        <w:rPr>
          <w:b/>
          <w:i w:val="0"/>
          <w:strike w:val="0"/>
          <w:color w:val="1155CC"/>
        </w:rPr>
        <w:t>[FR-133]</w:t>
      </w:r>
      <w:r>
        <w:rPr>
          <w:b w:val="0"/>
          <w:i w:val="0"/>
          <w:strike w:val="0"/>
        </w:rPr>
        <w:t xml:space="preserve"> </w:t>
      </w:r>
      <w:r>
        <w:rPr>
          <w:b/>
          <w:i/>
          <w:strike w:val="0"/>
          <w:color w:val="C00000"/>
        </w:rPr>
        <w:t>REVISED in v9.0. When a business owner receives the announcement letter, they follow a scoped, expiring link that opens the request items on their side of that one test — each with what was asked, when, its due date and current status — together with enough of the test's identity to make sense of the ask: its name, regulation and articles, its scope period, and who is running it. It is a working page reached from the letter, not a dashboard: there is no persistent surface, no session, no login-bearing business-owner role, and no view of anything beyond the request items the link is scoped to. The link is tied to one test and one business unit, expires, and can be re-sent or revoked; every issue, re-issue and revocation is recorded against the test. This settles EV-03 as the scoped-expiring-link option and revises the v8.0 dashboard reading of TS-04 — the visibility the client asked for is preserved, the persistent surface is not built.</w:t>
      </w:r>
      <w:r>
        <w:rPr>
          <w:b w:val="0"/>
          <w:i w:val="0"/>
          <w:strike w:val="0"/>
        </w:rPr>
        <w:t xml:space="preserve"> </w:t>
      </w:r>
      <w:r>
        <w:rPr>
          <w:b w:val="0"/>
          <w:i/>
          <w:strike w:val="0"/>
          <w:color w:val="C00000"/>
          <w:sz w:val="16"/>
        </w:rPr>
        <w:t xml:space="preserve"> [Sep 2026 scope decision]</w:t>
      </w:r>
    </w:p>
    <w:p>
      <w:r>
        <w:rPr>
          <w:b/>
          <w:i w:val="0"/>
          <w:strike w:val="0"/>
          <w:color w:val="1155CC"/>
        </w:rPr>
        <w:t>[FR-134]</w:t>
      </w:r>
      <w:r>
        <w:rPr>
          <w:b w:val="0"/>
          <w:i w:val="0"/>
          <w:strike w:val="0"/>
        </w:rPr>
        <w:t xml:space="preserve"> </w:t>
      </w:r>
      <w:r>
        <w:rPr>
          <w:b/>
          <w:i/>
          <w:strike w:val="0"/>
          <w:color w:val="CC00CC"/>
        </w:rPr>
        <w:t xml:space="preserve">Against each request item on that dashboard, the business owner uploads the document. Where they cannot produce a document, the platform records the </w:t>
      </w:r>
      <w:r>
        <w:rPr>
          <w:b/>
          <w:i/>
          <w:strike w:val="0"/>
          <w:color w:val="CC00CC"/>
        </w:rPr>
        <w:t>reason</w:t>
      </w:r>
      <w:r>
        <w:rPr>
          <w:b/>
          <w:i/>
          <w:strike w:val="0"/>
          <w:color w:val="CC00CC"/>
        </w:rPr>
        <w:t xml:space="preserve"> instead: the item is marked as having no document available, with a mandatory written reason, timestamped and attributed. A no-document declaration is a tracked outcome of the request item — it is visible to the Lead Tester and the CCO, is carried in the request register alongside received items, and does not silently satisfy the evidence checklist.</w:t>
      </w:r>
      <w:r>
        <w:rPr>
          <w:b w:val="0"/>
          <w:i w:val="0"/>
          <w:strike w:val="0"/>
        </w:rPr>
        <w:t xml:space="preserve"> </w:t>
      </w:r>
      <w:r>
        <w:rPr>
          <w:b w:val="0"/>
          <w:i/>
          <w:strike w:val="0"/>
          <w:color w:val="CC00CC"/>
          <w:sz w:val="16"/>
        </w:rPr>
        <w:t xml:space="preserve"> [14 Aug 2026 MOM]</w:t>
      </w:r>
    </w:p>
    <w:p>
      <w:pPr>
        <w:pStyle w:val="Heading3"/>
      </w:pPr>
      <w:r>
        <w:t>Tracking the delay</w:t>
      </w:r>
    </w:p>
    <w:p>
      <w:r>
        <w:rPr>
          <w:b/>
          <w:i w:val="0"/>
          <w:strike w:val="0"/>
          <w:color w:val="1155CC"/>
        </w:rPr>
        <w:t>[FR-85]</w:t>
      </w:r>
      <w:r>
        <w:rPr>
          <w:b w:val="0"/>
          <w:i w:val="0"/>
          <w:strike w:val="0"/>
        </w:rPr>
        <w:t xml:space="preserve"> </w:t>
      </w:r>
      <w:r>
        <w:rPr>
          <w:b/>
          <w:i/>
          <w:strike w:val="0"/>
          <w:color w:val="7030A0"/>
        </w:rPr>
        <w:t xml:space="preserve">Every request item records, at minimum: what was requested, who it was requested from, the </w:t>
      </w:r>
      <w:r>
        <w:rPr>
          <w:b/>
          <w:i/>
          <w:strike w:val="0"/>
          <w:color w:val="7030A0"/>
        </w:rPr>
        <w:t>date requested</w:t>
      </w:r>
      <w:r>
        <w:rPr>
          <w:b/>
          <w:i/>
          <w:strike w:val="0"/>
          <w:color w:val="7030A0"/>
        </w:rPr>
        <w:t xml:space="preserve">, the </w:t>
      </w:r>
      <w:r>
        <w:rPr>
          <w:b/>
          <w:i/>
          <w:strike w:val="0"/>
          <w:color w:val="7030A0"/>
        </w:rPr>
        <w:t>date evidence was received</w:t>
      </w:r>
      <w:r>
        <w:rPr>
          <w:b/>
          <w:i/>
          <w:strike w:val="0"/>
          <w:color w:val="7030A0"/>
        </w:rPr>
        <w:t>, and the elapsed time between the two. These dates are set by the platform, not typed in by a user.</w:t>
      </w:r>
      <w:r>
        <w:rPr>
          <w:b w:val="0"/>
          <w:i w:val="0"/>
          <w:strike w:val="0"/>
        </w:rPr>
        <w:t xml:space="preserve"> </w:t>
      </w:r>
      <w:r>
        <w:rPr>
          <w:b w:val="0"/>
          <w:i/>
          <w:strike w:val="0"/>
          <w:color w:val="7030A0"/>
          <w:sz w:val="16"/>
        </w:rPr>
        <w:t xml:space="preserve"> [Aug 2026 client MOM]</w:t>
      </w:r>
      <w:r>
        <w:rPr>
          <w:b w:val="0"/>
          <w:i w:val="0"/>
          <w:strike w:val="0"/>
        </w:rPr>
        <w:t xml:space="preserve"> </w:t>
      </w:r>
      <w:r>
        <w:rPr>
          <w:b/>
          <w:i/>
          <w:strike w:val="0"/>
          <w:color w:val="CC00CC"/>
        </w:rPr>
        <w:t xml:space="preserve">REVISED in v8.0: the record also captures </w:t>
      </w:r>
      <w:r>
        <w:rPr>
          <w:b/>
          <w:i/>
          <w:strike w:val="0"/>
          <w:color w:val="CC00CC"/>
        </w:rPr>
        <w:t>who uploaded</w:t>
      </w:r>
      <w:r>
        <w:rPr>
          <w:b/>
          <w:i/>
          <w:strike w:val="0"/>
          <w:color w:val="CC00CC"/>
        </w:rPr>
        <w:t xml:space="preserve"> the evidence — the identity of the person who satisfied the item, alongside the two dates. Confirmed 14 Aug with the dates restated: each request list item records when asked, when received, and who uploaded it.</w:t>
      </w:r>
      <w:r>
        <w:rPr>
          <w:b w:val="0"/>
          <w:i w:val="0"/>
          <w:strike w:val="0"/>
        </w:rPr>
        <w:t xml:space="preserve"> </w:t>
      </w:r>
      <w:r>
        <w:rPr>
          <w:b w:val="0"/>
          <w:i/>
          <w:strike w:val="0"/>
          <w:color w:val="CC00CC"/>
          <w:sz w:val="16"/>
        </w:rPr>
        <w:t xml:space="preserve"> [14 Aug 2026 MOM]</w:t>
      </w:r>
    </w:p>
    <w:p>
      <w:r>
        <w:rPr>
          <w:b/>
          <w:i w:val="0"/>
          <w:strike w:val="0"/>
          <w:color w:val="1155CC"/>
        </w:rPr>
        <w:t>[FR-109]</w:t>
      </w:r>
      <w:r>
        <w:rPr>
          <w:b w:val="0"/>
          <w:i w:val="0"/>
          <w:strike w:val="0"/>
        </w:rPr>
        <w:t xml:space="preserve"> </w:t>
      </w:r>
      <w:r>
        <w:rPr>
          <w:b/>
          <w:i/>
          <w:strike w:val="0"/>
          <w:color w:val="008080"/>
        </w:rPr>
        <w:t xml:space="preserve">The default response window on a request item is </w:t>
      </w:r>
      <w:r>
        <w:rPr>
          <w:b/>
          <w:i/>
          <w:strike w:val="0"/>
          <w:color w:val="008080"/>
        </w:rPr>
        <w:t>two weeks</w:t>
      </w:r>
      <w:r>
        <w:rPr>
          <w:b/>
          <w:i/>
          <w:strike w:val="0"/>
          <w:color w:val="008080"/>
        </w:rPr>
        <w:t xml:space="preserve"> from the date requested. This is the turnaround business units are normally given, and it is the baseline the FR-86 delay analytics measure against. The window is a platform default that the CCO can shorten or extend per request at issue time; any deviation from the default is recorded with the item so the analytics can distinguish a genuinely slow response from a deliberately short deadline. This resolves EV-04.</w:t>
      </w:r>
      <w:r>
        <w:rPr>
          <w:b w:val="0"/>
          <w:i w:val="0"/>
          <w:strike w:val="0"/>
        </w:rPr>
        <w:t xml:space="preserve"> </w:t>
      </w:r>
      <w:r>
        <w:rPr>
          <w:b w:val="0"/>
          <w:i/>
          <w:strike w:val="0"/>
          <w:color w:val="008080"/>
          <w:sz w:val="16"/>
        </w:rPr>
        <w:t xml:space="preserve"> [11 Aug 2026 MOM]</w:t>
      </w:r>
    </w:p>
    <w:p>
      <w:r>
        <w:rPr>
          <w:b/>
          <w:i w:val="0"/>
          <w:strike w:val="0"/>
          <w:color w:val="1155CC"/>
        </w:rPr>
        <w:t>[FR-86]</w:t>
      </w:r>
      <w:r>
        <w:rPr>
          <w:b w:val="0"/>
          <w:i w:val="0"/>
          <w:strike w:val="0"/>
        </w:rPr>
        <w:t xml:space="preserve"> </w:t>
      </w:r>
      <w:r>
        <w:rPr>
          <w:b/>
          <w:i/>
          <w:strike w:val="0"/>
          <w:color w:val="7030A0"/>
        </w:rPr>
        <w:t>Turnaround time is reportable, not just visible on a single record. The CCO can see, across a testing period: which requests are still outstanding and how long they have been open, average turnaround by business unit and by business owner, and which items were chased. This is the evidence base for the client's point that collection delays indicate weak internal control.</w:t>
      </w:r>
      <w:r>
        <w:rPr>
          <w:b w:val="0"/>
          <w:i w:val="0"/>
          <w:strike w:val="0"/>
        </w:rPr>
        <w:t xml:space="preserve"> </w:t>
      </w:r>
      <w:r>
        <w:rPr>
          <w:b w:val="0"/>
          <w:i/>
          <w:strike w:val="0"/>
          <w:color w:val="7030A0"/>
          <w:sz w:val="16"/>
        </w:rPr>
        <w:t xml:space="preserve"> [Aug 2026 client MOM]</w:t>
      </w:r>
    </w:p>
    <w:p>
      <w:r>
        <w:rPr>
          <w:b/>
          <w:i w:val="0"/>
          <w:strike w:val="0"/>
          <w:color w:val="1155CC"/>
        </w:rPr>
        <w:t>[FR-87]</w:t>
      </w:r>
      <w:r>
        <w:rPr>
          <w:b w:val="0"/>
          <w:i w:val="0"/>
          <w:strike w:val="0"/>
        </w:rPr>
        <w:t xml:space="preserve"> </w:t>
      </w:r>
      <w:r>
        <w:rPr>
          <w:b/>
          <w:i/>
          <w:strike w:val="0"/>
          <w:color w:val="7030A0"/>
        </w:rPr>
        <w:t>Outstanding request items surface on the CCO dashboard and drive the weekly outstanding-items digest already agreed in Section 12. A request that passes its due date escalates to the business owner and the CCO.</w:t>
      </w:r>
      <w:r>
        <w:rPr>
          <w:b w:val="0"/>
          <w:i w:val="0"/>
          <w:strike w:val="0"/>
        </w:rPr>
        <w:t xml:space="preserve"> </w:t>
      </w:r>
      <w:r>
        <w:rPr>
          <w:b w:val="0"/>
          <w:i/>
          <w:strike w:val="0"/>
          <w:color w:val="7030A0"/>
          <w:sz w:val="16"/>
        </w:rPr>
        <w:t xml:space="preserve"> [Aug 2026 client MOM]</w:t>
      </w:r>
    </w:p>
    <w:p>
      <w:pPr>
        <w:pStyle w:val="Heading3"/>
      </w:pPr>
      <w:r>
        <w:t>The platform is the only evidence channel</w:t>
      </w:r>
    </w:p>
    <w:p>
      <w:r>
        <w:rPr>
          <w:b/>
          <w:i w:val="0"/>
          <w:strike w:val="0"/>
          <w:color w:val="1155CC"/>
        </w:rPr>
        <w:t>[FR-108]</w:t>
      </w:r>
      <w:r>
        <w:rPr>
          <w:b w:val="0"/>
          <w:i w:val="0"/>
          <w:strike w:val="0"/>
        </w:rPr>
        <w:t xml:space="preserve"> </w:t>
      </w:r>
      <w:r>
        <w:rPr>
          <w:b/>
          <w:i/>
          <w:strike w:val="0"/>
          <w:color w:val="008080"/>
        </w:rPr>
        <w:t>All requested files are uploaded directly to the platform. Email attachments and messaging apps — WhatsApp was named explicitly — are not acceptable channels for evidence, because a file that arrives that way has no recorded request date, no recorded receipt date, no verification status and no place in the audit trail. The platform is the evidence repository of record: an item is only satisfied when the file exists against the request item inside ControlIQ. Where a business unit sends something by email anyway, the recipient uploads it to the request item, and the upload date — not the email date — is the recorded date received.</w:t>
      </w:r>
      <w:r>
        <w:rPr>
          <w:b w:val="0"/>
          <w:i w:val="0"/>
          <w:strike w:val="0"/>
        </w:rPr>
        <w:t xml:space="preserve"> </w:t>
      </w:r>
      <w:r>
        <w:rPr>
          <w:b w:val="0"/>
          <w:i/>
          <w:strike w:val="0"/>
          <w:color w:val="008080"/>
          <w:sz w:val="16"/>
        </w:rPr>
        <w:t xml:space="preserve"> [11 Aug 2026 MOM]</w:t>
      </w:r>
    </w:p>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v6.0)</w:t>
            </w:r>
          </w:p>
          <w:p>
            <w:r>
              <w:rPr>
                <w:b/>
                <w:i w:val="0"/>
                <w:strike w:val="0"/>
              </w:rPr>
              <w:t>📌 Note</w:t>
            </w:r>
          </w:p>
          <w:p>
            <w:pPr>
              <w:pStyle w:val="ListBullet"/>
            </w:pPr>
            <w:r>
              <w:rPr>
                <w:b/>
                <w:i/>
                <w:strike w:val="0"/>
                <w:color w:val="008080"/>
              </w:rPr>
              <w:t>FR-108 is an audit-trail requirement, not a preference, and it is the reason the EV-03 upload-surface question is on the critical path: telling business units "do not email it" only works if there is a route into the platform for someone who has no login. A rule with no usable alternative route will be ignored, and the evidence will go back to email.</w:t>
            </w:r>
            <w:r>
              <w:rPr>
                <w:b w:val="0"/>
                <w:i w:val="0"/>
                <w:strike w:val="0"/>
              </w:rPr>
              <w:t xml:space="preserve"> </w:t>
            </w:r>
            <w:r>
              <w:rPr>
                <w:b w:val="0"/>
                <w:i/>
                <w:strike w:val="0"/>
                <w:color w:val="008080"/>
                <w:sz w:val="16"/>
              </w:rPr>
              <w:t xml:space="preserve"> [11 Aug 2026 MOM]</w:t>
            </w:r>
          </w:p>
          <w:p>
            <w:pPr>
              <w:pStyle w:val="ListBullet"/>
            </w:pPr>
            <w:r>
              <w:rPr>
                <w:b/>
                <w:i/>
                <w:strike w:val="0"/>
                <w:color w:val="008080"/>
              </w:rPr>
              <w:t>No email-ingestion mailbox is in scope for MVP. If one is ever added it must create a request-item upload with the same date, status and verification handling as a direct upload — not a parallel evidence store.</w:t>
            </w:r>
            <w:r>
              <w:rPr>
                <w:b w:val="0"/>
                <w:i w:val="0"/>
                <w:strike w:val="0"/>
              </w:rPr>
              <w:t xml:space="preserve"> </w:t>
            </w:r>
            <w:r>
              <w:rPr>
                <w:b w:val="0"/>
                <w:i/>
                <w:strike w:val="0"/>
                <w:color w:val="008080"/>
                <w:sz w:val="16"/>
              </w:rPr>
              <w:t xml:space="preserve"> [11 Aug 2026 MOM]</w:t>
            </w:r>
          </w:p>
        </w:tc>
      </w:tr>
    </w:tbl>
    <w:p>
      <w:pPr>
        <w:pStyle w:val="Heading3"/>
      </w:pPr>
      <w:r>
        <w:t>Checking that the right document arrived</w:t>
      </w:r>
    </w:p>
    <w:p>
      <w:r>
        <w:rPr>
          <w:b/>
          <w:i w:val="0"/>
          <w:strike w:val="0"/>
          <w:color w:val="1155CC"/>
        </w:rPr>
        <w:t>[FR-88]</w:t>
      </w:r>
      <w:r>
        <w:rPr>
          <w:b w:val="0"/>
          <w:i w:val="0"/>
          <w:strike w:val="0"/>
        </w:rPr>
        <w:t xml:space="preserve"> </w:t>
      </w:r>
      <w:r>
        <w:rPr>
          <w:b/>
          <w:i/>
          <w:strike w:val="0"/>
          <w:color w:val="7030A0"/>
        </w:rPr>
        <w:t>Documents uploaded by the business side undergo an initial verification check to confirm the upload actually matches the item that was requested. This check may be performed by AI. The failure mode the client named directly is a user uploading a lunch receipt in place of a call tree — the check exists to catch obvious mismatches at the point of upload, before a tester's time is spent on it.</w:t>
      </w:r>
      <w:r>
        <w:rPr>
          <w:b w:val="0"/>
          <w:i w:val="0"/>
          <w:strike w:val="0"/>
        </w:rPr>
        <w:t xml:space="preserve"> </w:t>
      </w:r>
      <w:r>
        <w:rPr>
          <w:b w:val="0"/>
          <w:i/>
          <w:strike w:val="0"/>
          <w:color w:val="7030A0"/>
          <w:sz w:val="16"/>
        </w:rPr>
        <w:t xml:space="preserve"> [Aug 2026 client MOM]</w:t>
      </w:r>
    </w:p>
    <w:p>
      <w:r>
        <w:rPr>
          <w:b/>
          <w:i w:val="0"/>
          <w:strike w:val="0"/>
          <w:color w:val="1155CC"/>
        </w:rPr>
        <w:t>[FR-89]</w:t>
      </w:r>
      <w:r>
        <w:rPr>
          <w:b w:val="0"/>
          <w:i w:val="0"/>
          <w:strike w:val="0"/>
        </w:rPr>
        <w:t xml:space="preserve"> </w:t>
      </w:r>
      <w:r>
        <w:rPr>
          <w:b/>
          <w:i/>
          <w:strike w:val="0"/>
          <w:color w:val="7030A0"/>
        </w:rPr>
        <w:t>A failed match is a flag, not a rejection. The upload is retained, the request item is marked "possible mismatch", and both the uploader and the Lead Tester are notified so it can be corrected or confirmed. The platform does not delete or refuse a submitted document on the strength of an automated check.</w:t>
      </w:r>
      <w:r>
        <w:rPr>
          <w:b w:val="0"/>
          <w:i w:val="0"/>
          <w:strike w:val="0"/>
        </w:rPr>
        <w:t xml:space="preserve"> </w:t>
      </w:r>
      <w:r>
        <w:rPr>
          <w:b w:val="0"/>
          <w:i/>
          <w:strike w:val="0"/>
          <w:color w:val="7030A0"/>
          <w:sz w:val="16"/>
        </w:rPr>
        <w:t xml:space="preserve"> [Aug 2026 client MOM]</w:t>
      </w:r>
    </w:p>
    <w:p>
      <w:r>
        <w:rPr>
          <w:b/>
          <w:i w:val="0"/>
          <w:strike w:val="0"/>
          <w:color w:val="1155CC"/>
        </w:rPr>
        <w:t>[FR-90]</w:t>
      </w:r>
      <w:r>
        <w:rPr>
          <w:b w:val="0"/>
          <w:i w:val="0"/>
          <w:strike w:val="0"/>
        </w:rPr>
        <w:t xml:space="preserve"> </w:t>
      </w:r>
      <w:r>
        <w:rPr>
          <w:b/>
          <w:i/>
          <w:strike w:val="0"/>
          <w:color w:val="7030A0"/>
        </w:rPr>
        <w:t>Human verification remains mandatory. AI screening does not replace a person: for evidence relating to financial systems and critical controls, a named human must verify the document before it counts as accepted evidence. The client was explicit that this holds until a high level of comfort with the automated check has been reached — so the requirement is written as a configurable control, with mandatory human verification switched on for financial systems and critical controls at launch and the scope adjustable later without a code change.</w:t>
      </w:r>
      <w:r>
        <w:rPr>
          <w:b w:val="0"/>
          <w:i w:val="0"/>
          <w:strike w:val="0"/>
        </w:rPr>
        <w:t xml:space="preserve"> </w:t>
      </w:r>
      <w:r>
        <w:rPr>
          <w:b w:val="0"/>
          <w:i/>
          <w:strike w:val="0"/>
          <w:color w:val="7030A0"/>
          <w:sz w:val="16"/>
        </w:rPr>
        <w:t xml:space="preserve"> [Aug 2026 client MOM]</w:t>
      </w:r>
    </w:p>
    <w:p>
      <w:r>
        <w:rPr>
          <w:b/>
          <w:i w:val="0"/>
          <w:strike w:val="0"/>
          <w:color w:val="1155CC"/>
        </w:rPr>
        <w:t>[FR-91]</w:t>
      </w:r>
      <w:r>
        <w:rPr>
          <w:b w:val="0"/>
          <w:i w:val="0"/>
          <w:strike w:val="0"/>
        </w:rPr>
        <w:t xml:space="preserve"> </w:t>
      </w:r>
      <w:r>
        <w:rPr>
          <w:b/>
          <w:i/>
          <w:strike w:val="0"/>
          <w:color w:val="7030A0"/>
        </w:rPr>
        <w:t>Each request item carries a status: Requested → Received → Verified (or Mismatch Flagged / Rejected with reason). Only Verified items satisfy the evidence checklist for the test. Every transition is timestamped and attributed, and the whole request register is retained for the same minimum six years as the test it belongs to.</w:t>
      </w:r>
      <w:r>
        <w:rPr>
          <w:b w:val="0"/>
          <w:i w:val="0"/>
          <w:strike w:val="0"/>
        </w:rPr>
        <w:t xml:space="preserve"> </w:t>
      </w:r>
      <w:r>
        <w:rPr>
          <w:b w:val="0"/>
          <w:i/>
          <w:strike w:val="0"/>
          <w:color w:val="7030A0"/>
          <w:sz w:val="16"/>
        </w:rPr>
        <w:t xml:space="preserve"> [Aug 2026 client MOM]</w:t>
      </w:r>
    </w:p>
    <w:p>
      <w:r>
        <w:rPr>
          <w:b/>
          <w:i w:val="0"/>
          <w:strike w:val="0"/>
          <w:color w:val="1155CC"/>
        </w:rPr>
        <w:t>[FR-110]</w:t>
      </w:r>
      <w:r>
        <w:rPr>
          <w:b w:val="0"/>
          <w:i w:val="0"/>
          <w:strike w:val="0"/>
        </w:rPr>
        <w:t xml:space="preserve"> </w:t>
      </w:r>
      <w:r>
        <w:rPr>
          <w:b/>
          <w:i/>
          <w:strike w:val="0"/>
          <w:color w:val="008080"/>
        </w:rPr>
        <w:t xml:space="preserve">The FR-88 match check runs </w:t>
      </w:r>
      <w:r>
        <w:rPr>
          <w:b/>
          <w:i/>
          <w:strike w:val="0"/>
          <w:color w:val="008080"/>
        </w:rPr>
        <w:t>as files are uploaded</w:t>
      </w:r>
      <w:r>
        <w:rPr>
          <w:b/>
          <w:i/>
          <w:strike w:val="0"/>
          <w:color w:val="008080"/>
        </w:rPr>
        <w:t xml:space="preserve"> and gates the expensive downstream processing. The client's stated rationale on 11 Aug was cost as much as quality: running a full AI test over a document that turns out to be the wrong document burns AI tokens for nothing. So the cheap classification check runs first, at the point of upload, and only an item that passes it — or that a human confirms after a mismatch flag under FR-89 — is submitted for full AI-assisted analysis. The platform records, per request item, whether full processing was run, so the token cost of a test is attributable.</w:t>
      </w:r>
      <w:r>
        <w:rPr>
          <w:b w:val="0"/>
          <w:i w:val="0"/>
          <w:strike w:val="0"/>
        </w:rPr>
        <w:t xml:space="preserve"> </w:t>
      </w:r>
      <w:r>
        <w:rPr>
          <w:b w:val="0"/>
          <w:i/>
          <w:strike w:val="0"/>
          <w:color w:val="008080"/>
          <w:sz w:val="16"/>
        </w:rPr>
        <w:t xml:space="preserve"> [11 Aug 2026 MOM]</w:t>
      </w:r>
    </w:p>
    <w:p>
      <w:pPr>
        <w:pStyle w:val="Heading3"/>
      </w:pPr>
      <w:r>
        <w:t>Following up on missing or incorrect documents</w:t>
      </w:r>
    </w:p>
    <w:p>
      <w:r>
        <w:rPr>
          <w:b/>
          <w:i w:val="0"/>
          <w:strike w:val="0"/>
          <w:color w:val="1155CC"/>
        </w:rPr>
        <w:t>[FR-111]</w:t>
      </w:r>
      <w:r>
        <w:rPr>
          <w:b w:val="0"/>
          <w:i w:val="0"/>
          <w:strike w:val="0"/>
        </w:rPr>
        <w:t xml:space="preserve"> </w:t>
      </w:r>
      <w:r>
        <w:rPr>
          <w:b/>
          <w:i/>
          <w:strike w:val="0"/>
          <w:color w:val="008080"/>
        </w:rPr>
        <w:t>PROPOSED — NOT YET APPROVED FOR SCOPE. The meeting proposed a "request portal": a surface for structured back-and-forth between the tester and the business unit about a document that is missing, incomplete or incorrect — a thread against the request item where the tester states what is wrong, the business side responds or re-uploads, and the exchange is retained with the item. It would replace the email round-trip that FR-108 otherwise pushes people back into. The client asked for a development-effort assessment before committing to it, so it is recorded here as a candidate, not as agreed scope. It must not be estimated as a confirmed line item until that assessment is returned and a decision is taken — see EV-07.</w:t>
      </w:r>
      <w:r>
        <w:rPr>
          <w:b w:val="0"/>
          <w:i w:val="0"/>
          <w:strike w:val="0"/>
        </w:rPr>
        <w:t xml:space="preserve"> </w:t>
      </w:r>
      <w:r>
        <w:rPr>
          <w:b w:val="0"/>
          <w:i/>
          <w:strike w:val="0"/>
          <w:color w:val="008080"/>
          <w:sz w:val="16"/>
        </w:rPr>
        <w:t xml:space="preserve"> [11 Aug 2026 MOM]</w:t>
      </w:r>
    </w:p>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v6.0)</w:t>
            </w:r>
          </w:p>
          <w:p>
            <w:r>
              <w:rPr>
                <w:b/>
                <w:i w:val="0"/>
                <w:strike w:val="0"/>
              </w:rPr>
              <w:t>📌 Note</w:t>
            </w:r>
          </w:p>
          <w:p>
            <w:pPr>
              <w:pStyle w:val="ListBullet"/>
            </w:pPr>
            <w:r>
              <w:rPr>
                <w:b/>
                <w:i/>
                <w:strike w:val="0"/>
                <w:color w:val="008080"/>
              </w:rPr>
              <w:t>FR-111 overlaps three things that already exist: the FR-89 mismatch notification, the FR-84 supplementary request, and the EV-03 upload surface. A cheap version is a comment thread on the request item reusing whatever access route EV-03 settles on; an expensive version is a separate portal with its own identity, inbox and notification model. The effort assessment the client asked for should price both, because the answer to EV-03 largely determines which one is even possible. Tracked as GAP-16.</w:t>
            </w:r>
            <w:r>
              <w:rPr>
                <w:b w:val="0"/>
                <w:i w:val="0"/>
                <w:strike w:val="0"/>
              </w:rPr>
              <w:t xml:space="preserve"> </w:t>
            </w:r>
            <w:r>
              <w:rPr>
                <w:b w:val="0"/>
                <w:i/>
                <w:strike w:val="0"/>
                <w:color w:val="008080"/>
                <w:sz w:val="16"/>
              </w:rPr>
              <w:t xml:space="preserve"> [11 Aug 2026 MOM]</w:t>
            </w:r>
          </w:p>
          <w:p>
            <w:pPr>
              <w:pStyle w:val="ListBullet"/>
            </w:pPr>
            <w:r>
              <w:rPr>
                <w:b/>
                <w:i/>
                <w:strike w:val="0"/>
                <w:color w:val="008080"/>
              </w:rPr>
              <w:t>If FR-111 is declined, FR-84 and FR-89 remain the mechanism for chasing a bad document, and the exchange happens as a new request item rather than a conversation. That is a workable fallback and should be stated as such in the decision.</w:t>
            </w:r>
            <w:r>
              <w:rPr>
                <w:b w:val="0"/>
                <w:i w:val="0"/>
                <w:strike w:val="0"/>
              </w:rPr>
              <w:t xml:space="preserve"> </w:t>
            </w:r>
            <w:r>
              <w:rPr>
                <w:b w:val="0"/>
                <w:i/>
                <w:strike w:val="0"/>
                <w:color w:val="008080"/>
                <w:sz w:val="16"/>
              </w:rPr>
              <w:t xml:space="preserve"> [11 Aug 2026 MOM]</w:t>
            </w:r>
          </w:p>
        </w:tc>
      </w:tr>
    </w:tbl>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v5.0)</w:t>
            </w:r>
          </w:p>
          <w:p>
            <w:r>
              <w:rPr>
                <w:b/>
                <w:i w:val="0"/>
                <w:strike w:val="0"/>
              </w:rPr>
              <w:t>📌 Note</w:t>
            </w:r>
          </w:p>
          <w:p>
            <w:pPr>
              <w:pStyle w:val="ListBullet"/>
            </w:pPr>
            <w:r>
              <w:rPr>
                <w:b/>
                <w:i/>
                <w:strike w:val="0"/>
                <w:color w:val="7030A0"/>
              </w:rPr>
              <w:t>FR-88's check is a document-classification problem, not a content-audit problem: does this file plausibly appear to be the type of artefact requested? It should not be scoped as "does this document prove compliance" — that is the tester's job and is not being automated.</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FR-88 needs its own accuracy definition and UAT threshold in the same way the WSP mapping in Section 6.2 has the 85% commitment. That threshold has not been agreed for this feature — logged as EV-01 in Section 15. Do not assume the 85% figure carries across; it was agreed for a different feature against different verification vectors.</w:t>
            </w:r>
            <w:r>
              <w:rPr>
                <w:b w:val="0"/>
                <w:i w:val="0"/>
                <w:strike w:val="0"/>
              </w:rPr>
              <w:t xml:space="preserve"> </w:t>
            </w:r>
            <w:r>
              <w:rPr>
                <w:b w:val="0"/>
                <w:i/>
                <w:strike w:val="0"/>
                <w:color w:val="7030A0"/>
                <w:sz w:val="16"/>
              </w:rPr>
              <w:t xml:space="preserve"> [Aug 2026 client MOM]</w:t>
            </w:r>
          </w:p>
          <w:p>
            <w:pPr>
              <w:pStyle w:val="ListBullet"/>
            </w:pPr>
            <w:r>
              <w:rPr>
                <w:b/>
                <w:i/>
                <w:strike w:val="0"/>
                <w:color w:val="C00000"/>
              </w:rPr>
              <w:t>"Critical controls" needs a definition the platform can evaluate — logged as EV-02. This note previously offered two candidate mechanisms: the Critical / Important / Other classification DORA forced in FR-72, and the SA-10 priority. FR-72 is retired in v9.0, so the SA-10 priority is the only mechanism the platform still carries and EV-02 reduces to confirming it.</w:t>
            </w:r>
            <w:r>
              <w:rPr>
                <w:b w:val="0"/>
                <w:i w:val="0"/>
                <w:strike w:val="0"/>
              </w:rPr>
              <w:t xml:space="preserve"> </w:t>
            </w:r>
            <w:r>
              <w:rPr>
                <w:b w:val="0"/>
                <w:i/>
                <w:strike w:val="0"/>
                <w:color w:val="C00000"/>
                <w:sz w:val="16"/>
              </w:rPr>
              <w:t xml:space="preserve"> [Sep 2026 scope decision]</w:t>
            </w:r>
          </w:p>
          <w:p>
            <w:pPr>
              <w:pStyle w:val="ListBullet"/>
            </w:pPr>
            <w:r>
              <w:rPr>
                <w:b/>
                <w:i/>
                <w:strike w:val="0"/>
                <w:color w:val="C00000"/>
              </w:rPr>
              <w:t>Business unit owners may not be platform users. FR-83 and FR-88 imply an upload surface for people outside the system roles — logged as EV-03. RESOLVED in v9.0: the platform issues a scoped, expiring link tied to the specific test and business unit. The business owner does not become a login-bearing role. See FR-133 as revised.</w:t>
            </w:r>
            <w:r>
              <w:rPr>
                <w:b w:val="0"/>
                <w:i w:val="0"/>
                <w:strike w:val="0"/>
              </w:rPr>
              <w:t xml:space="preserve"> </w:t>
            </w:r>
            <w:r>
              <w:rPr>
                <w:b w:val="0"/>
                <w:i/>
                <w:strike w:val="0"/>
                <w:color w:val="C00000"/>
                <w:sz w:val="16"/>
              </w:rPr>
              <w:t xml:space="preserve"> [Sep 2026 scope decision]</w:t>
            </w:r>
          </w:p>
        </w:tc>
      </w:tr>
    </w:tbl>
    <w:tbl>
      <w:tblPr>
        <w:tblStyle w:val="TableGrid"/>
        <w:tblW w:type="auto" w:w="0"/>
        <w:tblLook w:firstColumn="1" w:firstRow="1" w:lastColumn="0" w:lastRow="0" w:noHBand="0" w:noVBand="1" w:val="04A0"/>
      </w:tblPr>
      <w:tblGrid>
        <w:gridCol w:w="8640"/>
      </w:tblGrid>
      <w:tr>
        <w:tc>
          <w:tcPr>
            <w:tcW w:type="dxa" w:w="8640"/>
            <w:shd w:val="clear" w:fill="FFF2CC"/>
          </w:tcPr>
          <w:p>
            <w:r>
              <w:rPr>
                <w:b/>
                <w:i w:val="0"/>
                <w:strike w:val="0"/>
              </w:rPr>
              <w:t>OPEN QUESTION</w:t>
            </w:r>
            <w:r>
              <w:rPr>
                <w:b w:val="0"/>
                <w:i w:val="0"/>
                <w:strike w:val="0"/>
              </w:rPr>
              <w:t xml:space="preserve"> </w:t>
            </w:r>
            <w:r>
              <w:rPr>
                <w:b w:val="0"/>
                <w:i/>
                <w:strike w:val="0"/>
              </w:rPr>
              <w:t>(amber — new in v5.0)</w:t>
            </w:r>
          </w:p>
          <w:p>
            <w:r>
              <w:rPr>
                <w:b/>
                <w:i w:val="0"/>
                <w:strike w:val="0"/>
              </w:rPr>
              <w:t>💬 Questions still to confirm</w:t>
            </w:r>
          </w:p>
          <w:p>
            <w:pPr>
              <w:pStyle w:val="ListBullet"/>
            </w:pPr>
            <w:r>
              <w:rPr>
                <w:b/>
                <w:i/>
                <w:strike w:val="0"/>
                <w:color w:val="008080"/>
              </w:rPr>
              <w:t>Request due dates (EV-04) — RESOLVED 11 Aug 2026: a two-week platform default, adjustable by the CCO per request, with any deviation recorded. See FR-109.</w:t>
            </w:r>
            <w:r>
              <w:rPr>
                <w:b w:val="0"/>
                <w:i w:val="0"/>
                <w:strike w:val="0"/>
              </w:rPr>
              <w:t xml:space="preserve"> </w:t>
            </w:r>
            <w:r>
              <w:rPr>
                <w:b w:val="0"/>
                <w:i/>
                <w:strike w:val="0"/>
                <w:color w:val="008080"/>
                <w:sz w:val="16"/>
              </w:rPr>
              <w:t xml:space="preserve"> [11 Aug 2026 MOM]</w:t>
            </w:r>
          </w:p>
          <w:p>
            <w:pPr>
              <w:pStyle w:val="ListBullet"/>
            </w:pPr>
            <w:r>
              <w:rPr>
                <w:b/>
                <w:i/>
                <w:strike w:val="0"/>
                <w:color w:val="7030A0"/>
              </w:rPr>
              <w:t>Announcement letter content (EV-05): is the letter a fixed platform template, a per-firm configurable template, or free text the CCO writes each time? A template is assumed above.</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Delay as a finding (EV-06): if a business unit is persistently late, does that automatically become a Finding under Section 8, or does it stay a management-information metric the CCO acts on by judgement? The client called delays an indicator of control failure, which points at the former, but it was not decided.</w:t>
            </w:r>
            <w:r>
              <w:rPr>
                <w:b w:val="0"/>
                <w:i w:val="0"/>
                <w:strike w:val="0"/>
              </w:rPr>
              <w:t xml:space="preserve"> </w:t>
            </w:r>
            <w:r>
              <w:rPr>
                <w:b w:val="0"/>
                <w:i/>
                <w:strike w:val="0"/>
                <w:color w:val="7030A0"/>
                <w:sz w:val="16"/>
              </w:rPr>
              <w:t xml:space="preserve"> [Aug 2026 client MOM]</w:t>
            </w:r>
          </w:p>
          <w:p>
            <w:pPr>
              <w:pStyle w:val="ListBullet"/>
            </w:pPr>
            <w:r>
              <w:rPr>
                <w:b/>
                <w:i/>
                <w:strike w:val="0"/>
                <w:color w:val="008080"/>
              </w:rPr>
              <w:t>Request portal (EV-07 — new in v6.0): is the FR-111 follow-up portal in scope? The client asked for a development-effort assessment first. This is a scope decision, not a design question, and it needs an answer before the Section 7.4 estimate is final.</w:t>
            </w:r>
            <w:r>
              <w:rPr>
                <w:b w:val="0"/>
                <w:i w:val="0"/>
                <w:strike w:val="0"/>
              </w:rPr>
              <w:t xml:space="preserve"> </w:t>
            </w:r>
            <w:r>
              <w:rPr>
                <w:b w:val="0"/>
                <w:i/>
                <w:strike w:val="0"/>
                <w:color w:val="008080"/>
                <w:sz w:val="16"/>
              </w:rPr>
              <w:t xml:space="preserve"> [11 Aug 2026 MOM]</w:t>
            </w:r>
          </w:p>
        </w:tc>
      </w:tr>
    </w:tbl>
    <w:tbl>
      <w:tblPr>
        <w:tblStyle w:val="TableGrid"/>
        <w:tblW w:type="auto" w:w="0"/>
        <w:tblLook w:firstColumn="1" w:firstRow="1" w:lastColumn="0" w:lastRow="0" w:noHBand="0" w:noVBand="1" w:val="04A0"/>
      </w:tblPr>
      <w:tblGrid>
        <w:gridCol w:w="8640"/>
      </w:tblGrid>
      <w:tr>
        <w:tc>
          <w:tcPr>
            <w:tcW w:type="dxa" w:w="8640"/>
            <w:shd w:val="clear" w:fill="E2EFDA"/>
          </w:tcPr>
          <w:p>
            <w:r>
              <w:rPr>
                <w:b/>
                <w:i w:val="0"/>
                <w:strike w:val="0"/>
              </w:rPr>
              <w:t>CONFIRMED</w:t>
            </w:r>
            <w:r>
              <w:rPr>
                <w:b w:val="0"/>
                <w:i w:val="0"/>
                <w:strike w:val="0"/>
              </w:rPr>
              <w:t xml:space="preserve"> </w:t>
            </w:r>
            <w:r>
              <w:rPr>
                <w:b w:val="0"/>
                <w:i/>
                <w:strike w:val="0"/>
              </w:rPr>
              <w:t>(green — agreed 11 Aug 2026)</w:t>
            </w:r>
          </w:p>
          <w:p>
            <w:r>
              <w:rPr>
                <w:b/>
                <w:i w:val="0"/>
                <w:strike w:val="0"/>
              </w:rPr>
              <w:t>✅ What we have agreed</w:t>
            </w:r>
          </w:p>
          <w:p>
            <w:pPr>
              <w:pStyle w:val="ListBullet"/>
            </w:pPr>
            <w:r>
              <w:rPr>
                <w:b/>
                <w:i/>
                <w:strike w:val="0"/>
                <w:color w:val="008080"/>
              </w:rPr>
              <w:t>Testing opens with an announcement letter and an initial request list to the relevant business unit. Confirms FR-83 unchanged.</w:t>
            </w:r>
            <w:r>
              <w:rPr>
                <w:b w:val="0"/>
                <w:i w:val="0"/>
                <w:strike w:val="0"/>
              </w:rPr>
              <w:t xml:space="preserve"> </w:t>
            </w:r>
            <w:r>
              <w:rPr>
                <w:b w:val="0"/>
                <w:i/>
                <w:strike w:val="0"/>
                <w:color w:val="008080"/>
                <w:sz w:val="16"/>
              </w:rPr>
              <w:t xml:space="preserve"> [11 Aug 2026 MOM]</w:t>
            </w:r>
          </w:p>
          <w:p>
            <w:pPr>
              <w:pStyle w:val="ListBullet"/>
            </w:pPr>
            <w:r>
              <w:rPr>
                <w:b/>
                <w:i/>
                <w:strike w:val="0"/>
                <w:color w:val="008080"/>
              </w:rPr>
              <w:t>Business units are normally given a two-week window to upload the requested files (FR-109).</w:t>
            </w:r>
            <w:r>
              <w:rPr>
                <w:b w:val="0"/>
                <w:i w:val="0"/>
                <w:strike w:val="0"/>
              </w:rPr>
              <w:t xml:space="preserve"> </w:t>
            </w:r>
            <w:r>
              <w:rPr>
                <w:b w:val="0"/>
                <w:i/>
                <w:strike w:val="0"/>
                <w:color w:val="008080"/>
                <w:sz w:val="16"/>
              </w:rPr>
              <w:t xml:space="preserve"> [11 Aug 2026 MOM]</w:t>
            </w:r>
          </w:p>
          <w:p>
            <w:pPr>
              <w:pStyle w:val="ListBullet"/>
            </w:pPr>
            <w:r>
              <w:rPr>
                <w:b/>
                <w:i/>
                <w:strike w:val="0"/>
                <w:color w:val="008080"/>
              </w:rPr>
              <w:t>The platform tags both the date requested and the date received, and that pairing exists to give the CCO an accountability layer. Confirms FR-85 to FR-87 — the client independently restated the accountability purpose, which is the reason the delay analytics are in scope at all.</w:t>
            </w:r>
            <w:r>
              <w:rPr>
                <w:b w:val="0"/>
                <w:i w:val="0"/>
                <w:strike w:val="0"/>
              </w:rPr>
              <w:t xml:space="preserve"> </w:t>
            </w:r>
            <w:r>
              <w:rPr>
                <w:b w:val="0"/>
                <w:i/>
                <w:strike w:val="0"/>
                <w:color w:val="008080"/>
                <w:sz w:val="16"/>
              </w:rPr>
              <w:t xml:space="preserve"> [11 Aug 2026 MOM]</w:t>
            </w:r>
          </w:p>
          <w:p>
            <w:pPr>
              <w:pStyle w:val="ListBullet"/>
            </w:pPr>
            <w:r>
              <w:rPr>
                <w:b/>
                <w:i/>
                <w:strike w:val="0"/>
                <w:color w:val="008080"/>
              </w:rPr>
              <w:t>All files are uploaded to the platform, not sent by email or WhatsApp, to keep a secure audit trail (FR-108).</w:t>
            </w:r>
            <w:r>
              <w:rPr>
                <w:b w:val="0"/>
                <w:i w:val="0"/>
                <w:strike w:val="0"/>
              </w:rPr>
              <w:t xml:space="preserve"> </w:t>
            </w:r>
            <w:r>
              <w:rPr>
                <w:b w:val="0"/>
                <w:i/>
                <w:strike w:val="0"/>
                <w:color w:val="008080"/>
                <w:sz w:val="16"/>
              </w:rPr>
              <w:t xml:space="preserve"> [11 Aug 2026 MOM]</w:t>
            </w:r>
          </w:p>
          <w:p>
            <w:pPr>
              <w:pStyle w:val="ListBullet"/>
            </w:pPr>
            <w:r>
              <w:rPr>
                <w:b/>
                <w:i/>
                <w:strike w:val="0"/>
                <w:color w:val="008080"/>
              </w:rPr>
              <w:t>AI checks each upload against what was requested as files arrive — the lunch-receipt-instead-of-call-tree case — which also avoids spending AI tokens on a full test of the wrong document (FR-88, FR-110).</w:t>
            </w:r>
            <w:r>
              <w:rPr>
                <w:b w:val="0"/>
                <w:i w:val="0"/>
                <w:strike w:val="0"/>
              </w:rPr>
              <w:t xml:space="preserve"> </w:t>
            </w:r>
            <w:r>
              <w:rPr>
                <w:b w:val="0"/>
                <w:i/>
                <w:strike w:val="0"/>
                <w:color w:val="008080"/>
                <w:sz w:val="16"/>
              </w:rPr>
              <w:t xml:space="preserve"> [11 Aug 2026 MOM]</w:t>
            </w:r>
          </w:p>
        </w:tc>
      </w:tr>
    </w:tbl>
    <w:tbl>
      <w:tblPr>
        <w:tblStyle w:val="TableGrid"/>
        <w:tblW w:type="auto" w:w="0"/>
        <w:tblLook w:firstColumn="1" w:firstRow="1" w:lastColumn="0" w:lastRow="0" w:noHBand="0" w:noVBand="1" w:val="04A0"/>
      </w:tblPr>
      <w:tblGrid>
        <w:gridCol w:w="8640"/>
      </w:tblGrid>
      <w:tr>
        <w:tc>
          <w:tcPr>
            <w:tcW w:type="dxa" w:w="8640"/>
            <w:shd w:val="clear" w:fill="E2EFDA"/>
          </w:tcPr>
          <w:p>
            <w:r>
              <w:rPr>
                <w:b/>
                <w:i w:val="0"/>
                <w:strike w:val="0"/>
              </w:rPr>
              <w:t>CONFIRMED</w:t>
            </w:r>
            <w:r>
              <w:rPr>
                <w:b w:val="0"/>
                <w:i w:val="0"/>
                <w:strike w:val="0"/>
              </w:rPr>
              <w:t xml:space="preserve"> </w:t>
            </w:r>
            <w:r>
              <w:rPr>
                <w:b w:val="0"/>
                <w:i/>
                <w:strike w:val="0"/>
              </w:rPr>
              <w:t>(green — agreed 14 Aug 2026)</w:t>
            </w:r>
          </w:p>
          <w:p>
            <w:r>
              <w:rPr>
                <w:b/>
                <w:i w:val="0"/>
                <w:strike w:val="0"/>
              </w:rPr>
              <w:t>✅ What we have agreed</w:t>
            </w:r>
          </w:p>
          <w:p>
            <w:pPr>
              <w:pStyle w:val="ListBullet"/>
            </w:pPr>
            <w:r>
              <w:rPr>
                <w:b/>
                <w:i/>
                <w:strike w:val="0"/>
                <w:color w:val="CC00CC"/>
              </w:rPr>
              <w:t>The announcement letter goes out to all relevant business units via a distribution list when the CCO creates the test and sets its start and end dates (FR-83, FR-132).</w:t>
            </w:r>
            <w:r>
              <w:rPr>
                <w:b w:val="0"/>
                <w:i w:val="0"/>
                <w:strike w:val="0"/>
              </w:rPr>
              <w:t xml:space="preserve"> </w:t>
            </w:r>
            <w:r>
              <w:rPr>
                <w:b w:val="0"/>
                <w:i/>
                <w:strike w:val="0"/>
                <w:color w:val="CC00CC"/>
                <w:sz w:val="16"/>
              </w:rPr>
              <w:t xml:space="preserve"> [14 Aug 2026 MOM]</w:t>
            </w:r>
          </w:p>
          <w:p>
            <w:pPr>
              <w:pStyle w:val="ListBullet"/>
            </w:pPr>
            <w:r>
              <w:rPr>
                <w:b/>
                <w:i/>
                <w:strike w:val="0"/>
                <w:color w:val="CC00CC"/>
              </w:rPr>
              <w:t>Each request list item is mapped to a business unit (FR-131).</w:t>
            </w:r>
            <w:r>
              <w:rPr>
                <w:b w:val="0"/>
                <w:i w:val="0"/>
                <w:strike w:val="0"/>
              </w:rPr>
              <w:t xml:space="preserve"> </w:t>
            </w:r>
            <w:r>
              <w:rPr>
                <w:b w:val="0"/>
                <w:i/>
                <w:strike w:val="0"/>
                <w:color w:val="CC00CC"/>
                <w:sz w:val="16"/>
              </w:rPr>
              <w:t xml:space="preserve"> [14 Aug 2026 MOM]</w:t>
            </w:r>
          </w:p>
          <w:p>
            <w:pPr>
              <w:pStyle w:val="ListBullet"/>
            </w:pPr>
            <w:r>
              <w:rPr>
                <w:b/>
                <w:i/>
                <w:strike w:val="0"/>
                <w:color w:val="CC00CC"/>
              </w:rPr>
              <w:t>The business owner follows the link in the letter to the test and all request items on their side (FR-133). Resolves TS-04.</w:t>
            </w:r>
            <w:r>
              <w:rPr>
                <w:b w:val="0"/>
                <w:i w:val="0"/>
                <w:strike w:val="0"/>
              </w:rPr>
              <w:t xml:space="preserve"> </w:t>
            </w:r>
            <w:r>
              <w:rPr>
                <w:b w:val="0"/>
                <w:i/>
                <w:strike w:val="0"/>
                <w:color w:val="CC00CC"/>
                <w:sz w:val="16"/>
              </w:rPr>
              <w:t xml:space="preserve"> [14 Aug 2026 MOM]</w:t>
            </w:r>
            <w:r>
              <w:rPr>
                <w:b w:val="0"/>
                <w:i w:val="0"/>
                <w:strike w:val="0"/>
              </w:rPr>
              <w:t xml:space="preserve"> </w:t>
            </w:r>
            <w:r>
              <w:rPr>
                <w:b/>
                <w:i/>
                <w:strike w:val="0"/>
                <w:color w:val="C00000"/>
              </w:rPr>
              <w:t>Superseded in v9.0 on the surface only: a scoped expiring link, not a dashboard. What they see is unchanged.</w:t>
            </w:r>
            <w:r>
              <w:rPr>
                <w:b w:val="0"/>
                <w:i w:val="0"/>
                <w:strike w:val="0"/>
              </w:rPr>
              <w:t xml:space="preserve"> </w:t>
            </w:r>
            <w:r>
              <w:rPr>
                <w:b w:val="0"/>
                <w:i/>
                <w:strike w:val="0"/>
                <w:color w:val="C00000"/>
                <w:sz w:val="16"/>
              </w:rPr>
              <w:t xml:space="preserve"> [Sep 2026 scope decision]</w:t>
            </w:r>
          </w:p>
          <w:p>
            <w:pPr>
              <w:pStyle w:val="ListBullet"/>
            </w:pPr>
            <w:r>
              <w:rPr>
                <w:b/>
                <w:i/>
                <w:strike w:val="0"/>
                <w:color w:val="CC00CC"/>
              </w:rPr>
              <w:t>Against each request item the business owner uploads the document, or the reason is recorded where no document exists (FR-134).</w:t>
            </w:r>
            <w:r>
              <w:rPr>
                <w:b w:val="0"/>
                <w:i w:val="0"/>
                <w:strike w:val="0"/>
              </w:rPr>
              <w:t xml:space="preserve"> </w:t>
            </w:r>
            <w:r>
              <w:rPr>
                <w:b w:val="0"/>
                <w:i/>
                <w:strike w:val="0"/>
                <w:color w:val="CC00CC"/>
                <w:sz w:val="16"/>
              </w:rPr>
              <w:t xml:space="preserve"> [14 Aug 2026 MOM]</w:t>
            </w:r>
          </w:p>
          <w:p>
            <w:pPr>
              <w:pStyle w:val="ListBullet"/>
            </w:pPr>
            <w:r>
              <w:rPr>
                <w:b/>
                <w:i/>
                <w:strike w:val="0"/>
                <w:color w:val="CC00CC"/>
              </w:rPr>
              <w:t>Business units upload the required evidence files, which are validated and verified by the AI engine to identify the gaps. Confirms the FR-88 / FR-110 / FR-112 chain unchanged.</w:t>
            </w:r>
            <w:r>
              <w:rPr>
                <w:b w:val="0"/>
                <w:i w:val="0"/>
                <w:strike w:val="0"/>
              </w:rPr>
              <w:t xml:space="preserve"> </w:t>
            </w:r>
            <w:r>
              <w:rPr>
                <w:b w:val="0"/>
                <w:i/>
                <w:strike w:val="0"/>
                <w:color w:val="CC00CC"/>
                <w:sz w:val="16"/>
              </w:rPr>
              <w:t xml:space="preserve"> [14 Aug 2026 MOM]</w:t>
            </w:r>
          </w:p>
          <w:p>
            <w:pPr>
              <w:pStyle w:val="ListBullet"/>
            </w:pPr>
            <w:r>
              <w:rPr>
                <w:b/>
                <w:i/>
                <w:strike w:val="0"/>
                <w:color w:val="CC00CC"/>
              </w:rPr>
              <w:t>Each request item records when it was asked, when it was received, and who uploaded it (FR-85 revised).</w:t>
            </w:r>
            <w:r>
              <w:rPr>
                <w:b w:val="0"/>
                <w:i w:val="0"/>
                <w:strike w:val="0"/>
              </w:rPr>
              <w:t xml:space="preserve"> </w:t>
            </w:r>
            <w:r>
              <w:rPr>
                <w:b w:val="0"/>
                <w:i/>
                <w:strike w:val="0"/>
                <w:color w:val="CC00CC"/>
                <w:sz w:val="16"/>
              </w:rPr>
              <w:t xml:space="preserve"> [14 Aug 2026 MOM]</w:t>
            </w:r>
          </w:p>
        </w:tc>
      </w:tr>
    </w:tbl>
    <w:p>
      <w:pPr>
        <w:pStyle w:val="Heading2"/>
      </w:pPr>
      <w:r>
        <w:t>7.5 Identifying Gaps Between Firm Policy and Regulation</w:t>
      </w:r>
    </w:p>
    <w:p>
      <w:r>
        <w:rPr>
          <w:b/>
          <w:i/>
          <w:strike w:val="0"/>
          <w:color w:val="008080"/>
        </w:rPr>
        <w:t>NEW in v6.0 — from the 11 August 2026 meeting.</w:t>
      </w:r>
      <w:r>
        <w:rPr>
          <w:b w:val="0"/>
          <w:i w:val="0"/>
          <w:strike w:val="0"/>
        </w:rPr>
        <w:t xml:space="preserve"> </w:t>
      </w:r>
      <w:r>
        <w:rPr>
          <w:b w:val="0"/>
          <w:i/>
          <w:strike w:val="0"/>
          <w:color w:val="008080"/>
          <w:sz w:val="16"/>
        </w:rPr>
        <w:t xml:space="preserve"> [11 Aug 2026 MOM]</w:t>
      </w:r>
    </w:p>
    <w:p>
      <w:r>
        <w:rPr>
          <w:b w:val="0"/>
          <w:i w:val="0"/>
          <w:strike w:val="0"/>
        </w:rPr>
        <w:t>Once the evidence for a test has been collected and reviewed, the platform does not simply wait for the tester to write down a conclusion. It compares what the firm's own policies and evidence actually show against what the regulation requires for the articles in scope, and surfaces the places where the two do not meet.</w:t>
      </w:r>
    </w:p>
    <w:p>
      <w:r>
        <w:rPr>
          <w:b/>
          <w:i w:val="0"/>
          <w:strike w:val="0"/>
          <w:color w:val="1155CC"/>
        </w:rPr>
        <w:t>[FR-112]</w:t>
      </w:r>
      <w:r>
        <w:rPr>
          <w:b w:val="0"/>
          <w:i w:val="0"/>
          <w:strike w:val="0"/>
        </w:rPr>
        <w:t xml:space="preserve"> </w:t>
      </w:r>
      <w:r>
        <w:rPr>
          <w:b/>
          <w:i/>
          <w:strike w:val="0"/>
          <w:color w:val="008080"/>
        </w:rPr>
        <w:t>After the evidence for a test has been reviewed, the platform identifies gaps: points where the firm's policies, procedures or produced evidence do not map to a requirement of the regulation articles in the test's scope. Each gap names the article it fails against, what was expected, and what was found or missing. Gaps are presented to the Lead Tester as candidates — the tester confirms, dismisses with a reason, or edits each one. A confirmed gap is what becomes a Finding under Section 8, carrying its article reference into FR-40. Dismissals are retained with their reason.</w:t>
      </w:r>
      <w:r>
        <w:rPr>
          <w:b w:val="0"/>
          <w:i w:val="0"/>
          <w:strike w:val="0"/>
        </w:rPr>
        <w:t xml:space="preserve"> </w:t>
      </w:r>
      <w:r>
        <w:rPr>
          <w:b w:val="0"/>
          <w:i/>
          <w:strike w:val="0"/>
          <w:color w:val="008080"/>
          <w:sz w:val="16"/>
        </w:rPr>
        <w:t xml:space="preserve"> [11 Aug 2026 MOM]</w:t>
      </w:r>
    </w:p>
    <w:p>
      <w:r>
        <w:rPr>
          <w:b/>
          <w:i w:val="0"/>
          <w:strike w:val="0"/>
          <w:color w:val="1155CC"/>
        </w:rPr>
        <w:t>[FR-135]</w:t>
      </w:r>
      <w:r>
        <w:rPr>
          <w:b w:val="0"/>
          <w:i w:val="0"/>
          <w:strike w:val="0"/>
        </w:rPr>
        <w:t xml:space="preserve"> </w:t>
      </w:r>
      <w:r>
        <w:rPr>
          <w:b/>
          <w:i/>
          <w:strike w:val="0"/>
          <w:color w:val="CC00CC"/>
        </w:rPr>
        <w:t xml:space="preserve">Gap review happens inside test execution, step by step: as the Lead Tester works through each step of the test (Section 7.1, step 3), the AI-identified gaps relevant to that step are shown against it, and the tester records the </w:t>
      </w:r>
      <w:r>
        <w:rPr>
          <w:b/>
          <w:i/>
          <w:strike w:val="0"/>
          <w:color w:val="CC00CC"/>
        </w:rPr>
        <w:t>status of each step</w:t>
      </w:r>
      <w:r>
        <w:rPr>
          <w:b/>
          <w:i/>
          <w:strike w:val="0"/>
          <w:color w:val="CC00CC"/>
        </w:rPr>
        <w:t xml:space="preserve"> accordingly. The per-step status is the tester's working verdict on that step in light of the gaps shown; the overall Pass / Fail / Observation result (step 7) and the FR-112 confirm/dismiss decisions still apply on top. Per-step statuses are timestamped, attributed and retained, so the execution record shows not only what was concluded but the state of each step along the way.</w:t>
      </w:r>
      <w:r>
        <w:rPr>
          <w:b w:val="0"/>
          <w:i w:val="0"/>
          <w:strike w:val="0"/>
        </w:rPr>
        <w:t xml:space="preserve"> </w:t>
      </w:r>
      <w:r>
        <w:rPr>
          <w:b w:val="0"/>
          <w:i/>
          <w:strike w:val="0"/>
          <w:color w:val="CC00CC"/>
          <w:sz w:val="16"/>
        </w:rPr>
        <w:t xml:space="preserve"> [14 Aug 2026 MOM]</w:t>
      </w:r>
      <w:r>
        <w:rPr>
          <w:b w:val="0"/>
          <w:i w:val="0"/>
          <w:strike w:val="0"/>
        </w:rPr>
        <w:t xml:space="preserve"> </w:t>
      </w:r>
      <w:r>
        <w:rPr>
          <w:b/>
          <w:i/>
          <w:strike w:val="0"/>
          <w:color w:val="2E7D32"/>
        </w:rPr>
        <w:t>v10.0: this applies to every step, including a step that requires no sampling under SA-27 — see FR-142.</w:t>
      </w:r>
      <w:r>
        <w:rPr>
          <w:b w:val="0"/>
          <w:i w:val="0"/>
          <w:strike w:val="0"/>
        </w:rPr>
        <w:t xml:space="preserve"> </w:t>
      </w:r>
      <w:r>
        <w:rPr>
          <w:b w:val="0"/>
          <w:i/>
          <w:strike w:val="0"/>
          <w:color w:val="2E7D32"/>
          <w:sz w:val="16"/>
        </w:rPr>
        <w:t xml:space="preserve"> [Sep 2026 model revision]</w:t>
      </w:r>
    </w:p>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v6.0)</w:t>
            </w:r>
          </w:p>
          <w:p>
            <w:r>
              <w:rPr>
                <w:b/>
                <w:i w:val="0"/>
                <w:strike w:val="0"/>
              </w:rPr>
              <w:t>📌 Note</w:t>
            </w:r>
          </w:p>
          <w:p>
            <w:pPr>
              <w:pStyle w:val="ListBullet"/>
            </w:pPr>
            <w:r>
              <w:rPr>
                <w:b/>
                <w:i/>
                <w:strike w:val="0"/>
                <w:color w:val="008080"/>
              </w:rPr>
              <w:t>FR-112 is closely related to the WSP gap analysis in FR-34 but is not the same feature and must not be silently merged with it. FR-34 asks a static question at the document level — does the firm's manual have a section mapped to every Requirement ID it needs. FR-112 asks a per-test question against the evidence actually produced for a specific scope period. The same underlying article-to-policy mapping serves both, which is where the reuse is; the trigger, the inputs and the output are different. Tracked as GAP-17.</w:t>
            </w:r>
            <w:r>
              <w:rPr>
                <w:b w:val="0"/>
                <w:i w:val="0"/>
                <w:strike w:val="0"/>
              </w:rPr>
              <w:t xml:space="preserve"> </w:t>
            </w:r>
            <w:r>
              <w:rPr>
                <w:b w:val="0"/>
                <w:i/>
                <w:strike w:val="0"/>
                <w:color w:val="008080"/>
                <w:sz w:val="16"/>
              </w:rPr>
              <w:t xml:space="preserve"> [11 Aug 2026 MOM]</w:t>
            </w:r>
          </w:p>
          <w:p>
            <w:pPr>
              <w:pStyle w:val="ListBullet"/>
            </w:pPr>
            <w:r>
              <w:rPr>
                <w:b/>
                <w:i/>
                <w:strike w:val="0"/>
                <w:color w:val="008080"/>
              </w:rPr>
              <w:t>This is AI-assisted analysis over evidence and policy text, and it inherits the FR-31 pattern without exception: suggestions to a human, never an automatic determination. The tester's confirmation is what creates the Finding. It also inherits FR-110's ordering — it runs on verified evidence, after the cheap match check has passed.</w:t>
            </w:r>
            <w:r>
              <w:rPr>
                <w:b w:val="0"/>
                <w:i w:val="0"/>
                <w:strike w:val="0"/>
              </w:rPr>
              <w:t xml:space="preserve"> </w:t>
            </w:r>
            <w:r>
              <w:rPr>
                <w:b w:val="0"/>
                <w:i/>
                <w:strike w:val="0"/>
                <w:color w:val="008080"/>
                <w:sz w:val="16"/>
              </w:rPr>
              <w:t xml:space="preserve"> [11 Aug 2026 MOM]</w:t>
            </w:r>
          </w:p>
          <w:p>
            <w:pPr>
              <w:pStyle w:val="ListBullet"/>
            </w:pPr>
            <w:r>
              <w:rPr>
                <w:b/>
                <w:i/>
                <w:strike w:val="0"/>
                <w:color w:val="008080"/>
              </w:rPr>
              <w:t>No accuracy threshold has been agreed for this feature. As with EV-01, do not assume the Section 6.2 85% WSP-mapping figure carries across — different inputs, different verification vectors. Logged as EV-08.</w:t>
            </w:r>
            <w:r>
              <w:rPr>
                <w:b w:val="0"/>
                <w:i w:val="0"/>
                <w:strike w:val="0"/>
              </w:rPr>
              <w:t xml:space="preserve"> </w:t>
            </w:r>
            <w:r>
              <w:rPr>
                <w:b w:val="0"/>
                <w:i/>
                <w:strike w:val="0"/>
                <w:color w:val="008080"/>
                <w:sz w:val="16"/>
              </w:rPr>
              <w:t xml:space="preserve"> [11 Aug 2026 MOM]</w:t>
            </w:r>
          </w:p>
        </w:tc>
      </w:tr>
    </w:tbl>
    <w:p>
      <w:pPr>
        <w:pStyle w:val="Heading1"/>
      </w:pPr>
      <w:r>
        <w:t>8. Findings and Fixing Problems</w:t>
      </w:r>
    </w:p>
    <w:p>
      <w:r>
        <w:rPr>
          <w:b w:val="0"/>
          <w:i w:val="0"/>
          <w:strike w:val="0"/>
        </w:rPr>
        <w:t>When a test uncovers a compliance problem — whether it is a clear breach, a gap in procedures, or something that just needs watching — it becomes a Finding. Every Finding needs to be tracked from discovery through to resolution. This section describes how that tracking works.</w:t>
      </w:r>
    </w:p>
    <w:p>
      <w:pPr>
        <w:pStyle w:val="Heading2"/>
      </w:pPr>
      <w:r>
        <w:t>8.1 How Serious Is It?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Rating</w:t>
            </w:r>
          </w:p>
        </w:tc>
        <w:tc>
          <w:tcPr>
            <w:tcW w:type="dxa" w:w="2880"/>
            <w:shd w:val="clear" w:fill="1F4E79"/>
          </w:tcPr>
          <w:p>
            <w:r>
              <w:rPr>
                <w:b/>
                <w:color w:val="FFFFFF"/>
              </w:rPr>
            </w:r>
            <w:r>
              <w:rPr>
                <w:b/>
                <w:i w:val="0"/>
                <w:strike w:val="0"/>
                <w:color w:val="FFFFFF"/>
              </w:rPr>
              <w:t>What it means</w:t>
            </w:r>
          </w:p>
        </w:tc>
        <w:tc>
          <w:tcPr>
            <w:tcW w:type="dxa" w:w="2880"/>
            <w:shd w:val="clear" w:fill="1F4E79"/>
          </w:tcPr>
          <w:p>
            <w:r>
              <w:rPr>
                <w:b/>
                <w:color w:val="FFFFFF"/>
              </w:rPr>
            </w:r>
            <w:r>
              <w:rPr>
                <w:b/>
                <w:i w:val="0"/>
                <w:strike w:val="0"/>
                <w:color w:val="FFFFFF"/>
              </w:rPr>
              <w:t>What happens next</w:t>
            </w:r>
          </w:p>
        </w:tc>
      </w:tr>
      <w:tr>
        <w:tc>
          <w:tcPr>
            <w:tcW w:type="dxa" w:w="2880"/>
          </w:tcPr>
          <w:p>
            <w:r/>
            <w:r>
              <w:rPr>
                <w:b w:val="0"/>
                <w:i w:val="0"/>
                <w:strike w:val="0"/>
              </w:rPr>
              <w:t>High</w:t>
            </w:r>
          </w:p>
        </w:tc>
        <w:tc>
          <w:tcPr>
            <w:tcW w:type="dxa" w:w="2880"/>
          </w:tcPr>
          <w:p>
            <w:r/>
            <w:r>
              <w:rPr>
                <w:b w:val="0"/>
                <w:i w:val="0"/>
                <w:strike w:val="0"/>
              </w:rPr>
              <w:t>Three or more findings in a test, OR any single finding that represents a direct breach of a regulation or the complete absence of a required control</w:t>
            </w:r>
          </w:p>
        </w:tc>
        <w:tc>
          <w:tcPr>
            <w:tcW w:type="dxa" w:w="2880"/>
          </w:tcPr>
          <w:p>
            <w:r/>
            <w:r>
              <w:rPr>
                <w:b w:val="0"/>
                <w:i w:val="0"/>
                <w:strike w:val="0"/>
              </w:rPr>
              <w:t>The CCO and all Senior Management users are immediately alerted. Under DORA, this may also trigger a formal notification to the national regulator within four hours. The firm has five business days to formally acknowledge the escalation.</w:t>
            </w:r>
          </w:p>
        </w:tc>
      </w:tr>
      <w:tr>
        <w:tc>
          <w:tcPr>
            <w:tcW w:type="dxa" w:w="2880"/>
          </w:tcPr>
          <w:p>
            <w:r/>
            <w:r>
              <w:rPr>
                <w:b w:val="0"/>
                <w:i w:val="0"/>
                <w:strike w:val="0"/>
              </w:rPr>
              <w:t>Moderate</w:t>
            </w:r>
          </w:p>
        </w:tc>
        <w:tc>
          <w:tcPr>
            <w:tcW w:type="dxa" w:w="2880"/>
          </w:tcPr>
          <w:p>
            <w:r/>
            <w:r>
              <w:rPr>
                <w:b w:val="0"/>
                <w:i w:val="0"/>
                <w:strike w:val="0"/>
              </w:rPr>
              <w:t>One or two findings where some compensating measures are already in place</w:t>
            </w:r>
          </w:p>
        </w:tc>
        <w:tc>
          <w:tcPr>
            <w:tcW w:type="dxa" w:w="2880"/>
          </w:tcPr>
          <w:p>
            <w:r/>
            <w:r>
              <w:rPr>
                <w:b w:val="0"/>
                <w:i w:val="0"/>
                <w:strike w:val="0"/>
              </w:rPr>
              <w:t>The CCO is notified. The issue is tracked to resolution. No immediate escalation to Senior Management.</w:t>
            </w:r>
          </w:p>
        </w:tc>
      </w:tr>
      <w:tr>
        <w:tc>
          <w:tcPr>
            <w:tcW w:type="dxa" w:w="2880"/>
          </w:tcPr>
          <w:p>
            <w:r/>
            <w:r>
              <w:rPr>
                <w:b w:val="0"/>
                <w:i w:val="0"/>
                <w:strike w:val="0"/>
              </w:rPr>
              <w:t>Low</w:t>
            </w:r>
          </w:p>
        </w:tc>
        <w:tc>
          <w:tcPr>
            <w:tcW w:type="dxa" w:w="2880"/>
          </w:tcPr>
          <w:p>
            <w:r/>
            <w:r>
              <w:rPr>
                <w:b w:val="0"/>
                <w:i w:val="0"/>
                <w:strike w:val="0"/>
              </w:rPr>
              <w:t>A minor observation — something to improve but not an immediate compliance risk</w:t>
            </w:r>
          </w:p>
        </w:tc>
        <w:tc>
          <w:tcPr>
            <w:tcW w:type="dxa" w:w="2880"/>
          </w:tcPr>
          <w:p>
            <w:r/>
            <w:r>
              <w:rPr>
                <w:b w:val="0"/>
                <w:i w:val="0"/>
                <w:strike w:val="0"/>
              </w:rPr>
              <w:t>Recorded in the findings register. Tracked to closure. No escalation.</w:t>
            </w:r>
          </w:p>
        </w:tc>
      </w:tr>
    </w:tbl>
    <w:p>
      <w:pPr>
        <w:pStyle w:val="Heading2"/>
      </w:pPr>
      <w:r>
        <w:t>8.2 Recording Findings</w:t>
      </w:r>
    </w:p>
    <w:p>
      <w:r>
        <w:rPr>
          <w:b/>
          <w:i w:val="0"/>
          <w:strike w:val="0"/>
          <w:color w:val="1155CC"/>
        </w:rPr>
        <w:t>[FR-38]</w:t>
      </w:r>
      <w:r>
        <w:rPr>
          <w:b w:val="0"/>
          <w:i w:val="0"/>
          <w:strike w:val="0"/>
        </w:rPr>
        <w:t xml:space="preserve"> All Findings from all tests are collected in a central register. From this register, the CCO can see every open compliance issue across all tests — filtered by seriousness, status, who owns the fix, and which testing period it came from. </w:t>
      </w:r>
      <w:r>
        <w:rPr>
          <w:b/>
          <w:i w:val="0"/>
          <w:strike w:val="0"/>
        </w:rPr>
        <w:t>💬 Sosinna's comment:</w:t>
      </w:r>
      <w:r>
        <w:rPr>
          <w:b w:val="0"/>
          <w:i w:val="0"/>
          <w:strike w:val="0"/>
        </w:rPr>
        <w:t xml:space="preserve"> </w:t>
      </w:r>
      <w:r>
        <w:rPr>
          <w:b w:val="0"/>
          <w:i/>
          <w:strike w:val="0"/>
          <w:color w:val="C55A11"/>
        </w:rPr>
        <w:t>The overall sequence: all findings are communicated to control owners and management first. Once a consensus is reached on how to proceed, the remediation plan is documented and memorialised in the system with a timeline. See GAP-06 below for the full sequence.</w:t>
      </w:r>
      <w:r>
        <w:rPr>
          <w:b w:val="0"/>
          <w:i w:val="0"/>
          <w:strike w:val="0"/>
        </w:rPr>
        <w:t xml:space="preserve"> </w:t>
      </w:r>
      <w:r>
        <w:rPr>
          <w:b w:val="0"/>
          <w:i/>
          <w:strike w:val="0"/>
          <w:color w:val="C55A11"/>
          <w:sz w:val="16"/>
        </w:rPr>
        <w:t xml:space="preserve"> [Sosinna's Drive comment]</w:t>
      </w:r>
    </w:p>
    <w:p>
      <w:r>
        <w:rPr>
          <w:b/>
          <w:i w:val="0"/>
          <w:strike w:val="0"/>
          <w:color w:val="1155CC"/>
        </w:rPr>
        <w:t>[FR-39]</w:t>
      </w:r>
      <w:r>
        <w:rPr>
          <w:b w:val="0"/>
          <w:i w:val="0"/>
          <w:strike w:val="0"/>
        </w:rPr>
        <w:t xml:space="preserve"> One test can produce multiple independent Findings. There is no limit. Each Finding has its own life — its own seriousness rating, its own remediation plan, its own owner, its own closure. </w:t>
      </w:r>
      <w:r>
        <w:rPr>
          <w:b/>
          <w:i/>
          <w:strike w:val="0"/>
          <w:color w:val="7B3F00"/>
        </w:rPr>
        <w:t>v11.0: a Finding is raised against the requirement it was found in, so a test's Findings are the sum of its requirements' Findings. Two testers working two requirements of the same test raise two separate Findings even where the underlying problem looks similar — they are separate obligations, separately assessed. This closes TS-06, which asked the same question of two testers on adjacent articles. Where the same root cause genuinely spans requirements, the existing repeat-finding detection (FR-46) is what surfaces the pattern; the Findings themselves stay distinct.</w:t>
      </w:r>
      <w:r>
        <w:rPr>
          <w:b w:val="0"/>
          <w:i w:val="0"/>
          <w:strike w:val="0"/>
        </w:rPr>
        <w:t xml:space="preserve"> </w:t>
      </w:r>
      <w:r>
        <w:rPr>
          <w:b w:val="0"/>
          <w:i/>
          <w:strike w:val="0"/>
          <w:color w:val="7B3F00"/>
          <w:sz w:val="16"/>
        </w:rPr>
        <w:t xml:space="preserve"> [Sep 2026 test model]</w:t>
      </w:r>
    </w:p>
    <w:p>
      <w:r>
        <w:rPr>
          <w:b/>
          <w:i w:val="0"/>
          <w:strike w:val="0"/>
          <w:color w:val="1155CC"/>
        </w:rPr>
        <w:t>[FR-40]</w:t>
      </w:r>
      <w:r>
        <w:rPr>
          <w:b w:val="0"/>
          <w:i w:val="0"/>
          <w:strike w:val="0"/>
        </w:rPr>
        <w:t xml:space="preserve"> Each Finding is linked to </w:t>
      </w:r>
      <w:r>
        <w:rPr>
          <w:b/>
          <w:i/>
          <w:strike w:val="0"/>
          <w:color w:val="7B3F00"/>
        </w:rPr>
        <w:t>the requirement it came from, the test that requirement belongs to,</w:t>
      </w:r>
      <w:r>
        <w:rPr>
          <w:b w:val="0"/>
          <w:i w:val="0"/>
          <w:strike w:val="0"/>
        </w:rPr>
        <w:t xml:space="preserve"> </w:t>
      </w:r>
      <w:r>
        <w:rPr>
          <w:b w:val="0"/>
          <w:i/>
          <w:strike w:val="0"/>
          <w:color w:val="7B3F00"/>
          <w:sz w:val="16"/>
        </w:rPr>
        <w:t xml:space="preserve"> [Sep 2026 test model]</w:t>
      </w:r>
      <w:r>
        <w:rPr>
          <w:b w:val="0"/>
          <w:i w:val="0"/>
          <w:strike w:val="0"/>
        </w:rPr>
        <w:t xml:space="preserve"> and the specific regulation article it relates to — for example, MiCA Art. 92. </w:t>
      </w:r>
      <w:r>
        <w:rPr>
          <w:b/>
          <w:i/>
          <w:strike w:val="0"/>
          <w:color w:val="7B3F00"/>
        </w:rPr>
        <w:t>v11.0: the article must be one of the articles tagged to that requirement (SA-29), so a Finding cannot be filed against an article the requirement was never testing. Superseded phrasing: "linked to both the Requirement ID (the test it came from)", which read the requirement and the test as one object.</w:t>
      </w:r>
      <w:r>
        <w:rPr>
          <w:b w:val="0"/>
          <w:i w:val="0"/>
          <w:strike w:val="0"/>
        </w:rPr>
        <w:t xml:space="preserve"> </w:t>
      </w:r>
      <w:r>
        <w:rPr>
          <w:b w:val="0"/>
          <w:i/>
          <w:strike w:val="0"/>
          <w:color w:val="7B3F00"/>
          <w:sz w:val="16"/>
        </w:rPr>
        <w:t xml:space="preserve"> [Sep 2026 test model]</w:t>
      </w:r>
      <w:r>
        <w:rPr>
          <w:b w:val="0"/>
          <w:i w:val="0"/>
          <w:strike w:val="0"/>
        </w:rPr>
        <w:t xml:space="preserve"> This is important for producing regulator-ready reports that map every problem directly back to the legal obligation it relates to.</w:t>
      </w:r>
    </w:p>
    <w:p>
      <w:pPr>
        <w:pStyle w:val="Heading2"/>
      </w:pPr>
      <w:r>
        <w:t>8.3 Fixing Problems — Remediation</w:t>
      </w:r>
    </w:p>
    <w:p>
      <w:r>
        <w:rPr>
          <w:b w:val="0"/>
          <w:i w:val="0"/>
          <w:strike w:val="0"/>
        </w:rPr>
        <w:t>For every Finding, the platform creates a remediation plan: a structured set of tasks that will resolve the issue. Each task is assigned to a Remediation Owner — a registered platform user who is responsible for carrying out the fix.</w:t>
      </w:r>
    </w:p>
    <w:p>
      <w:r>
        <w:rPr>
          <w:b/>
          <w:i w:val="0"/>
          <w:strike w:val="0"/>
          <w:color w:val="1155CC"/>
        </w:rPr>
        <w:t>[FR-136]</w:t>
      </w:r>
      <w:r>
        <w:rPr>
          <w:b w:val="0"/>
          <w:i w:val="0"/>
          <w:strike w:val="0"/>
        </w:rPr>
        <w:t xml:space="preserve"> </w:t>
      </w:r>
      <w:r>
        <w:rPr>
          <w:b/>
          <w:i/>
          <w:strike w:val="0"/>
          <w:color w:val="CC00CC"/>
        </w:rPr>
        <w:t xml:space="preserve">When the Lead Tester submits a test for review, the CCO has exactly three outcomes: (a) </w:t>
      </w:r>
      <w:r>
        <w:rPr>
          <w:b/>
          <w:i/>
          <w:strike w:val="0"/>
          <w:color w:val="CC00CC"/>
        </w:rPr>
        <w:t>mark the test as completed</w:t>
      </w:r>
      <w:r>
        <w:rPr>
          <w:b/>
          <w:i/>
          <w:strike w:val="0"/>
          <w:color w:val="CC00CC"/>
        </w:rPr>
        <w:t xml:space="preserve">, (b) </w:t>
      </w:r>
      <w:r>
        <w:rPr>
          <w:b/>
          <w:i/>
          <w:strike w:val="0"/>
          <w:color w:val="CC00CC"/>
        </w:rPr>
        <w:t>assign a remediation owner</w:t>
      </w:r>
      <w:r>
        <w:rPr>
          <w:b/>
          <w:i/>
          <w:strike w:val="0"/>
          <w:color w:val="CC00CC"/>
        </w:rPr>
        <w:t xml:space="preserve">, or (c) </w:t>
      </w:r>
      <w:r>
        <w:rPr>
          <w:b/>
          <w:i/>
          <w:strike w:val="0"/>
          <w:color w:val="CC00CC"/>
        </w:rPr>
        <w:t>return the test to the Lead Tester</w:t>
      </w:r>
      <w:r>
        <w:rPr>
          <w:b/>
          <w:i/>
          <w:strike w:val="0"/>
          <w:color w:val="CC00CC"/>
        </w:rPr>
        <w:t xml:space="preserve"> for further work. </w:t>
      </w:r>
      <w:r>
        <w:rPr>
          <w:b/>
          <w:i/>
          <w:strike w:val="0"/>
          <w:color w:val="CC00CC"/>
        </w:rPr>
        <w:t>Only the CCO can assign a remediation owner to a test</w:t>
      </w:r>
      <w:r>
        <w:rPr>
          <w:b/>
          <w:i/>
          <w:strike w:val="0"/>
          <w:color w:val="CC00CC"/>
        </w:rPr>
        <w:t xml:space="preserve"> — no other role, including the Lead Tester, can make that assignment. Each outcome is timestamped, attributed and recorded in the audit log.</w:t>
      </w:r>
      <w:r>
        <w:rPr>
          <w:b w:val="0"/>
          <w:i w:val="0"/>
          <w:strike w:val="0"/>
        </w:rPr>
        <w:t xml:space="preserve"> </w:t>
      </w:r>
      <w:r>
        <w:rPr>
          <w:b w:val="0"/>
          <w:i/>
          <w:strike w:val="0"/>
          <w:color w:val="CC00CC"/>
          <w:sz w:val="16"/>
        </w:rPr>
        <w:t xml:space="preserve"> [14 Aug 2026 MOM]</w:t>
      </w:r>
    </w:p>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v8.0)</w:t>
            </w:r>
          </w:p>
          <w:p>
            <w:r>
              <w:rPr>
                <w:b/>
                <w:i w:val="0"/>
                <w:strike w:val="0"/>
              </w:rPr>
              <w:t>📌 Note</w:t>
            </w:r>
          </w:p>
          <w:p>
            <w:pPr>
              <w:pStyle w:val="ListBullet"/>
            </w:pPr>
            <w:r>
              <w:rPr>
                <w:b/>
                <w:i/>
                <w:strike w:val="0"/>
                <w:color w:val="CC00CC"/>
              </w:rPr>
              <w:t xml:space="preserve">FR-136 assigns a remediation owner </w:t>
            </w:r>
            <w:r>
              <w:rPr>
                <w:b/>
                <w:i/>
                <w:strike w:val="0"/>
                <w:color w:val="CC00CC"/>
              </w:rPr>
              <w:t>to a test</w:t>
            </w:r>
            <w:r>
              <w:rPr>
                <w:b/>
                <w:i/>
                <w:strike w:val="0"/>
                <w:color w:val="CC00CC"/>
              </w:rPr>
              <w:t>; FR-41 assigns owners per remediation milestone, per Finding, and step 9 of Section 7.1 lets the Lead Tester or CCO create the plan. These models have to be reconciled: is the test-level owner the single accountable owner under whom milestone owners work, or does FR-136 replace per-milestone ownership? And FR-136(c) partially answers GAP-06 — only the CCO assigns — but leaves the rest of GAP-06 (who drafts the plan, pre-approval assignment) open. Logged as GAP-21; resolve with GAP-06.</w:t>
            </w:r>
            <w:r>
              <w:rPr>
                <w:b w:val="0"/>
                <w:i w:val="0"/>
                <w:strike w:val="0"/>
              </w:rPr>
              <w:t xml:space="preserve"> </w:t>
            </w:r>
            <w:r>
              <w:rPr>
                <w:b w:val="0"/>
                <w:i/>
                <w:strike w:val="0"/>
                <w:color w:val="CC00CC"/>
                <w:sz w:val="16"/>
              </w:rPr>
              <w:t xml:space="preserve"> [14 Aug 2026 MOM]</w:t>
            </w:r>
          </w:p>
        </w:tc>
      </w:tr>
    </w:tbl>
    <w:p>
      <w:r>
        <w:rPr>
          <w:b/>
          <w:i w:val="0"/>
          <w:strike w:val="0"/>
          <w:color w:val="1155CC"/>
        </w:rPr>
        <w:t>[FR-41]</w:t>
      </w:r>
      <w:r>
        <w:rPr>
          <w:b w:val="0"/>
          <w:i w:val="0"/>
          <w:strike w:val="0"/>
        </w:rPr>
        <w:t xml:space="preserve"> A Finding can have multiple remediation milestones if the fix involves several steps. For example, fixing a broken transaction monitoring process might involve: (1) a temporary manual review procedure by end of month, (2) a system configuration change by the following month, and (3) a full re-test by the end of the quarter. Each milestone has its own due date and its own owner.</w:t>
      </w:r>
    </w:p>
    <w:p>
      <w:r>
        <w:rPr>
          <w:b/>
          <w:i w:val="0"/>
          <w:strike w:val="0"/>
          <w:color w:val="1155CC"/>
        </w:rPr>
        <w:t>[FR-42]</w:t>
      </w:r>
      <w:r>
        <w:rPr>
          <w:b w:val="0"/>
          <w:i w:val="0"/>
          <w:strike w:val="0"/>
        </w:rPr>
        <w:t xml:space="preserve"> When a Remediation Owner completes a milestone, they upload evidence to prove it — a screenshot, a policy update, a system report. This evidence is permanently stored against the milestone record.</w:t>
      </w:r>
    </w:p>
    <w:p>
      <w:r>
        <w:rPr>
          <w:b/>
          <w:i w:val="0"/>
          <w:strike w:val="0"/>
        </w:rPr>
        <w:t>💬 Sosinna's comment (Remediation Owner visibility — GAP-07 answer, note this widens FR-52's dashboard scope in Section 9):</w:t>
      </w:r>
      <w:r>
        <w:rPr>
          <w:b w:val="0"/>
          <w:i w:val="0"/>
          <w:strike w:val="0"/>
        </w:rPr>
        <w:t xml:space="preserve"> </w:t>
      </w:r>
      <w:r>
        <w:rPr>
          <w:b w:val="0"/>
          <w:i/>
          <w:strike w:val="0"/>
          <w:color w:val="C55A11"/>
        </w:rPr>
        <w:t>the Remediation Owner should have view access to everything, not just their own assigned item. An audit trail must be maintained in case records are deleted. Evidence of completion, or any other remediation record, must be provided back to testers for validation — closing the loop between the Remediation Owner and the Lead Tester.</w:t>
      </w:r>
      <w:r>
        <w:rPr>
          <w:b w:val="0"/>
          <w:i w:val="0"/>
          <w:strike w:val="0"/>
        </w:rPr>
        <w:t xml:space="preserve"> </w:t>
      </w:r>
      <w:r>
        <w:rPr>
          <w:b w:val="0"/>
          <w:i/>
          <w:strike w:val="0"/>
          <w:color w:val="C55A11"/>
          <w:sz w:val="16"/>
        </w:rPr>
        <w:t xml:space="preserve"> [Sosinna's Drive comment]</w:t>
      </w:r>
    </w:p>
    <w:p>
      <w:r>
        <w:rPr>
          <w:b/>
          <w:i w:val="0"/>
          <w:strike w:val="0"/>
          <w:color w:val="1155CC"/>
        </w:rPr>
        <w:t>[FR-43]</w:t>
      </w:r>
      <w:r>
        <w:rPr>
          <w:b w:val="0"/>
          <w:i w:val="0"/>
          <w:strike w:val="0"/>
        </w:rPr>
        <w:t xml:space="preserve"> If a High-rated Finding is recorded, the platform immediately notifies the CCO and all Senior Management users. If the escalation is not formally acknowledged within five business days, it escalates further and appears as a Level 2 Alert on the CCO's dashboard.</w:t>
      </w:r>
    </w:p>
    <w:p>
      <w:r>
        <w:rPr>
          <w:b/>
          <w:i w:val="0"/>
          <w:strike w:val="0"/>
          <w:color w:val="1155CC"/>
        </w:rPr>
        <w:t>[FR-44]</w:t>
      </w:r>
      <w:r>
        <w:rPr>
          <w:b w:val="0"/>
          <w:i w:val="0"/>
          <w:strike w:val="0"/>
        </w:rPr>
        <w:t xml:space="preserve"> Each Finding moves through a defined set of statuses: Open → In Remediation → Under Review → Closed. Formally closing a Finding requires two things: the CCO reviews and approves the Remediation Owner's uploaded evidence, and one relevant Senior Management user provides a second sign-off. Both approvals are recorded in the audit log.</w:t>
      </w:r>
    </w:p>
    <w:p>
      <w:r>
        <w:rPr>
          <w:b/>
          <w:i w:val="0"/>
          <w:strike w:val="0"/>
          <w:color w:val="1155CC"/>
        </w:rPr>
        <w:t>[FR-45]</w:t>
      </w:r>
      <w:r>
        <w:rPr>
          <w:b w:val="0"/>
          <w:i w:val="0"/>
          <w:strike w:val="0"/>
        </w:rPr>
        <w:t xml:space="preserve"> The person who originally recorded the Finding cannot be one of the two closing approvers.</w:t>
      </w:r>
    </w:p>
    <w:p>
      <w:r>
        <w:rPr>
          <w:b/>
          <w:i w:val="0"/>
          <w:strike w:val="0"/>
          <w:color w:val="1155CC"/>
        </w:rPr>
        <w:t>[FR-46]</w:t>
      </w:r>
      <w:r>
        <w:rPr>
          <w:b w:val="0"/>
          <w:i w:val="0"/>
          <w:strike w:val="0"/>
        </w:rPr>
        <w:t xml:space="preserve"> The platform checks whether a similar Finding was recorded in the previous testing period for the same Requirement ID. If so, it flags it as a Repeat Finding — a pattern that regulators treat as a significant concern because it suggests the underlying problem has not been properly addressed.</w:t>
      </w:r>
    </w:p>
    <w:p>
      <w:r>
        <w:rPr>
          <w:b/>
          <w:i w:val="0"/>
          <w:strike w:val="0"/>
          <w:color w:val="1155CC"/>
        </w:rPr>
        <w:t>[FR-47]</w:t>
      </w:r>
      <w:r>
        <w:rPr>
          <w:b w:val="0"/>
          <w:i w:val="0"/>
          <w:strike w:val="0"/>
        </w:rPr>
        <w:t xml:space="preserve"> The remediation plan is agreed and confirmed before the report is generated — not after. The moment the CCO generates the report, every remediation milestone clock starts ticking. This is a deliberate design choice: the report is the formal record that the plan has been agreed, not a wish list created after the fact.</w:t>
      </w:r>
    </w:p>
    <w:p>
      <w:r>
        <w:rPr>
          <w:b/>
          <w:i w:val="0"/>
          <w:strike w:val="0"/>
        </w:rPr>
        <w:t>💬 Sosinna's comment (deadline extensions — GAP-08 answer):</w:t>
      </w:r>
      <w:r>
        <w:rPr>
          <w:b w:val="0"/>
          <w:i w:val="0"/>
          <w:strike w:val="0"/>
        </w:rPr>
        <w:t xml:space="preserve"> </w:t>
      </w:r>
      <w:r>
        <w:rPr>
          <w:b w:val="0"/>
          <w:i/>
          <w:strike w:val="0"/>
          <w:color w:val="C55A11"/>
        </w:rPr>
        <w:t>if a remediation deadline passes, the reason must be documented and the deadline can be extended manually — by the CCO or one other Senior role, with a forced field requiring them to justify the extension. Since the testing schedule is methodical, if a deadline is missed the Remediation Owner and tasks should be reassigned rather than left open indefinitely.</w:t>
      </w:r>
      <w:r>
        <w:rPr>
          <w:b w:val="0"/>
          <w:i w:val="0"/>
          <w:strike w:val="0"/>
        </w:rPr>
        <w:t xml:space="preserve"> </w:t>
      </w:r>
      <w:r>
        <w:rPr>
          <w:b w:val="0"/>
          <w:i/>
          <w:strike w:val="0"/>
          <w:color w:val="C55A11"/>
          <w:sz w:val="16"/>
        </w:rPr>
        <w:t xml:space="preserve"> [Sosinna's Drive comment]</w:t>
      </w:r>
    </w:p>
    <w:tbl>
      <w:tblPr>
        <w:tblStyle w:val="TableGrid"/>
        <w:tblW w:type="auto" w:w="0"/>
        <w:tblLook w:firstColumn="1" w:firstRow="1" w:lastColumn="0" w:lastRow="0" w:noHBand="0" w:noVBand="1" w:val="04A0"/>
      </w:tblPr>
      <w:tblGrid>
        <w:gridCol w:w="8640"/>
      </w:tblGrid>
      <w:tr>
        <w:tc>
          <w:tcPr>
            <w:tcW w:type="dxa" w:w="8640"/>
            <w:shd w:val="clear" w:fill="E2EFDA"/>
          </w:tcPr>
          <w:p>
            <w:r>
              <w:rPr>
                <w:b/>
                <w:i w:val="0"/>
                <w:strike w:val="0"/>
              </w:rPr>
              <w:t>CONFIRMED</w:t>
            </w:r>
            <w:r>
              <w:rPr>
                <w:b w:val="0"/>
                <w:i w:val="0"/>
                <w:strike w:val="0"/>
              </w:rPr>
              <w:t xml:space="preserve"> </w:t>
            </w:r>
            <w:r>
              <w:rPr>
                <w:b w:val="0"/>
                <w:i/>
                <w:strike w:val="0"/>
              </w:rPr>
              <w:t>(green — agreed decision)</w:t>
            </w:r>
          </w:p>
          <w:p>
            <w:r>
              <w:rPr>
                <w:b/>
                <w:i w:val="0"/>
                <w:strike w:val="0"/>
              </w:rPr>
              <w:t>✅ What we have agreed</w:t>
            </w:r>
          </w:p>
          <w:p>
            <w:pPr>
              <w:pStyle w:val="ListBullet"/>
            </w:pPr>
            <w:r>
              <w:rPr>
                <w:b w:val="0"/>
                <w:i w:val="0"/>
                <w:strike w:val="0"/>
              </w:rPr>
              <w:t>Multiple independent Findings per test, each with their own remediation plan — confirmed.</w:t>
            </w:r>
          </w:p>
          <w:p>
            <w:pPr>
              <w:pStyle w:val="ListBullet"/>
            </w:pPr>
            <w:r>
              <w:rPr>
                <w:b w:val="0"/>
                <w:i w:val="0"/>
                <w:strike w:val="0"/>
              </w:rPr>
              <w:t>Each Finding is linked to both the Requirement ID and the specific regulation article.</w:t>
            </w:r>
          </w:p>
          <w:p>
            <w:pPr>
              <w:pStyle w:val="ListBullet"/>
            </w:pPr>
            <w:r>
              <w:rPr>
                <w:b w:val="0"/>
                <w:i w:val="0"/>
                <w:strike w:val="0"/>
              </w:rPr>
              <w:t>Root cause category is required on every Finding (Process Gap / Control Failure / Documentation Missing / System Issue / Training Gap).</w:t>
            </w:r>
          </w:p>
          <w:p>
            <w:pPr>
              <w:pStyle w:val="ListBullet"/>
            </w:pPr>
            <w:r>
              <w:rPr>
                <w:b w:val="0"/>
                <w:i w:val="0"/>
                <w:strike w:val="0"/>
              </w:rPr>
              <w:t>Closing a Finding requires sign-off from both the CCO and one relevant Senior Management user. The original recorder cannot be one of the two approvers.</w:t>
            </w:r>
          </w:p>
          <w:p>
            <w:pPr>
              <w:pStyle w:val="ListBullet"/>
            </w:pPr>
            <w:r>
              <w:rPr>
                <w:b w:val="0"/>
                <w:i w:val="0"/>
                <w:strike w:val="0"/>
              </w:rPr>
              <w:t>Remediation plan is agreed and locked in before the report is issued — not after.</w:t>
            </w:r>
          </w:p>
          <w:p>
            <w:pPr>
              <w:pStyle w:val="ListBullet"/>
            </w:pPr>
            <w:r>
              <w:rPr>
                <w:b w:val="0"/>
                <w:i w:val="0"/>
                <w:strike w:val="0"/>
              </w:rPr>
              <w:t>Issuing the report starts the milestone clocks.</w:t>
            </w:r>
          </w:p>
          <w:p>
            <w:pPr>
              <w:pStyle w:val="ListBullet"/>
            </w:pPr>
            <w:r>
              <w:rPr>
                <w:b w:val="0"/>
                <w:i w:val="0"/>
                <w:strike w:val="0"/>
              </w:rPr>
              <w:t>Remediation Owners must be registered platform users to attach evidence of completion.</w:t>
            </w:r>
          </w:p>
          <w:p>
            <w:pPr>
              <w:pStyle w:val="ListBullet"/>
            </w:pPr>
            <w:r>
              <w:rPr>
                <w:b w:val="0"/>
                <w:i w:val="0"/>
                <w:strike w:val="0"/>
              </w:rPr>
              <w:t>Risk rating is calculated automatically by the platform based on finding count and severity — the compliance officer confirms the rating, they do not manually enter it.</w:t>
            </w:r>
          </w:p>
          <w:p>
            <w:pPr>
              <w:pStyle w:val="ListBullet"/>
            </w:pPr>
            <w:r>
              <w:rPr>
                <w:b/>
                <w:i/>
                <w:strike w:val="0"/>
                <w:color w:val="C55A11"/>
              </w:rPr>
              <w:t>Deadline extensions: manual, by CCO or one other Senior role, with a mandatory written justification. Missed deadlines trigger reassignment.</w:t>
            </w:r>
            <w:r>
              <w:rPr>
                <w:b w:val="0"/>
                <w:i w:val="0"/>
                <w:strike w:val="0"/>
              </w:rPr>
              <w:t xml:space="preserve"> </w:t>
            </w:r>
            <w:r>
              <w:rPr>
                <w:b w:val="0"/>
                <w:i/>
                <w:strike w:val="0"/>
                <w:color w:val="C55A11"/>
                <w:sz w:val="16"/>
              </w:rPr>
              <w:t xml:space="preserve"> [Sosinna's Drive comment]</w:t>
            </w:r>
          </w:p>
          <w:p>
            <w:pPr>
              <w:pStyle w:val="ListBullet"/>
            </w:pPr>
            <w:r>
              <w:rPr>
                <w:b/>
                <w:i/>
                <w:strike w:val="0"/>
                <w:color w:val="C55A11"/>
              </w:rPr>
              <w:t>Remediation Owner sees more than just their own task — full view access, with an audit trail on any deletions.</w:t>
            </w:r>
            <w:r>
              <w:rPr>
                <w:b w:val="0"/>
                <w:i w:val="0"/>
                <w:strike w:val="0"/>
              </w:rPr>
              <w:t xml:space="preserve"> </w:t>
            </w:r>
            <w:r>
              <w:rPr>
                <w:b w:val="0"/>
                <w:i/>
                <w:strike w:val="0"/>
                <w:color w:val="C55A11"/>
                <w:sz w:val="16"/>
              </w:rPr>
              <w:t xml:space="preserve"> [Sosinna's Drive comment]</w:t>
            </w:r>
          </w:p>
        </w:tc>
      </w:tr>
    </w:tbl>
    <w:p>
      <w:pPr>
        <w:pStyle w:val="Heading1"/>
      </w:pPr>
      <w:r>
        <w:t>9. Reports and the Dashboard</w:t>
      </w:r>
    </w:p>
    <w:p>
      <w:pPr>
        <w:pStyle w:val="Heading2"/>
      </w:pPr>
      <w:r>
        <w:t>9.1 The Dashboard — What the CCO Sees Every Day</w:t>
      </w:r>
    </w:p>
    <w:p>
      <w:r>
        <w:rPr>
          <w:b w:val="0"/>
          <w:i w:val="0"/>
          <w:strike w:val="0"/>
        </w:rPr>
        <w:t>The dashboard is the first thing a user sees when they log in. It is designed to answer the question: 'How is our compliance programme right now?' — without needing to open any individual test or report.</w:t>
      </w:r>
    </w:p>
    <w:p>
      <w:r>
        <w:rPr>
          <w:b/>
          <w:i w:val="0"/>
          <w:strike w:val="0"/>
          <w:color w:val="1155CC"/>
        </w:rPr>
        <w:t>[FR-48]</w:t>
      </w:r>
      <w:r>
        <w:rPr>
          <w:b w:val="0"/>
          <w:i w:val="0"/>
          <w:strike w:val="0"/>
        </w:rPr>
        <w:t xml:space="preserve"> The home screen shows a set of at-a-glance metric cards. These include, at minimum: how many tests are due this quarter, how many High-rated Findings are still open, how many remediation deadlines have been missed, and how many compliance manual gaps have been detected. More metrics can be added based on the CCO's preferences.</w:t>
      </w:r>
    </w:p>
    <w:p>
      <w:r>
        <w:rPr>
          <w:b/>
          <w:i w:val="0"/>
          <w:strike w:val="0"/>
          <w:color w:val="1155CC"/>
        </w:rPr>
        <w:t>[FR-49]</w:t>
      </w:r>
      <w:r>
        <w:rPr>
          <w:b w:val="0"/>
          <w:i w:val="0"/>
          <w:strike w:val="0"/>
        </w:rPr>
        <w:t xml:space="preserve"> The compliance testing section shows all tests in three columns: Planned (not started), Ongoing (in progress), and Completed. Each test card shows the test name, the assigned Lead Tester, the due date, and a progress indicator. The CCO can filter by risk level, regulatory body, or test type. </w:t>
      </w:r>
      <w:r>
        <w:rPr>
          <w:b/>
          <w:i w:val="0"/>
          <w:strike w:val="0"/>
        </w:rPr>
        <w:t>📞 From the 25 Jun FRD Review call:</w:t>
      </w:r>
      <w:r>
        <w:rPr>
          <w:b w:val="0"/>
          <w:i w:val="0"/>
          <w:strike w:val="0"/>
        </w:rPr>
        <w:t xml:space="preserve"> </w:t>
      </w:r>
      <w:r>
        <w:rPr>
          <w:b w:val="0"/>
          <w:i/>
          <w:strike w:val="0"/>
          <w:color w:val="1155CC"/>
        </w:rPr>
        <w:t>Sosinna specifically wants a visual (pie chart or bar graph) showing counts of tests planned vs. ongoing vs. completed, so the admin can see review status at a glance without opening the calendar.</w:t>
      </w:r>
      <w:r>
        <w:rPr>
          <w:b w:val="0"/>
          <w:i w:val="0"/>
          <w:strike w:val="0"/>
        </w:rPr>
        <w:t xml:space="preserve"> </w:t>
      </w:r>
      <w:r>
        <w:rPr>
          <w:b w:val="0"/>
          <w:i/>
          <w:strike w:val="0"/>
          <w:color w:val="1155CC"/>
          <w:sz w:val="16"/>
        </w:rPr>
        <w:t xml:space="preserve"> [25 Jun FRD call]</w:t>
      </w:r>
      <w:r>
        <w:rPr>
          <w:b w:val="0"/>
          <w:i w:val="0"/>
          <w:strike w:val="0"/>
        </w:rPr>
        <w:t xml:space="preserve"> </w:t>
      </w:r>
      <w:r>
        <w:rPr>
          <w:b/>
          <w:i/>
          <w:strike w:val="0"/>
          <w:color w:val="008080"/>
        </w:rPr>
        <w:t>v6.0: the wireframe reviewed on 11 Aug renders this as a Kanban board. Everything in this requirement stands — see FR-113 for the presentation.</w:t>
      </w:r>
      <w:r>
        <w:rPr>
          <w:b w:val="0"/>
          <w:i w:val="0"/>
          <w:strike w:val="0"/>
        </w:rPr>
        <w:t xml:space="preserve"> </w:t>
      </w:r>
      <w:r>
        <w:rPr>
          <w:b w:val="0"/>
          <w:i/>
          <w:strike w:val="0"/>
          <w:color w:val="008080"/>
          <w:sz w:val="16"/>
        </w:rPr>
        <w:t xml:space="preserve"> [11 Aug 2026 MOM]</w:t>
      </w:r>
    </w:p>
    <w:p>
      <w:r>
        <w:rPr>
          <w:b/>
          <w:i w:val="0"/>
          <w:strike w:val="0"/>
          <w:color w:val="1155CC"/>
        </w:rPr>
        <w:t>[FR-50]</w:t>
      </w:r>
      <w:r>
        <w:rPr>
          <w:b w:val="0"/>
          <w:i w:val="0"/>
          <w:strike w:val="0"/>
        </w:rPr>
        <w:t xml:space="preserve"> The Regulatory Requirements section shows all the Requirement IDs the firm is subject to and their current compliance status — Compliant, Non-Compliant, Pending Review, or Not Applicable. Each rule shows its version history and links to the official regulation document.</w:t>
      </w:r>
    </w:p>
    <w:p>
      <w:r>
        <w:rPr>
          <w:b/>
          <w:i w:val="0"/>
          <w:strike w:val="0"/>
          <w:color w:val="1155CC"/>
        </w:rPr>
        <w:t>[FR-51]</w:t>
      </w:r>
      <w:r>
        <w:rPr>
          <w:b w:val="0"/>
          <w:i w:val="0"/>
          <w:strike w:val="0"/>
        </w:rPr>
        <w:t xml:space="preserve"> The regulatory updates panel monitors the official MiCA and DORA publication pages automatically. When a change is detected and published by Sosinna's team, all affected firms are immediately notified, and the update is shown in this panel linked to the specific tests it affects.</w:t>
      </w:r>
    </w:p>
    <w:p>
      <w:r>
        <w:rPr>
          <w:b/>
          <w:i w:val="0"/>
          <w:strike w:val="0"/>
          <w:color w:val="1155CC"/>
        </w:rPr>
        <w:t>[FR-52]</w:t>
      </w:r>
      <w:r>
        <w:rPr>
          <w:b w:val="0"/>
          <w:i w:val="0"/>
          <w:strike w:val="0"/>
        </w:rPr>
        <w:t xml:space="preserve"> Each Remediation Owner has their own personal view — a simple list of all the action items assigned to them, with due dates, current status, and the ability to update progress and upload evidence. This is the only compliance view they need.</w:t>
      </w:r>
    </w:p>
    <w:p>
      <w:r>
        <w:rPr>
          <w:b/>
          <w:i w:val="0"/>
          <w:strike w:val="0"/>
        </w:rPr>
        <w:t>⚠ Flag — possible contradiction with Section 8.3:</w:t>
      </w:r>
      <w:r>
        <w:rPr>
          <w:b w:val="0"/>
          <w:i w:val="0"/>
          <w:strike w:val="0"/>
        </w:rPr>
        <w:t xml:space="preserve"> </w:t>
      </w:r>
      <w:r>
        <w:rPr>
          <w:b/>
          <w:i/>
          <w:strike w:val="0"/>
          <w:color w:val="C55A11"/>
        </w:rPr>
        <w:t>this line says the Remediation Owner's personal view is "the only compliance view they need," but Sosinna's comment on FR-42 (Section 8.3) says Remediation Owners should have view access to everything. Worth resolving which one wins before this goes into a sprint — the dashboard scope for this role is materially different depending on the answer.</w:t>
      </w:r>
      <w:r>
        <w:rPr>
          <w:b w:val="0"/>
          <w:i w:val="0"/>
          <w:strike w:val="0"/>
        </w:rPr>
        <w:t xml:space="preserve"> </w:t>
      </w:r>
      <w:r>
        <w:rPr>
          <w:b w:val="0"/>
          <w:i/>
          <w:strike w:val="0"/>
          <w:color w:val="C55A11"/>
          <w:sz w:val="16"/>
        </w:rPr>
        <w:t xml:space="preserve"> [Sosinna's Drive comment]</w:t>
      </w:r>
    </w:p>
    <w:p>
      <w:r>
        <w:rPr>
          <w:b/>
          <w:i w:val="0"/>
          <w:strike w:val="0"/>
          <w:color w:val="1155CC"/>
        </w:rPr>
        <w:t>[FR-95]</w:t>
      </w:r>
      <w:r>
        <w:rPr>
          <w:b w:val="0"/>
          <w:i w:val="0"/>
          <w:strike w:val="0"/>
        </w:rPr>
        <w:t xml:space="preserve"> </w:t>
      </w:r>
      <w:r>
        <w:rPr>
          <w:b/>
          <w:i/>
          <w:strike w:val="0"/>
          <w:color w:val="7030A0"/>
        </w:rPr>
        <w:t>The priority level set in the Portal (SA-10) is displayed against every pending pool item and every live test in the Firm Application, and is available as a filter and sort key on both the pool view and the testing dashboard. The firm does not set this value — it is read from the published library.</w:t>
      </w:r>
      <w:r>
        <w:rPr>
          <w:b w:val="0"/>
          <w:i w:val="0"/>
          <w:strike w:val="0"/>
        </w:rPr>
        <w:t xml:space="preserve"> </w:t>
      </w:r>
      <w:r>
        <w:rPr>
          <w:b w:val="0"/>
          <w:i/>
          <w:strike w:val="0"/>
          <w:color w:val="7030A0"/>
          <w:sz w:val="16"/>
        </w:rPr>
        <w:t xml:space="preserve"> [Aug 2026 client MOM]</w:t>
      </w:r>
    </w:p>
    <w:p>
      <w:r>
        <w:rPr>
          <w:b/>
          <w:i w:val="0"/>
          <w:strike w:val="0"/>
          <w:color w:val="1155CC"/>
        </w:rPr>
        <w:t>[FR-96]</w:t>
      </w:r>
      <w:r>
        <w:rPr>
          <w:b w:val="0"/>
          <w:i w:val="0"/>
          <w:strike w:val="0"/>
        </w:rPr>
        <w:t xml:space="preserve"> </w:t>
      </w:r>
      <w:r>
        <w:rPr>
          <w:b/>
          <w:i/>
          <w:strike w:val="0"/>
          <w:color w:val="7030A0"/>
        </w:rPr>
        <w:t>The CCO dashboard carries records-request metrics from Section 7.4: how many request items are outstanding, how long the oldest has been open, and average evidence turnaround for the period. These sit alongside the existing FR-48 metric cards, because the client identified collection delay as a first-order indicator of internal control weakness rather than an operational footnote.</w:t>
      </w:r>
      <w:r>
        <w:rPr>
          <w:b w:val="0"/>
          <w:i w:val="0"/>
          <w:strike w:val="0"/>
        </w:rPr>
        <w:t xml:space="preserve"> </w:t>
      </w:r>
      <w:r>
        <w:rPr>
          <w:b w:val="0"/>
          <w:i/>
          <w:strike w:val="0"/>
          <w:color w:val="7030A0"/>
          <w:sz w:val="16"/>
        </w:rPr>
        <w:t xml:space="preserve"> [Aug 2026 client MOM]</w:t>
      </w:r>
    </w:p>
    <w:p>
      <w:r>
        <w:rPr>
          <w:b/>
          <w:i w:val="0"/>
          <w:strike w:val="0"/>
          <w:color w:val="1155CC"/>
        </w:rPr>
        <w:t>[FR-97]</w:t>
      </w:r>
      <w:r>
        <w:rPr>
          <w:b w:val="0"/>
          <w:i w:val="0"/>
          <w:strike w:val="0"/>
        </w:rPr>
        <w:t xml:space="preserve"> </w:t>
      </w:r>
      <w:r>
        <w:rPr>
          <w:b/>
          <w:i/>
          <w:strike w:val="0"/>
          <w:color w:val="7030A0"/>
        </w:rPr>
        <w:t>The CCO's holistic tester-progress view (FR-81) is reachable from the dashboard: all testers, their assigned articles, and progress per pillar of the regulation.</w:t>
      </w:r>
      <w:r>
        <w:rPr>
          <w:b w:val="0"/>
          <w:i w:val="0"/>
          <w:strike w:val="0"/>
        </w:rPr>
        <w:t xml:space="preserve"> </w:t>
      </w:r>
      <w:r>
        <w:rPr>
          <w:b w:val="0"/>
          <w:i/>
          <w:strike w:val="0"/>
          <w:color w:val="7030A0"/>
          <w:sz w:val="16"/>
        </w:rPr>
        <w:t xml:space="preserve"> [Aug 2026 client MOM]</w:t>
      </w:r>
    </w:p>
    <w:p>
      <w:r>
        <w:rPr>
          <w:b/>
          <w:i/>
          <w:strike w:val="0"/>
          <w:color w:val="008080"/>
        </w:rPr>
        <w:t>The 11 August meeting reviewed wireframes for the three views below and accepted them in principle. They are recorded here as requirements so the layouts that were shown are not lost between the review and the build.</w:t>
      </w:r>
      <w:r>
        <w:rPr>
          <w:b w:val="0"/>
          <w:i w:val="0"/>
          <w:strike w:val="0"/>
        </w:rPr>
        <w:t xml:space="preserve"> </w:t>
      </w:r>
      <w:r>
        <w:rPr>
          <w:b w:val="0"/>
          <w:i/>
          <w:strike w:val="0"/>
          <w:color w:val="008080"/>
          <w:sz w:val="16"/>
        </w:rPr>
        <w:t xml:space="preserve"> [11 Aug 2026 MOM]</w:t>
      </w:r>
    </w:p>
    <w:p>
      <w:r>
        <w:rPr>
          <w:b/>
          <w:i w:val="0"/>
          <w:strike w:val="0"/>
          <w:color w:val="1155CC"/>
        </w:rPr>
        <w:t>[FR-113]</w:t>
      </w:r>
      <w:r>
        <w:rPr>
          <w:b w:val="0"/>
          <w:i w:val="0"/>
          <w:strike w:val="0"/>
        </w:rPr>
        <w:t xml:space="preserve"> </w:t>
      </w:r>
      <w:r>
        <w:rPr>
          <w:b/>
          <w:i/>
          <w:strike w:val="0"/>
          <w:color w:val="008080"/>
        </w:rPr>
        <w:t>The CCO's testing view is a Kanban board with columns for pending, ongoing and completed tests, cards moving left to right as work progresses. This is the same three-state model as FR-49 and replaces the earlier column-list description of it — FR-49's filters, card contents (test name, assigned tester, due date, progress) and the planned-vs-ongoing-vs-completed chart all carry over onto the board unchanged. Under the pool model, "pending" here means assigned but not started; genuinely unassigned work stays in the FR-78 pool view, which is a separate screen.</w:t>
      </w:r>
      <w:r>
        <w:rPr>
          <w:b w:val="0"/>
          <w:i w:val="0"/>
          <w:strike w:val="0"/>
        </w:rPr>
        <w:t xml:space="preserve"> </w:t>
      </w:r>
      <w:r>
        <w:rPr>
          <w:b w:val="0"/>
          <w:i/>
          <w:strike w:val="0"/>
          <w:color w:val="008080"/>
          <w:sz w:val="16"/>
        </w:rPr>
        <w:t xml:space="preserve"> [11 Aug 2026 MOM]</w:t>
      </w:r>
    </w:p>
    <w:p>
      <w:r>
        <w:rPr>
          <w:b/>
          <w:i w:val="0"/>
          <w:strike w:val="0"/>
          <w:color w:val="1155CC"/>
        </w:rPr>
        <w:t>[FR-114]</w:t>
      </w:r>
      <w:r>
        <w:rPr>
          <w:b w:val="0"/>
          <w:i w:val="0"/>
          <w:strike w:val="0"/>
        </w:rPr>
        <w:t xml:space="preserve"> </w:t>
      </w:r>
      <w:r>
        <w:rPr>
          <w:b/>
          <w:i/>
          <w:strike w:val="0"/>
          <w:color w:val="008080"/>
        </w:rPr>
        <w:t>A calendar view shows scheduled reviews on a date grid. The pool model removed auto-generated calendar entries (FR-78), not the calendar: this view shows tests that have been assigned and dated, plus remediation milestone dates and any recurring obligations the CCO has already scheduled. It is a view over assigned work, never a list of everything the firm theoretically owes.</w:t>
      </w:r>
      <w:r>
        <w:rPr>
          <w:b w:val="0"/>
          <w:i w:val="0"/>
          <w:strike w:val="0"/>
        </w:rPr>
        <w:t xml:space="preserve"> </w:t>
      </w:r>
      <w:r>
        <w:rPr>
          <w:b w:val="0"/>
          <w:i/>
          <w:strike w:val="0"/>
          <w:color w:val="008080"/>
          <w:sz w:val="16"/>
        </w:rPr>
        <w:t xml:space="preserve"> [11 Aug 2026 MOM]</w:t>
      </w:r>
    </w:p>
    <w:p>
      <w:r>
        <w:rPr>
          <w:b/>
          <w:i w:val="0"/>
          <w:strike w:val="0"/>
          <w:color w:val="1155CC"/>
        </w:rPr>
        <w:t>[FR-115]</w:t>
      </w:r>
      <w:r>
        <w:rPr>
          <w:b w:val="0"/>
          <w:i w:val="0"/>
          <w:strike w:val="0"/>
        </w:rPr>
        <w:t xml:space="preserve"> </w:t>
      </w:r>
      <w:r>
        <w:rPr>
          <w:b/>
          <w:i/>
          <w:strike w:val="0"/>
          <w:color w:val="008080"/>
        </w:rPr>
        <w:t>Remediation dashboards were reviewed and are confirmed as a distinct surface from the testing views: open action items by owner, by due date and by finding severity, with overdue items and their age called out. This is the CCO-facing roll-up of the Section 8.3 remediation data; the Remediation Owner's own personal list (FR-52) is a separate, narrower view.</w:t>
      </w:r>
      <w:r>
        <w:rPr>
          <w:b w:val="0"/>
          <w:i w:val="0"/>
          <w:strike w:val="0"/>
        </w:rPr>
        <w:t xml:space="preserve"> </w:t>
      </w:r>
      <w:r>
        <w:rPr>
          <w:b w:val="0"/>
          <w:i/>
          <w:strike w:val="0"/>
          <w:color w:val="008080"/>
          <w:sz w:val="16"/>
        </w:rPr>
        <w:t xml:space="preserve"> [11 Aug 2026 MOM]</w:t>
      </w:r>
    </w:p>
    <w:tbl>
      <w:tblPr>
        <w:tblStyle w:val="TableGrid"/>
        <w:tblW w:type="auto" w:w="0"/>
        <w:tblLook w:firstColumn="1" w:firstRow="1" w:lastColumn="0" w:lastRow="0" w:noHBand="0" w:noVBand="1" w:val="04A0"/>
      </w:tblPr>
      <w:tblGrid>
        <w:gridCol w:w="8640"/>
      </w:tblGrid>
      <w:tr>
        <w:tc>
          <w:tcPr>
            <w:tcW w:type="dxa" w:w="8640"/>
            <w:shd w:val="clear" w:fill="FFF2CC"/>
          </w:tcPr>
          <w:p>
            <w:r>
              <w:rPr>
                <w:b/>
                <w:i w:val="0"/>
                <w:strike w:val="0"/>
              </w:rPr>
              <w:t>OPEN QUESTION</w:t>
            </w:r>
            <w:r>
              <w:rPr>
                <w:b w:val="0"/>
                <w:i w:val="0"/>
                <w:strike w:val="0"/>
              </w:rPr>
              <w:t xml:space="preserve"> </w:t>
            </w:r>
            <w:r>
              <w:rPr>
                <w:b w:val="0"/>
                <w:i/>
                <w:strike w:val="0"/>
              </w:rPr>
              <w:t>(amber — new in v6.0)</w:t>
            </w:r>
          </w:p>
          <w:p>
            <w:r>
              <w:rPr>
                <w:b/>
                <w:i w:val="0"/>
                <w:strike w:val="0"/>
              </w:rPr>
              <w:t>💬 Questions still to confirm</w:t>
            </w:r>
          </w:p>
          <w:p>
            <w:pPr>
              <w:pStyle w:val="ListBullet"/>
            </w:pPr>
            <w:r>
              <w:rPr>
                <w:b/>
                <w:i/>
                <w:strike w:val="0"/>
                <w:color w:val="008080"/>
              </w:rPr>
              <w:t>Wireframe status (UI-01): the wireframes were reviewed and accepted in principle, but it was not recorded whether they are frozen as the design baseline or still open to revision during UI design. This matters for what the UI phase is estimated against.</w:t>
            </w:r>
            <w:r>
              <w:rPr>
                <w:b w:val="0"/>
                <w:i w:val="0"/>
                <w:strike w:val="0"/>
              </w:rPr>
              <w:t xml:space="preserve"> </w:t>
            </w:r>
            <w:r>
              <w:rPr>
                <w:b w:val="0"/>
                <w:i/>
                <w:strike w:val="0"/>
                <w:color w:val="008080"/>
                <w:sz w:val="16"/>
              </w:rPr>
              <w:t xml:space="preserve"> [11 Aug 2026 MOM]</w:t>
            </w:r>
          </w:p>
          <w:p>
            <w:pPr>
              <w:pStyle w:val="ListBullet"/>
            </w:pPr>
            <w:r>
              <w:rPr>
                <w:b/>
                <w:i/>
                <w:strike w:val="0"/>
                <w:color w:val="008080"/>
              </w:rPr>
              <w:t>Calendar authority (UI-02): can the CCO drag a test to a new date on the FR-114 calendar and have that change the test's dates, or is the calendar read-only with dates changed only from the test record? A writable calendar re-opens part of the scheduling model the pool was meant to simplify.</w:t>
            </w:r>
            <w:r>
              <w:rPr>
                <w:b w:val="0"/>
                <w:i w:val="0"/>
                <w:strike w:val="0"/>
              </w:rPr>
              <w:t xml:space="preserve"> </w:t>
            </w:r>
            <w:r>
              <w:rPr>
                <w:b w:val="0"/>
                <w:i/>
                <w:strike w:val="0"/>
                <w:color w:val="008080"/>
                <w:sz w:val="16"/>
              </w:rPr>
              <w:t xml:space="preserve"> [11 Aug 2026 MOM]</w:t>
            </w:r>
          </w:p>
        </w:tc>
      </w:tr>
    </w:tbl>
    <w:p>
      <w:r>
        <w:rPr>
          <w:b/>
          <w:i w:val="0"/>
          <w:strike w:val="0"/>
          <w:color w:val="1155CC"/>
        </w:rPr>
        <w:t>[FR-53]</w:t>
      </w:r>
      <w:r>
        <w:rPr>
          <w:b w:val="0"/>
          <w:i w:val="0"/>
          <w:strike w:val="0"/>
        </w:rPr>
        <w:t xml:space="preserve"> The platform keeps a history of test results by period. The CCO can compare this quarter's results to last quarter's, or last year's, to see whether the firm's compliance position is improving, stable, or getting worse.</w:t>
      </w:r>
    </w:p>
    <w:p>
      <w:r>
        <w:rPr>
          <w:b/>
          <w:i w:val="0"/>
          <w:strike w:val="0"/>
          <w:color w:val="1155CC"/>
        </w:rPr>
        <w:t>[FR-54]</w:t>
      </w:r>
      <w:r>
        <w:rPr>
          <w:b w:val="0"/>
          <w:i w:val="0"/>
          <w:strike w:val="0"/>
        </w:rPr>
        <w:t xml:space="preserve"> A live news feed shows recent regulatory announcements, enforcement actions, and fines from sources including the EBA, ESMA, and national regulators — giving the compliance team early visibility of what regulators are currently focusing on. </w:t>
      </w:r>
      <w:r>
        <w:rPr>
          <w:b/>
          <w:i w:val="0"/>
          <w:strike w:val="0"/>
        </w:rPr>
        <w:t>💬 Sosinna's comment:</w:t>
      </w:r>
      <w:r>
        <w:rPr>
          <w:b w:val="0"/>
          <w:i w:val="0"/>
          <w:strike w:val="0"/>
        </w:rPr>
        <w:t xml:space="preserve"> </w:t>
      </w:r>
      <w:r>
        <w:rPr>
          <w:b w:val="0"/>
          <w:i/>
          <w:strike w:val="0"/>
          <w:color w:val="C55A11"/>
        </w:rPr>
        <w:t>Public regulator sites can seed this — e.g. Banco de Portugal is the primary CASP licensing and AML/CFT supervisor in Portugal, publishing CASP registration updates, internal control reports, and DORA major-incident notifications on its official portal. Useful as a first source, but doesn't fully settle RE-05 (manual curation vs. automated vs. commercial feed) below.</w:t>
      </w:r>
      <w:r>
        <w:rPr>
          <w:b w:val="0"/>
          <w:i w:val="0"/>
          <w:strike w:val="0"/>
        </w:rPr>
        <w:t xml:space="preserve"> </w:t>
      </w:r>
      <w:r>
        <w:rPr>
          <w:b w:val="0"/>
          <w:i/>
          <w:strike w:val="0"/>
          <w:color w:val="C55A11"/>
          <w:sz w:val="16"/>
        </w:rPr>
        <w:t xml:space="preserve"> [Sosinna's Drive comment]</w:t>
      </w:r>
    </w:p>
    <w:p>
      <w:r>
        <w:rPr>
          <w:b/>
          <w:i w:val="0"/>
          <w:strike w:val="0"/>
          <w:color w:val="1155CC"/>
        </w:rPr>
        <w:t>[FR-138]</w:t>
      </w:r>
      <w:r>
        <w:rPr>
          <w:b w:val="0"/>
          <w:i w:val="0"/>
          <w:strike w:val="0"/>
        </w:rPr>
        <w:t xml:space="preserve"> </w:t>
      </w:r>
      <w:r>
        <w:rPr>
          <w:b/>
          <w:i/>
          <w:strike w:val="0"/>
          <w:color w:val="CC00CC"/>
        </w:rPr>
        <w:t>The news feed also carries data and AML alerts fetched from industry vendor sources — the site named on 14 Aug was NICE Actimize's anti-money-laundering pages (niceactimize.com/anti-money-laundering) — shown alongside the regulator sources already listed in FR-54. Items are labelled with their source so a vendor alert is distinguishable from a regulator publication.</w:t>
      </w:r>
      <w:r>
        <w:rPr>
          <w:b w:val="0"/>
          <w:i w:val="0"/>
          <w:strike w:val="0"/>
        </w:rPr>
        <w:t xml:space="preserve"> </w:t>
      </w:r>
      <w:r>
        <w:rPr>
          <w:b w:val="0"/>
          <w:i/>
          <w:strike w:val="0"/>
          <w:color w:val="CC00CC"/>
          <w:sz w:val="16"/>
        </w:rPr>
        <w:t xml:space="preserve"> [14 Aug 2026 MOM]</w:t>
      </w:r>
    </w:p>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v8.0)</w:t>
            </w:r>
          </w:p>
          <w:p>
            <w:r>
              <w:rPr>
                <w:b/>
                <w:i w:val="0"/>
                <w:strike w:val="0"/>
              </w:rPr>
              <w:t>📌 Note</w:t>
            </w:r>
          </w:p>
          <w:p>
            <w:pPr>
              <w:pStyle w:val="ListBullet"/>
            </w:pPr>
            <w:r>
              <w:rPr>
                <w:b/>
                <w:i/>
                <w:strike w:val="0"/>
                <w:color w:val="CC00CC"/>
              </w:rPr>
              <w:t>FR-138 collides with the standing MVP ingestion constraint (Section 4.5): official APIs and RSS feeds only, no custom HTML scraping. NICE Actimize is a commercial vendor site, not a regulator with a public API. Before this is estimated, confirm whether the source offers an RSS feed or licensed API, whether its content licensing permits redisplay inside a commercial product, and whether the manual-curation fallback is acceptable if it does not. Logged as NF-01; resolve together with RE-05, which this is really a concrete instance of.</w:t>
            </w:r>
            <w:r>
              <w:rPr>
                <w:b w:val="0"/>
                <w:i w:val="0"/>
                <w:strike w:val="0"/>
              </w:rPr>
              <w:t xml:space="preserve"> </w:t>
            </w:r>
            <w:r>
              <w:rPr>
                <w:b w:val="0"/>
                <w:i/>
                <w:strike w:val="0"/>
                <w:color w:val="CC00CC"/>
                <w:sz w:val="16"/>
              </w:rPr>
              <w:t xml:space="preserve"> [14 Aug 2026 MOM]</w:t>
            </w:r>
          </w:p>
        </w:tc>
      </w:tr>
    </w:tbl>
    <w:p>
      <w:pPr>
        <w:pStyle w:val="Heading2"/>
      </w:pPr>
      <w:r>
        <w:t>9.2 The Formal Testing Report</w:t>
      </w:r>
    </w:p>
    <w:p>
      <w:r>
        <w:rPr>
          <w:b w:val="0"/>
          <w:i w:val="0"/>
          <w:strike w:val="0"/>
        </w:rPr>
        <w:t>At the end of a testing cycle, the CCO generates a formal risk-based testing report. This is the firm's documented record of what was tested, what was found, and what is being done about it. It is an internal document — it is not automatically sent to the regulator. It is designed for senior management and for the firm's files, at the standard required for regulatory inspection.</w:t>
      </w:r>
    </w:p>
    <w:p>
      <w:r>
        <w:rPr>
          <w:b/>
          <w:i w:val="0"/>
          <w:strike w:val="0"/>
          <w:color w:val="1155CC"/>
        </w:rPr>
        <w:t>[FR-55]</w:t>
      </w:r>
      <w:r>
        <w:rPr>
          <w:b w:val="0"/>
          <w:i w:val="0"/>
          <w:strike w:val="0"/>
        </w:rPr>
        <w:t xml:space="preserve"> The CCO can only generate the report after two things have happened: the AML Officer has formally agreed to the AML-related findings, and all remediation milestone dates have been confirmed with the Remediation Owners.</w:t>
      </w:r>
    </w:p>
    <w:p>
      <w:r>
        <w:rPr>
          <w:b/>
          <w:i w:val="0"/>
          <w:strike w:val="0"/>
          <w:color w:val="1155CC"/>
        </w:rPr>
        <w:t>[FR-56]</w:t>
      </w:r>
      <w:r>
        <w:rPr>
          <w:b w:val="0"/>
          <w:i w:val="0"/>
          <w:strike w:val="0"/>
        </w:rPr>
        <w:t xml:space="preserve"> The report contains these sections in this order: (1) Cover page with the firm's details and the testing period. (2) Why this review was conducted and what was in scope. (3) What the compliance team was looking to verify in each test. (4) What was reviewed — records, systems, documents, communications. (5) The tests performed — </w:t>
      </w:r>
      <w:r>
        <w:rPr>
          <w:b/>
          <w:i/>
          <w:strike w:val="0"/>
          <w:color w:val="7B3F00"/>
        </w:rPr>
        <w:t>for each test, its regulation and rule, and then for each requirement inside it: the requirement ID and name, its articles, its scope period, its notified business unit, its tester, its result, and</w:t>
      </w:r>
      <w:r>
        <w:rPr>
          <w:b w:val="0"/>
          <w:i w:val="0"/>
          <w:strike w:val="0"/>
        </w:rPr>
        <w:t xml:space="preserve"> </w:t>
      </w:r>
      <w:r>
        <w:rPr>
          <w:b w:val="0"/>
          <w:i/>
          <w:strike w:val="0"/>
          <w:color w:val="7B3F00"/>
          <w:sz w:val="16"/>
        </w:rPr>
        <w:t xml:space="preserve"> [Sep 2026 test model]</w:t>
      </w:r>
      <w:r>
        <w:rPr>
          <w:b w:val="0"/>
          <w:i w:val="0"/>
          <w:strike w:val="0"/>
        </w:rPr>
        <w:t xml:space="preserve">  </w:t>
      </w:r>
      <w:r>
        <w:rPr>
          <w:b/>
          <w:i/>
          <w:strike w:val="0"/>
          <w:color w:val="2E7D32"/>
        </w:rPr>
        <w:t>the sampling methodology used and how many records were checked on each step that required sampling, with every step that required none reported explicitly as "no sampling required" rather than left blank (SA-27, FR-142),</w:t>
      </w:r>
      <w:r>
        <w:rPr>
          <w:b w:val="0"/>
          <w:i w:val="0"/>
          <w:strike w:val="0"/>
        </w:rPr>
        <w:t xml:space="preserve"> and what was found step by step. </w:t>
      </w:r>
      <w:r>
        <w:rPr>
          <w:b/>
          <w:i/>
          <w:strike w:val="0"/>
          <w:color w:val="2E7D32"/>
        </w:rPr>
        <w:t>REVISED in v10.0: the superseded wording assumed every test carried a sampling methodology and a record count. A blank field must not be readable both as "no sampling was required" and as "sampling was not documented".</w:t>
      </w:r>
      <w:r>
        <w:rPr>
          <w:b w:val="0"/>
          <w:i w:val="0"/>
          <w:strike w:val="0"/>
        </w:rPr>
        <w:t xml:space="preserve"> </w:t>
      </w:r>
      <w:r>
        <w:rPr>
          <w:b w:val="0"/>
          <w:i/>
          <w:strike w:val="0"/>
          <w:color w:val="2E7D32"/>
          <w:sz w:val="16"/>
        </w:rPr>
        <w:t xml:space="preserve"> [Sep 2026 model revision]</w:t>
      </w:r>
      <w:r>
        <w:rPr>
          <w:b w:val="0"/>
          <w:i w:val="0"/>
          <w:strike w:val="0"/>
        </w:rPr>
        <w:t xml:space="preserve"> (6) A summary of all Findings with their seriousness ratings and regulation article references. (7) The complete remediation plan with all milestone dates and owners. (8) The senior management sign-off block.</w:t>
      </w:r>
    </w:p>
    <w:p>
      <w:r>
        <w:rPr>
          <w:b/>
          <w:i w:val="0"/>
          <w:strike w:val="0"/>
          <w:color w:val="1155CC"/>
        </w:rPr>
        <w:t>[FR-98]</w:t>
      </w:r>
      <w:r>
        <w:rPr>
          <w:b w:val="0"/>
          <w:i w:val="0"/>
          <w:strike w:val="0"/>
        </w:rPr>
        <w:t xml:space="preserve"> </w:t>
      </w:r>
      <w:r>
        <w:rPr>
          <w:b/>
          <w:i/>
          <w:strike w:val="0"/>
          <w:color w:val="7030A0"/>
        </w:rPr>
        <w:t>Revised report contents for v5.0. The August 2026 meeting restated what the final report must contain, and two items need adding to the FR-56 structure: (a) the calculated risk rating for the period, derived from the gaps identified during testing — the platform calculates it, the compliance officer confirms it, consistent with the existing Section 8 decision; and (b) the current remediation status of every finding at the point of report generation, not just the agreed plan. The report therefore reads: findings → calculated risk ratings → remediation plan and status.</w:t>
      </w:r>
      <w:r>
        <w:rPr>
          <w:b w:val="0"/>
          <w:i w:val="0"/>
          <w:strike w:val="0"/>
        </w:rPr>
        <w:t xml:space="preserve"> </w:t>
      </w:r>
      <w:r>
        <w:rPr>
          <w:b w:val="0"/>
          <w:i/>
          <w:strike w:val="0"/>
          <w:color w:val="7030A0"/>
          <w:sz w:val="16"/>
        </w:rPr>
        <w:t xml:space="preserve"> [Aug 2026 client MOM]</w:t>
      </w:r>
      <w:r>
        <w:rPr>
          <w:b w:val="0"/>
          <w:i w:val="0"/>
          <w:strike w:val="0"/>
        </w:rPr>
        <w:t xml:space="preserve"> </w:t>
      </w:r>
      <w:r>
        <w:rPr>
          <w:b/>
          <w:i/>
          <w:strike w:val="0"/>
          <w:color w:val="008080"/>
        </w:rPr>
        <w:t>v6.0: "the gaps identified during testing" now has a defined source — the FR-112 gap identification in Section 7.5, as confirmed by the tester. The risk rating is calculated from confirmed gaps, not from candidate ones.</w:t>
      </w:r>
      <w:r>
        <w:rPr>
          <w:b w:val="0"/>
          <w:i w:val="0"/>
          <w:strike w:val="0"/>
        </w:rPr>
        <w:t xml:space="preserve"> </w:t>
      </w:r>
      <w:r>
        <w:rPr>
          <w:b w:val="0"/>
          <w:i/>
          <w:strike w:val="0"/>
          <w:color w:val="008080"/>
          <w:sz w:val="16"/>
        </w:rPr>
        <w:t xml:space="preserve"> [11 Aug 2026 MOM]</w:t>
      </w:r>
      <w:r>
        <w:rPr>
          <w:b w:val="0"/>
          <w:i w:val="0"/>
          <w:strike w:val="0"/>
        </w:rPr>
        <w:t xml:space="preserve"> </w:t>
      </w:r>
      <w:r>
        <w:rPr>
          <w:b/>
          <w:i/>
          <w:strike w:val="0"/>
          <w:color w:val="7B3F00"/>
        </w:rPr>
        <w:t>v11.0: gaps and their confirmed findings are attributed to a requirement (FR-40), so the period's risk rating is computed over requirement-level findings and can be reported per test as well as for the period as a whole.</w:t>
      </w:r>
      <w:r>
        <w:rPr>
          <w:b w:val="0"/>
          <w:i w:val="0"/>
          <w:strike w:val="0"/>
        </w:rPr>
        <w:t xml:space="preserve"> </w:t>
      </w:r>
      <w:r>
        <w:rPr>
          <w:b w:val="0"/>
          <w:i/>
          <w:strike w:val="0"/>
          <w:color w:val="7B3F00"/>
          <w:sz w:val="16"/>
        </w:rPr>
        <w:t xml:space="preserve"> [Sep 2026 test model]</w:t>
      </w:r>
    </w:p>
    <w:p>
      <w:r>
        <w:rPr>
          <w:b/>
          <w:i w:val="0"/>
          <w:strike w:val="0"/>
          <w:color w:val="1155CC"/>
        </w:rPr>
        <w:t>[FR-99]</w:t>
      </w:r>
      <w:r>
        <w:rPr>
          <w:b w:val="0"/>
          <w:i w:val="0"/>
          <w:strike w:val="0"/>
        </w:rPr>
        <w:t xml:space="preserve"> </w:t>
      </w:r>
      <w:r>
        <w:rPr>
          <w:b/>
          <w:i/>
          <w:strike w:val="0"/>
          <w:color w:val="7030A0"/>
        </w:rPr>
        <w:t>The report carries an appendix listing every test marked Not Applicable for the period, with the CCO's written justification for each (see FR-94). N/A decisions are visible in the formal record, not only in the platform.</w:t>
      </w:r>
      <w:r>
        <w:rPr>
          <w:b w:val="0"/>
          <w:i w:val="0"/>
          <w:strike w:val="0"/>
        </w:rPr>
        <w:t xml:space="preserve"> </w:t>
      </w:r>
      <w:r>
        <w:rPr>
          <w:b w:val="0"/>
          <w:i/>
          <w:strike w:val="0"/>
          <w:color w:val="7030A0"/>
          <w:sz w:val="16"/>
        </w:rPr>
        <w:t xml:space="preserve"> [Aug 2026 client MOM]</w:t>
      </w:r>
    </w:p>
    <w:p>
      <w:r>
        <w:rPr>
          <w:b/>
          <w:i w:val="0"/>
          <w:strike w:val="0"/>
          <w:color w:val="1155CC"/>
        </w:rPr>
        <w:t>[FR-100]</w:t>
      </w:r>
      <w:r>
        <w:rPr>
          <w:b w:val="0"/>
          <w:i w:val="0"/>
          <w:strike w:val="0"/>
        </w:rPr>
        <w:t xml:space="preserve"> </w:t>
      </w:r>
      <w:r>
        <w:rPr>
          <w:b/>
          <w:i/>
          <w:strike w:val="0"/>
          <w:color w:val="7030A0"/>
        </w:rPr>
        <w:t>The scope period of each test (FR-80) is stated in the report against that test, so a reader can see exactly what date range was examined.</w:t>
      </w:r>
      <w:r>
        <w:rPr>
          <w:b w:val="0"/>
          <w:i w:val="0"/>
          <w:strike w:val="0"/>
        </w:rPr>
        <w:t xml:space="preserve"> </w:t>
      </w:r>
      <w:r>
        <w:rPr>
          <w:b w:val="0"/>
          <w:i/>
          <w:strike w:val="0"/>
          <w:color w:val="7030A0"/>
          <w:sz w:val="16"/>
        </w:rPr>
        <w:t xml:space="preserve"> [Aug 2026 client MOM]</w:t>
      </w:r>
      <w:r>
        <w:rPr>
          <w:b w:val="0"/>
          <w:i w:val="0"/>
          <w:strike w:val="0"/>
        </w:rPr>
        <w:t xml:space="preserve"> </w:t>
      </w:r>
      <w:r>
        <w:rPr>
          <w:b/>
          <w:i/>
          <w:strike w:val="0"/>
          <w:color w:val="7B3F00"/>
        </w:rPr>
        <w:t>REVISED in v11.0: the scope period belongs to the requirement, so it is stated against each requirement. Where every requirement of a test shares one period the report may state it once at test level, but where they differ — which the per-requirement schedule makes possible (FR-146) — each requirement carries its own, and no single date range is claimed for the test.</w:t>
      </w:r>
      <w:r>
        <w:rPr>
          <w:b w:val="0"/>
          <w:i w:val="0"/>
          <w:strike w:val="0"/>
        </w:rPr>
        <w:t xml:space="preserve"> </w:t>
      </w:r>
      <w:r>
        <w:rPr>
          <w:b w:val="0"/>
          <w:i/>
          <w:strike w:val="0"/>
          <w:color w:val="7B3F00"/>
          <w:sz w:val="16"/>
        </w:rPr>
        <w:t xml:space="preserve"> [Sep 2026 test model]</w:t>
      </w:r>
    </w:p>
    <w:p>
      <w:r>
        <w:rPr>
          <w:b/>
          <w:i w:val="0"/>
          <w:strike w:val="0"/>
          <w:color w:val="1155CC"/>
        </w:rPr>
        <w:t>[FR-57]</w:t>
      </w:r>
      <w:r>
        <w:rPr>
          <w:b w:val="0"/>
          <w:i w:val="0"/>
          <w:strike w:val="0"/>
        </w:rPr>
        <w:t xml:space="preserve"> Every report is branded with the ControlIQ logo and name. Reports are not re-branded with the client firm's own logo.</w:t>
      </w:r>
    </w:p>
    <w:p>
      <w:r>
        <w:rPr>
          <w:b/>
          <w:i w:val="0"/>
          <w:strike w:val="0"/>
          <w:color w:val="1155CC"/>
        </w:rPr>
        <w:t>[FR-58]</w:t>
      </w:r>
      <w:r>
        <w:rPr>
          <w:b w:val="0"/>
          <w:i w:val="0"/>
          <w:strike w:val="0"/>
        </w:rPr>
        <w:t xml:space="preserve"> After the report is generated, Senior Management users receive a notification to review and sign off. Their sign-off is recorded in the platform as a permanent, auditable record.</w:t>
      </w:r>
    </w:p>
    <w:p>
      <w:r>
        <w:rPr>
          <w:b/>
          <w:i w:val="0"/>
          <w:strike w:val="0"/>
          <w:color w:val="1155CC"/>
        </w:rPr>
        <w:t>[FR-59]</w:t>
      </w:r>
      <w:r>
        <w:rPr>
          <w:b w:val="0"/>
          <w:i w:val="0"/>
          <w:strike w:val="0"/>
        </w:rPr>
        <w:t xml:space="preserve"> Once signed off, the report is automatically sent to the firm's configured distribution lists.</w:t>
      </w:r>
    </w:p>
    <w:p>
      <w:r>
        <w:rPr>
          <w:b/>
          <w:i w:val="0"/>
          <w:strike w:val="0"/>
          <w:color w:val="1155CC"/>
        </w:rPr>
        <w:t>[FR-60]</w:t>
      </w:r>
      <w:r>
        <w:rPr>
          <w:b w:val="0"/>
          <w:i w:val="0"/>
          <w:strike w:val="0"/>
        </w:rPr>
        <w:t xml:space="preserve"> Reports can be downloaded as PDFs. </w:t>
      </w:r>
      <w:r>
        <w:rPr>
          <w:b/>
          <w:i w:val="0"/>
          <w:strike w:val="0"/>
        </w:rPr>
        <w:t>📞 From the 25 Jun FRD Review call:</w:t>
      </w:r>
      <w:r>
        <w:rPr>
          <w:b w:val="0"/>
          <w:i w:val="0"/>
          <w:strike w:val="0"/>
        </w:rPr>
        <w:t xml:space="preserve"> </w:t>
      </w:r>
      <w:r>
        <w:rPr>
          <w:b w:val="0"/>
          <w:i/>
          <w:strike w:val="0"/>
          <w:color w:val="1155CC"/>
        </w:rPr>
        <w:t>Sosinna has a Word/PDF report template to send over — Jomin flagged this as not a blocker, just needs the template attached before the report layout is finalised. Doesn't fully close RP-04 (whether Excel export is also needed) — see Section 15.</w:t>
      </w:r>
      <w:r>
        <w:rPr>
          <w:b w:val="0"/>
          <w:i w:val="0"/>
          <w:strike w:val="0"/>
        </w:rPr>
        <w:t xml:space="preserve"> </w:t>
      </w:r>
      <w:r>
        <w:rPr>
          <w:b w:val="0"/>
          <w:i/>
          <w:strike w:val="0"/>
          <w:color w:val="1155CC"/>
          <w:sz w:val="16"/>
        </w:rPr>
        <w:t xml:space="preserve"> [25 Jun FRD call]</w:t>
      </w:r>
    </w:p>
    <w:p>
      <w:r>
        <w:rPr>
          <w:b/>
          <w:i w:val="0"/>
          <w:strike w:val="0"/>
          <w:color w:val="1155CC"/>
        </w:rPr>
        <w:t>[FR-61]</w:t>
      </w:r>
      <w:r>
        <w:rPr>
          <w:b w:val="0"/>
          <w:i w:val="0"/>
          <w:strike w:val="0"/>
        </w:rPr>
        <w:t xml:space="preserve"> Once a report has been generated and signed off, it is permanently archived exactly as it was. It cannot be changed. If a new issue is found afterwards, it goes into the next testing cycle's report.</w:t>
      </w:r>
    </w:p>
    <w:tbl>
      <w:tblPr>
        <w:tblStyle w:val="TableGrid"/>
        <w:tblW w:type="auto" w:w="0"/>
        <w:tblLook w:firstColumn="1" w:firstRow="1" w:lastColumn="0" w:lastRow="0" w:noHBand="0" w:noVBand="1" w:val="04A0"/>
      </w:tblPr>
      <w:tblGrid>
        <w:gridCol w:w="8640"/>
      </w:tblGrid>
      <w:tr>
        <w:tc>
          <w:tcPr>
            <w:tcW w:type="dxa" w:w="8640"/>
            <w:shd w:val="clear" w:fill="E2EFDA"/>
          </w:tcPr>
          <w:p>
            <w:r/>
            <w:r>
              <w:rPr>
                <w:b/>
                <w:i w:val="0"/>
                <w:strike w:val="0"/>
              </w:rPr>
              <w:t>✅ What we have agreed</w:t>
            </w:r>
            <w:r>
              <w:rPr>
                <w:b w:val="0"/>
                <w:i w:val="0"/>
                <w:strike w:val="0"/>
              </w:rPr>
              <w:t xml:space="preserve"> </w:t>
            </w:r>
            <w:r>
              <w:br/>
            </w:r>
            <w:r>
              <w:rPr>
                <w:b w:val="0"/>
                <w:i w:val="0"/>
                <w:strike w:val="0"/>
              </w:rPr>
              <w:t xml:space="preserve"> • Reports are ControlIQ-branded — not white-labelled with the client firm's own logo. </w:t>
            </w:r>
            <w:r>
              <w:br/>
            </w:r>
            <w:r>
              <w:rPr>
                <w:b w:val="0"/>
                <w:i w:val="0"/>
                <w:strike w:val="0"/>
              </w:rPr>
              <w:t xml:space="preserve"> • The report is an internal document for senior management — it is not designed for direct submission to a national regulator. </w:t>
            </w:r>
            <w:r>
              <w:br/>
            </w:r>
            <w:r>
              <w:rPr>
                <w:b w:val="0"/>
                <w:i w:val="0"/>
                <w:strike w:val="0"/>
              </w:rPr>
              <w:t xml:space="preserve"> • The remediation plan is embedded in the report as a confirmed section, agreed before the report is issued. </w:t>
            </w:r>
            <w:r>
              <w:br/>
            </w:r>
            <w:r>
              <w:rPr>
                <w:b w:val="0"/>
                <w:i w:val="0"/>
                <w:strike w:val="0"/>
              </w:rPr>
              <w:t xml:space="preserve"> • Reports are immutable once signed off.</w:t>
            </w:r>
          </w:p>
        </w:tc>
      </w:tr>
      <w:tr>
        <w:tc>
          <w:tcPr>
            <w:tcW w:type="dxa" w:w="8640"/>
            <w:shd w:val="clear" w:fill="FFF2CC"/>
          </w:tcPr>
          <w:p>
            <w:r/>
            <w:r>
              <w:rPr>
                <w:b/>
                <w:i w:val="0"/>
                <w:strike w:val="0"/>
              </w:rPr>
              <w:t>💬 Questions still to confirm</w:t>
            </w:r>
            <w:r>
              <w:rPr>
                <w:b w:val="0"/>
                <w:i w:val="0"/>
                <w:strike w:val="0"/>
              </w:rPr>
              <w:t xml:space="preserve"> </w:t>
            </w:r>
            <w:r>
              <w:br/>
            </w:r>
            <w:r>
              <w:rPr>
                <w:b w:val="0"/>
                <w:i w:val="0"/>
                <w:strike w:val="0"/>
              </w:rPr>
              <w:t xml:space="preserve"> • </w:t>
            </w:r>
            <w:r>
              <w:rPr>
                <w:b/>
                <w:i w:val="0"/>
                <w:strike w:val="0"/>
              </w:rPr>
              <w:t>Report export (RP-04): PDF is confirmed and a template is coming from Sosinna. Word export is likely (for legal team commentary) but not explicitly confirmed; Excel export for data analysis is still undecided.</w:t>
            </w:r>
            <w:r>
              <w:rPr>
                <w:b w:val="0"/>
                <w:i w:val="0"/>
                <w:strike w:val="0"/>
              </w:rPr>
              <w:t xml:space="preserve"> </w:t>
            </w:r>
            <w:r>
              <w:rPr>
                <w:b w:val="0"/>
                <w:i/>
                <w:strike w:val="0"/>
                <w:color w:val="1155CC"/>
                <w:sz w:val="16"/>
              </w:rPr>
              <w:t xml:space="preserve"> [25 Jun FRD call]</w:t>
            </w:r>
            <w:r>
              <w:rPr>
                <w:b w:val="0"/>
                <w:i w:val="0"/>
                <w:strike w:val="0"/>
              </w:rPr>
              <w:t xml:space="preserve"> </w:t>
            </w:r>
            <w:r>
              <w:br/>
            </w:r>
            <w:r>
              <w:rPr>
                <w:b w:val="0"/>
                <w:i w:val="0"/>
                <w:strike w:val="0"/>
              </w:rPr>
              <w:t xml:space="preserve"> • Regulatory news feed (RE-05): Should this be curated manually by Sosinna's team, collected automatically by scanning official websites, or sourced from a commercial regulatory intelligence service? [Public regulator portals like Banco de Portugal are one candidate source — see Section 9.1 — but this doesn't decide the sourcing model.]</w:t>
            </w:r>
          </w:p>
        </w:tc>
      </w:tr>
    </w:tbl>
    <w:p>
      <w:pPr>
        <w:pStyle w:val="Heading2"/>
      </w:pPr>
      <w:r>
        <w:t>9.3 Glossary and Guidance</w:t>
      </w:r>
    </w:p>
    <w:p>
      <w:r>
        <w:rPr>
          <w:b/>
          <w:i/>
          <w:strike w:val="0"/>
          <w:color w:val="CC00CC"/>
        </w:rPr>
        <w:t>NEW in v8.0 — from the 14 August 2026 client meeting.</w:t>
      </w:r>
      <w:r>
        <w:rPr>
          <w:b w:val="0"/>
          <w:i w:val="0"/>
          <w:strike w:val="0"/>
        </w:rPr>
        <w:t xml:space="preserve"> </w:t>
      </w:r>
      <w:r>
        <w:rPr>
          <w:b w:val="0"/>
          <w:i/>
          <w:strike w:val="0"/>
          <w:color w:val="CC00CC"/>
          <w:sz w:val="16"/>
        </w:rPr>
        <w:t xml:space="preserve"> [14 Aug 2026 MOM]</w:t>
      </w:r>
    </w:p>
    <w:p>
      <w:r>
        <w:rPr>
          <w:b/>
          <w:i w:val="0"/>
          <w:strike w:val="0"/>
          <w:color w:val="1155CC"/>
        </w:rPr>
        <w:t>[FR-137]</w:t>
      </w:r>
      <w:r>
        <w:rPr>
          <w:b w:val="0"/>
          <w:i w:val="0"/>
          <w:strike w:val="0"/>
        </w:rPr>
        <w:t xml:space="preserve"> </w:t>
      </w:r>
      <w:r>
        <w:rPr>
          <w:b/>
          <w:i/>
          <w:strike w:val="0"/>
          <w:color w:val="CC00CC"/>
        </w:rPr>
        <w:t>The firm application has a page showing the glossary and guidance: plain-language definitions of the regulatory and platform terms used across ControlIQ, and guidance notes on how to use the platform's compliance workflows. The content is authored and managed centrally by Sosinna's team through the Portal's glossary management page (SA-25) — firms read it, they do not edit it. The page is available to every logged-in firm role.</w:t>
      </w:r>
      <w:r>
        <w:rPr>
          <w:b w:val="0"/>
          <w:i w:val="0"/>
          <w:strike w:val="0"/>
        </w:rPr>
        <w:t xml:space="preserve"> </w:t>
      </w:r>
      <w:r>
        <w:rPr>
          <w:b w:val="0"/>
          <w:i/>
          <w:strike w:val="0"/>
          <w:color w:val="CC00CC"/>
          <w:sz w:val="16"/>
        </w:rPr>
        <w:t xml:space="preserve"> [14 Aug 2026 MOM]</w:t>
      </w:r>
    </w:p>
    <w:p>
      <w:pPr>
        <w:pStyle w:val="Heading1"/>
      </w:pPr>
      <w:r>
        <w:t>10. Organisation and Staff</w:t>
      </w:r>
    </w:p>
    <w:p>
      <w:r>
        <w:rPr>
          <w:b w:val="0"/>
          <w:i w:val="0"/>
          <w:strike w:val="0"/>
        </w:rPr>
        <w:t>The Organisation and Staff module is the firm's governance directory. It is not a HR system — the firm will continue to manage HR elsewhere. What this module does is capture the specific governance information that MiCA and DORA require to be documented: who holds which compliance role, whether their qualifications are current, who reports to whom, what communication channels they are approved to use with clients, what hardware they have been issued, and who calls whom in an emergency.</w:t>
      </w:r>
    </w:p>
    <w:p>
      <w:r>
        <w:rPr>
          <w:b w:val="0"/>
          <w:i w:val="0"/>
          <w:strike w:val="0"/>
        </w:rPr>
        <w:t>There are two types of records here. The first is Platform Users — team members who have a login to ControlIQ. The second is Staff Members — any employee who needs to appear in the org chart, the emergency contact chain, or the qualifications register, but who does not have a platform login and cannot take any action in the system. Both types are tracked here.</w:t>
      </w:r>
    </w:p>
    <w:p>
      <w:pPr>
        <w:pStyle w:val="Heading2"/>
      </w:pPr>
      <w:r>
        <w:t>10.1 Adding and Managing Staff</w:t>
      </w:r>
    </w:p>
    <w:p>
      <w:r>
        <w:rPr>
          <w:b/>
          <w:i w:val="0"/>
          <w:strike w:val="0"/>
          <w:color w:val="1155CC"/>
        </w:rPr>
        <w:t>[FR-62]</w:t>
      </w:r>
      <w:r>
        <w:rPr>
          <w:b w:val="0"/>
          <w:i w:val="0"/>
          <w:strike w:val="0"/>
        </w:rPr>
        <w:t xml:space="preserve"> Staff can be added in bulk using a CSV upload (the platform provides the template, which follows the format of the source compliance spreadsheet). </w:t>
      </w:r>
      <w:r>
        <w:rPr>
          <w:b w:val="0"/>
          <w:i w:val="0"/>
          <w:strike/>
        </w:rPr>
        <w:t>They can also be added one at a time manually.</w:t>
      </w:r>
      <w:r>
        <w:rPr>
          <w:b w:val="0"/>
          <w:i w:val="0"/>
          <w:strike w:val="0"/>
        </w:rPr>
        <w:t xml:space="preserve"> Integration with HR systems like Workday is not in scope for the first version. </w:t>
      </w:r>
      <w:r>
        <w:rPr>
          <w:b/>
          <w:i/>
          <w:strike w:val="0"/>
          <w:color w:val="CC00CC"/>
        </w:rPr>
        <w:t>REVISED in v8.0: the option to manually add a person to the organisation is removed — the spreadsheet upload is the only entry route. The struck-through sentence is kept for context under the supersession convention. Corrections to an individual record after upload are still made in place (FR-121 has the firm fixing gaps "in place"); what is removed is creating a new person by hand. This applies wherever staff enter the platform, including the onboarding capture in FR-120.</w:t>
      </w:r>
      <w:r>
        <w:rPr>
          <w:b w:val="0"/>
          <w:i w:val="0"/>
          <w:strike w:val="0"/>
        </w:rPr>
        <w:t xml:space="preserve"> </w:t>
      </w:r>
      <w:r>
        <w:rPr>
          <w:b w:val="0"/>
          <w:i/>
          <w:strike w:val="0"/>
          <w:color w:val="CC00CC"/>
          <w:sz w:val="16"/>
        </w:rPr>
        <w:t xml:space="preserve"> [14 Aug 2026 MOM]</w:t>
      </w:r>
    </w:p>
    <w:p>
      <w:r>
        <w:rPr>
          <w:b/>
          <w:i w:val="0"/>
          <w:strike w:val="0"/>
          <w:color w:val="1155CC"/>
        </w:rPr>
        <w:t>[FR-63]</w:t>
      </w:r>
      <w:r>
        <w:rPr>
          <w:b w:val="0"/>
          <w:i w:val="0"/>
          <w:strike w:val="0"/>
        </w:rPr>
        <w:t xml:space="preserve"> Each staff record captures: name, job title, custom firm role, department, reporting line (who they report to), professional licences and certifications with their expiry dates, the communication channels they are approved to use with clients, the hardware devices they have been issued (device type, serial number, asset tag), and their alternate work location for Business Continuity purposes.</w:t>
      </w:r>
    </w:p>
    <w:p>
      <w:r>
        <w:rPr>
          <w:b/>
          <w:i w:val="0"/>
          <w:strike w:val="0"/>
          <w:color w:val="1155CC"/>
        </w:rPr>
        <w:t>[FR-101]</w:t>
      </w:r>
      <w:r>
        <w:rPr>
          <w:b w:val="0"/>
          <w:i w:val="0"/>
          <w:strike w:val="0"/>
        </w:rPr>
        <w:t xml:space="preserve"> </w:t>
      </w:r>
      <w:r>
        <w:rPr>
          <w:b/>
          <w:i/>
          <w:strike w:val="0"/>
          <w:color w:val="7030A0"/>
        </w:rPr>
        <w:t>Every staff record carries an explicit flag for whether that person holds system entitlements — that is, whether they have a login to ControlIQ. The organisation chart tracks the firm's whole headcount (the client's worked example: 42 staff members) while identifying the subset that are platform users (in that example, 9). Headcount and entitlement count are reported separately and never conflated: seat-based pricing under CC-01 is set on entitlements, not headcount.</w:t>
      </w:r>
      <w:r>
        <w:rPr>
          <w:b w:val="0"/>
          <w:i w:val="0"/>
          <w:strike w:val="0"/>
        </w:rPr>
        <w:t xml:space="preserve"> </w:t>
      </w:r>
      <w:r>
        <w:rPr>
          <w:b w:val="0"/>
          <w:i/>
          <w:strike w:val="0"/>
          <w:color w:val="7030A0"/>
          <w:sz w:val="16"/>
        </w:rPr>
        <w:t xml:space="preserve"> [Aug 2026 client MOM]</w:t>
      </w:r>
    </w:p>
    <w:p>
      <w:r>
        <w:rPr>
          <w:b/>
          <w:i w:val="0"/>
          <w:strike w:val="0"/>
          <w:color w:val="1155CC"/>
        </w:rPr>
        <w:t>[FR-64]</w:t>
      </w:r>
      <w:r>
        <w:rPr>
          <w:b w:val="0"/>
          <w:i w:val="0"/>
          <w:strike w:val="0"/>
        </w:rPr>
        <w:t xml:space="preserve"> A single person can hold multiple roles — for example, in smaller firms it is common for one person to be both the CCO and the Money Laundering Reporting Officer (MLRO). The platform handles this without creating duplicate records.</w:t>
      </w:r>
    </w:p>
    <w:p>
      <w:pPr>
        <w:pStyle w:val="Heading2"/>
      </w:pPr>
      <w:r>
        <w:t>10.2 The Org Chart</w:t>
      </w:r>
    </w:p>
    <w:p>
      <w:r>
        <w:rPr>
          <w:b/>
          <w:i w:val="0"/>
          <w:strike w:val="0"/>
          <w:color w:val="1155CC"/>
        </w:rPr>
        <w:t>[FR-65]</w:t>
      </w:r>
      <w:r>
        <w:rPr>
          <w:b w:val="0"/>
          <w:i w:val="0"/>
          <w:strike w:val="0"/>
        </w:rPr>
        <w:t xml:space="preserve"> The platform generates a visual org chart — a proper interactive tree diagram showing who reports to whom — automatically from the reporting line fields in the staff records. The firm does not draw the org chart manually. They add their team members with their manager's name, and the platform builds the chart.</w:t>
      </w:r>
    </w:p>
    <w:p>
      <w:r>
        <w:rPr>
          <w:b/>
          <w:i w:val="0"/>
          <w:strike w:val="0"/>
          <w:color w:val="1155CC"/>
        </w:rPr>
        <w:t>[FR-66]</w:t>
      </w:r>
      <w:r>
        <w:rPr>
          <w:b w:val="0"/>
          <w:i w:val="0"/>
          <w:strike w:val="0"/>
        </w:rPr>
        <w:t xml:space="preserve"> The CCO's reporting line is highlighted in the org chart. If the platform detects that the CCO reports to a revenue function (such as Sales or Trading) rather than directly to the Management Body or Board, it flags this as a governance red flag — because MiCA Art. 68(2) requires the compliance function to be independent.</w:t>
      </w:r>
    </w:p>
    <w:p>
      <w:r>
        <w:rPr>
          <w:b/>
          <w:i w:val="0"/>
          <w:strike w:val="0"/>
          <w:color w:val="1155CC"/>
        </w:rPr>
        <w:t>[FR-139]</w:t>
      </w:r>
      <w:r>
        <w:rPr>
          <w:b w:val="0"/>
          <w:i w:val="0"/>
          <w:strike w:val="0"/>
        </w:rPr>
        <w:t xml:space="preserve"> </w:t>
      </w:r>
      <w:r>
        <w:rPr>
          <w:b/>
          <w:i/>
          <w:strike w:val="0"/>
          <w:color w:val="C00000"/>
        </w:rPr>
        <w:t>Org chart level changes — uploading a new staff spreadsheet, changing reporting lines, editing staff records — require the Firm Super Admin system role. Other firm roles see the org chart and its analytics read-only. CONFIRMED in v9.0: the "Firm Admin" named in the 14 August minutes is the client's own name for the existing Firm Super Admin role, exactly as this document read it. No additional system role is created. UM-01 is closed.</w:t>
      </w:r>
      <w:r>
        <w:rPr>
          <w:b w:val="0"/>
          <w:i w:val="0"/>
          <w:strike w:val="0"/>
        </w:rPr>
        <w:t xml:space="preserve"> </w:t>
      </w:r>
      <w:r>
        <w:rPr>
          <w:b w:val="0"/>
          <w:i/>
          <w:strike w:val="0"/>
          <w:color w:val="C00000"/>
          <w:sz w:val="16"/>
        </w:rPr>
        <w:t xml:space="preserve"> [Sep 2026 scope decision]</w:t>
      </w:r>
    </w:p>
    <w:p>
      <w:pPr>
        <w:pStyle w:val="Heading2"/>
      </w:pPr>
      <w:r>
        <w:t>10.3 Qualifications and Fit &amp; Proper</w:t>
      </w:r>
    </w:p>
    <w:p>
      <w:r>
        <w:rPr>
          <w:b/>
          <w:i w:val="0"/>
          <w:strike w:val="0"/>
          <w:color w:val="1155CC"/>
        </w:rPr>
        <w:t>[FR-67]</w:t>
      </w:r>
      <w:r>
        <w:rPr>
          <w:b w:val="0"/>
          <w:i w:val="0"/>
          <w:strike w:val="0"/>
        </w:rPr>
        <w:t xml:space="preserve"> Professional licences and certifications tracked in the system have expiry dates. The platform sends automatic reminders at 30 days, 14 days, and 1 day before any certification is due to lapse — to the individual, their manager, and the CCO. An expired certification marks the staff member's record as non-compliant in the system.</w:t>
      </w:r>
    </w:p>
    <w:p>
      <w:pPr>
        <w:pStyle w:val="Heading2"/>
      </w:pPr>
      <w:r>
        <w:t>10.4 Communication Channels</w:t>
      </w:r>
    </w:p>
    <w:p>
      <w:r>
        <w:rPr>
          <w:b/>
          <w:i w:val="0"/>
          <w:strike w:val="0"/>
          <w:color w:val="1155CC"/>
        </w:rPr>
        <w:t>[FR-68]</w:t>
      </w:r>
      <w:r>
        <w:rPr>
          <w:b w:val="0"/>
          <w:i w:val="0"/>
          <w:strike w:val="0"/>
        </w:rPr>
        <w:t xml:space="preserve"> MiCA requires firms to use only approved, monitorable communication channels when communicating with clients — and to record which channels each team member is using. Each staff record includes an assignment of their approved channels (for example: corporate email, Bloomberg Chat, recorded phone line). If a staff member has no channel assigned, the record is flagged as a compliance gap.</w:t>
      </w:r>
    </w:p>
    <w:p>
      <w:r>
        <w:rPr>
          <w:b/>
          <w:i w:val="0"/>
          <w:strike w:val="0"/>
        </w:rPr>
        <w:t>📞 From the 25 Jun call (OS-02 answer):</w:t>
      </w:r>
      <w:r>
        <w:rPr>
          <w:b w:val="0"/>
          <w:i w:val="0"/>
          <w:strike w:val="0"/>
        </w:rPr>
        <w:t xml:space="preserve"> </w:t>
      </w:r>
      <w:r>
        <w:rPr>
          <w:b w:val="0"/>
          <w:i/>
          <w:strike w:val="0"/>
          <w:color w:val="1155CC"/>
        </w:rPr>
        <w:t>not a fixed platform-wide dropdown. Channel usage varies too much between roles (sales might use 20 different tools; back-office might only use email) to hardcode. Instead: the firm's IT team provides their channel list at onboarding, ingested via bulk CSV. On import, the platform validates entries against that firm-specific reference list and flags mismatches (e.g. "mail" vs "email", a misspelled tool name) so the admin can correct or explicitly override them. This resolves OS-02 in Section 15 below.</w:t>
      </w:r>
      <w:r>
        <w:rPr>
          <w:b w:val="0"/>
          <w:i w:val="0"/>
          <w:strike w:val="0"/>
        </w:rPr>
        <w:t xml:space="preserve"> </w:t>
      </w:r>
      <w:r>
        <w:rPr>
          <w:b w:val="0"/>
          <w:i/>
          <w:strike w:val="0"/>
          <w:color w:val="1155CC"/>
          <w:sz w:val="16"/>
        </w:rPr>
        <w:t xml:space="preserve"> [25 Jun FRD call]</w:t>
      </w:r>
    </w:p>
    <w:p>
      <w:pPr>
        <w:pStyle w:val="Heading2"/>
      </w:pPr>
      <w:r>
        <w:t>10.5 Hardware and Business Continuity</w:t>
      </w:r>
    </w:p>
    <w:p>
      <w:r>
        <w:rPr>
          <w:b/>
          <w:i w:val="0"/>
          <w:strike w:val="0"/>
          <w:color w:val="1155CC"/>
        </w:rPr>
        <w:t>[FR-69]</w:t>
      </w:r>
      <w:r>
        <w:rPr>
          <w:b w:val="0"/>
          <w:i w:val="0"/>
          <w:strike w:val="0"/>
        </w:rPr>
        <w:t xml:space="preserve"> Each staff member's issued hardware is recorded — device type, serial number, and asset tag. This is required for DORA IT risk management.</w:t>
      </w:r>
    </w:p>
    <w:p>
      <w:r>
        <w:rPr>
          <w:b/>
          <w:i w:val="0"/>
          <w:strike w:val="0"/>
          <w:color w:val="1155CC"/>
        </w:rPr>
        <w:t>[FR-70]</w:t>
      </w:r>
      <w:r>
        <w:rPr>
          <w:b w:val="0"/>
          <w:i w:val="0"/>
          <w:strike w:val="0"/>
        </w:rPr>
        <w:t xml:space="preserve"> Each staff member is assigned one 'next contact' in the Business Continuity call tree — meaning if an emergency occurs and the firm needs to reach everyone, there is a clear, unbroken chain of contacts. The platform flags if any link in the chain is missing. </w:t>
      </w:r>
      <w:r>
        <w:rPr>
          <w:b/>
          <w:i/>
          <w:strike w:val="0"/>
          <w:color w:val="843C0C"/>
        </w:rPr>
        <w:t>v7.0: the call tree is now first captured during onboarding, and this check runs there too — see Section 5.6, FR-120 to FR-122. Same rule, one implementation, two entry points. A gap the firm acknowledged as legitimate at onboarding (FR-122) shows here as an acknowledged exception rather than an open flag.</w:t>
      </w:r>
      <w:r>
        <w:rPr>
          <w:b w:val="0"/>
          <w:i w:val="0"/>
          <w:strike w:val="0"/>
        </w:rPr>
        <w:t xml:space="preserve"> </w:t>
      </w:r>
      <w:r>
        <w:rPr>
          <w:b w:val="0"/>
          <w:i/>
          <w:strike w:val="0"/>
          <w:color w:val="843C0C"/>
          <w:sz w:val="16"/>
        </w:rPr>
        <w:t xml:space="preserve"> [Aug 2026 onboarding flow]</w:t>
      </w:r>
    </w:p>
    <w:p>
      <w:r>
        <w:rPr>
          <w:b/>
          <w:i/>
          <w:strike w:val="0"/>
          <w:color w:val="CC00CC"/>
        </w:rPr>
        <w:t xml:space="preserve">DESCOPED in v8.0: there is </w:t>
      </w:r>
      <w:r>
        <w:rPr>
          <w:b/>
          <w:i/>
          <w:strike w:val="0"/>
          <w:color w:val="CC00CC"/>
        </w:rPr>
        <w:t>no page displaying the org call tree</w:t>
      </w:r>
      <w:r>
        <w:rPr>
          <w:b/>
          <w:i/>
          <w:strike w:val="0"/>
          <w:color w:val="CC00CC"/>
        </w:rPr>
        <w:t>. The call tree is captured (FR-120), gap-checked (FR-70, FR-121) and its gaps and exceptions are reported in the Section 10.6 analytics — but a visual rendering of the tree itself is deliberately not built. This is recorded so the FR-65 interactive org chart is not extended to the call tree by assumption: the org chart (reporting lines) is visualised; the call tree (emergency contacts) is not.</w:t>
      </w:r>
      <w:r>
        <w:rPr>
          <w:b w:val="0"/>
          <w:i w:val="0"/>
          <w:strike w:val="0"/>
        </w:rPr>
        <w:t xml:space="preserve"> </w:t>
      </w:r>
      <w:r>
        <w:rPr>
          <w:b w:val="0"/>
          <w:i/>
          <w:strike w:val="0"/>
          <w:color w:val="CC00CC"/>
          <w:sz w:val="16"/>
        </w:rPr>
        <w:t xml:space="preserve"> [14 Aug 2026 MOM]</w:t>
      </w:r>
    </w:p>
    <w:p>
      <w:pPr>
        <w:pStyle w:val="Heading2"/>
      </w:pPr>
      <w:r>
        <w:t>10.6 Organisation Chart Analytics</w:t>
      </w:r>
    </w:p>
    <w:p>
      <w:r>
        <w:rPr>
          <w:b/>
          <w:i/>
          <w:strike w:val="0"/>
          <w:color w:val="7030A0"/>
        </w:rPr>
        <w:t>NEW in v5.0 — from the August 2026 client meeting</w:t>
      </w:r>
      <w:r>
        <w:rPr>
          <w:b w:val="0"/>
          <w:i w:val="0"/>
          <w:strike w:val="0"/>
        </w:rPr>
        <w:t xml:space="preserve"> </w:t>
      </w:r>
      <w:r>
        <w:rPr>
          <w:b w:val="0"/>
          <w:i/>
          <w:strike w:val="0"/>
          <w:color w:val="7030A0"/>
          <w:sz w:val="16"/>
        </w:rPr>
        <w:t xml:space="preserve"> [Aug 2026 client MOM]</w:t>
      </w:r>
    </w:p>
    <w:p>
      <w:r>
        <w:rPr>
          <w:b w:val="0"/>
          <w:i w:val="0"/>
          <w:strike w:val="0"/>
        </w:rPr>
        <w:t>The org chart is not only a picture of who reports to whom. The meeting asked for a dashboard over it that surfaces governance defects the firm would otherwise have to hunt for by eye.</w:t>
      </w:r>
    </w:p>
    <w:p>
      <w:r>
        <w:rPr>
          <w:b/>
          <w:i w:val="0"/>
          <w:strike w:val="0"/>
          <w:color w:val="1155CC"/>
        </w:rPr>
        <w:t>[FR-102]</w:t>
      </w:r>
      <w:r>
        <w:rPr>
          <w:b w:val="0"/>
          <w:i w:val="0"/>
          <w:strike w:val="0"/>
        </w:rPr>
        <w:t xml:space="preserve"> </w:t>
      </w:r>
      <w:r>
        <w:rPr>
          <w:b/>
          <w:i/>
          <w:strike w:val="0"/>
          <w:color w:val="7030A0"/>
        </w:rPr>
        <w:t>The organisation chart has its own analytics dashboard tracking, at minimum: total headcount; how many of those hold system entitlements (FR-101); employees with no reporting manager assigned; staff records with no approved communication channel assigned (the FR-68 gap, counted rather than only flagged per record); and total hardware assigned across the firm (FR-69). Each metric is clickable through to the list of records behind it, so the number is actionable rather than decorative.</w:t>
      </w:r>
      <w:r>
        <w:rPr>
          <w:b w:val="0"/>
          <w:i w:val="0"/>
          <w:strike w:val="0"/>
        </w:rPr>
        <w:t xml:space="preserve"> </w:t>
      </w:r>
      <w:r>
        <w:rPr>
          <w:b w:val="0"/>
          <w:i/>
          <w:strike w:val="0"/>
          <w:color w:val="7030A0"/>
          <w:sz w:val="16"/>
        </w:rPr>
        <w:t xml:space="preserve"> [Aug 2026 client MOM]</w:t>
      </w:r>
    </w:p>
    <w:p>
      <w:r>
        <w:rPr>
          <w:b/>
          <w:i w:val="0"/>
          <w:strike w:val="0"/>
          <w:color w:val="1155CC"/>
        </w:rPr>
        <w:t>[FR-103]</w:t>
      </w:r>
      <w:r>
        <w:rPr>
          <w:b w:val="0"/>
          <w:i w:val="0"/>
          <w:strike w:val="0"/>
        </w:rPr>
        <w:t xml:space="preserve"> </w:t>
      </w:r>
      <w:r>
        <w:rPr>
          <w:b/>
          <w:i/>
          <w:strike w:val="0"/>
          <w:color w:val="7030A0"/>
        </w:rPr>
        <w:t>The existing per-record governance flags feed these counts: the FR-66 CCO independence red flag, the FR-67 expired-certification flag, the FR-68 missing-channel flag, and the FR-70 broken call-tree link. The dashboard is a roll-up of checks the platform already runs — it does not introduce a second, separate rule set.</w:t>
      </w:r>
      <w:r>
        <w:rPr>
          <w:b w:val="0"/>
          <w:i w:val="0"/>
          <w:strike w:val="0"/>
        </w:rPr>
        <w:t xml:space="preserve"> </w:t>
      </w:r>
      <w:r>
        <w:rPr>
          <w:b w:val="0"/>
          <w:i/>
          <w:strike w:val="0"/>
          <w:color w:val="7030A0"/>
          <w:sz w:val="16"/>
        </w:rPr>
        <w:t xml:space="preserve"> [Aug 2026 client MOM]</w:t>
      </w:r>
    </w:p>
    <w:p>
      <w:r>
        <w:rPr>
          <w:b/>
          <w:i w:val="0"/>
          <w:strike w:val="0"/>
          <w:color w:val="1155CC"/>
        </w:rPr>
        <w:t>[FR-116]</w:t>
      </w:r>
      <w:r>
        <w:rPr>
          <w:b w:val="0"/>
          <w:i w:val="0"/>
          <w:strike w:val="0"/>
        </w:rPr>
        <w:t xml:space="preserve"> </w:t>
      </w:r>
      <w:r>
        <w:rPr>
          <w:b/>
          <w:i/>
          <w:strike w:val="0"/>
          <w:color w:val="008080"/>
        </w:rPr>
        <w:t>Alongside the counts, the dashboard carries a directory of every employee on record, with the compliance-specific staff visually distinguished from the rest of the workforce — the people holding a compliance function under MiCA or DORA, not merely the people with a login. The directory is filterable and is the list the FR-102 metrics click through into, so a count and the names behind it are the same object viewed two ways.</w:t>
      </w:r>
      <w:r>
        <w:rPr>
          <w:b w:val="0"/>
          <w:i w:val="0"/>
          <w:strike w:val="0"/>
        </w:rPr>
        <w:t xml:space="preserve"> </w:t>
      </w:r>
      <w:r>
        <w:rPr>
          <w:b w:val="0"/>
          <w:i/>
          <w:strike w:val="0"/>
          <w:color w:val="008080"/>
          <w:sz w:val="16"/>
        </w:rPr>
        <w:t xml:space="preserve"> [11 Aug 2026 MOM]</w:t>
      </w:r>
    </w:p>
    <w:tbl>
      <w:tblPr>
        <w:tblStyle w:val="TableGrid"/>
        <w:tblW w:type="auto" w:w="0"/>
        <w:tblLook w:firstColumn="1" w:firstRow="1" w:lastColumn="0" w:lastRow="0" w:noHBand="0" w:noVBand="1" w:val="04A0"/>
      </w:tblPr>
      <w:tblGrid>
        <w:gridCol w:w="8640"/>
      </w:tblGrid>
      <w:tr>
        <w:tc>
          <w:tcPr>
            <w:tcW w:type="dxa" w:w="8640"/>
            <w:shd w:val="clear" w:fill="E2EFDA"/>
          </w:tcPr>
          <w:p>
            <w:r>
              <w:rPr>
                <w:b/>
                <w:i w:val="0"/>
                <w:strike w:val="0"/>
              </w:rPr>
              <w:t>CONFIRMED</w:t>
            </w:r>
            <w:r>
              <w:rPr>
                <w:b w:val="0"/>
                <w:i w:val="0"/>
                <w:strike w:val="0"/>
              </w:rPr>
              <w:t xml:space="preserve"> </w:t>
            </w:r>
            <w:r>
              <w:rPr>
                <w:b w:val="0"/>
                <w:i/>
                <w:strike w:val="0"/>
              </w:rPr>
              <w:t>(green — agreed 11 Aug 2026)</w:t>
            </w:r>
          </w:p>
          <w:p>
            <w:r>
              <w:rPr>
                <w:b/>
                <w:i w:val="0"/>
                <w:strike w:val="0"/>
              </w:rPr>
              <w:t>✅ What we have agreed</w:t>
            </w:r>
          </w:p>
          <w:p>
            <w:pPr>
              <w:pStyle w:val="ListBullet"/>
            </w:pPr>
            <w:r>
              <w:rPr>
                <w:b/>
                <w:i/>
                <w:strike w:val="0"/>
                <w:color w:val="008080"/>
              </w:rPr>
              <w:t>The dashboard shows a directory of all employees, highlighting compliance-specific staff (FR-116).</w:t>
            </w:r>
            <w:r>
              <w:rPr>
                <w:b w:val="0"/>
                <w:i w:val="0"/>
                <w:strike w:val="0"/>
              </w:rPr>
              <w:t xml:space="preserve"> </w:t>
            </w:r>
            <w:r>
              <w:rPr>
                <w:b w:val="0"/>
                <w:i/>
                <w:strike w:val="0"/>
                <w:color w:val="008080"/>
                <w:sz w:val="16"/>
              </w:rPr>
              <w:t xml:space="preserve"> [11 Aug 2026 MOM]</w:t>
            </w:r>
          </w:p>
          <w:p>
            <w:pPr>
              <w:pStyle w:val="ListBullet"/>
            </w:pPr>
            <w:r>
              <w:rPr>
                <w:b/>
                <w:i/>
                <w:strike w:val="0"/>
                <w:color w:val="008080"/>
              </w:rPr>
              <w:t>Analytics on that directory include employees missing a reporting manager and employees missing a communication channel. Confirms FR-102 unchanged — the client named the same two defects.</w:t>
            </w:r>
            <w:r>
              <w:rPr>
                <w:b w:val="0"/>
                <w:i w:val="0"/>
                <w:strike w:val="0"/>
              </w:rPr>
              <w:t xml:space="preserve"> </w:t>
            </w:r>
            <w:r>
              <w:rPr>
                <w:b w:val="0"/>
                <w:i/>
                <w:strike w:val="0"/>
                <w:color w:val="008080"/>
                <w:sz w:val="16"/>
              </w:rPr>
              <w:t xml:space="preserve"> [11 Aug 2026 MOM]</w:t>
            </w:r>
          </w:p>
          <w:p>
            <w:pPr>
              <w:pStyle w:val="ListBullet"/>
            </w:pPr>
            <w:r>
              <w:rPr>
                <w:b/>
                <w:i/>
                <w:strike w:val="0"/>
                <w:color w:val="843C0C"/>
              </w:rPr>
              <w:t>v7.0: the missing-reporting-manager and broken-call-tree checks now also run at onboarding (FR-121), so a firm arrives at its first login having already seen and dealt with them. This dashboard reports the ongoing position; onboarding is where the baseline is set. Gaps the firm acknowledged as legitimate under FR-122 are counted as exceptions here, separately from unresolved gaps — a chief executive with no reporting manager should not sit in the same number as an oversight.</w:t>
            </w:r>
            <w:r>
              <w:rPr>
                <w:b w:val="0"/>
                <w:i w:val="0"/>
                <w:strike w:val="0"/>
              </w:rPr>
              <w:t xml:space="preserve"> </w:t>
            </w:r>
            <w:r>
              <w:rPr>
                <w:b w:val="0"/>
                <w:i/>
                <w:strike w:val="0"/>
                <w:color w:val="843C0C"/>
                <w:sz w:val="16"/>
              </w:rPr>
              <w:t xml:space="preserve"> [Aug 2026 onboarding flow]</w:t>
            </w:r>
          </w:p>
        </w:tc>
      </w:tr>
    </w:tbl>
    <w:p>
      <w:pPr>
        <w:pStyle w:val="Heading2"/>
      </w:pPr>
      <w:r>
        <w:t>10.7 Distribution Lists</w:t>
      </w:r>
    </w:p>
    <w:p>
      <w:r>
        <w:rPr>
          <w:b w:val="0"/>
          <w:i w:val="0"/>
          <w:strike w:val="0"/>
        </w:rPr>
        <w:t>The CCO configures six email distribution lists — these define who is automatically notified when specific events happen. These lists are managed here rather than in a notification settings screen, because they are governance decisions (who needs to know what) rather than personal preferences.</w:t>
      </w:r>
    </w:p>
    <w:tbl>
      <w:tblPr>
        <w:tblStyle w:val="TableGrid"/>
        <w:tblW w:type="auto" w:w="0"/>
        <w:tblLook w:firstColumn="1" w:firstRow="1" w:lastColumn="0" w:lastRow="0" w:noHBand="0" w:noVBand="1" w:val="04A0"/>
      </w:tblPr>
      <w:tblGrid>
        <w:gridCol w:w="4320"/>
        <w:gridCol w:w="4320"/>
      </w:tblGrid>
      <w:tr>
        <w:tc>
          <w:tcPr>
            <w:tcW w:type="dxa" w:w="4320"/>
            <w:shd w:val="clear" w:fill="1F4E79"/>
          </w:tcPr>
          <w:p>
            <w:r>
              <w:rPr>
                <w:b/>
                <w:color w:val="FFFFFF"/>
              </w:rPr>
            </w:r>
            <w:r>
              <w:rPr>
                <w:b/>
                <w:i w:val="0"/>
                <w:strike w:val="0"/>
                <w:color w:val="FFFFFF"/>
              </w:rPr>
              <w:t>List</w:t>
            </w:r>
          </w:p>
        </w:tc>
        <w:tc>
          <w:tcPr>
            <w:tcW w:type="dxa" w:w="4320"/>
            <w:shd w:val="clear" w:fill="1F4E79"/>
          </w:tcPr>
          <w:p>
            <w:r>
              <w:rPr>
                <w:b/>
                <w:color w:val="FFFFFF"/>
              </w:rPr>
            </w:r>
            <w:r>
              <w:rPr>
                <w:b/>
                <w:i w:val="0"/>
                <w:strike w:val="0"/>
                <w:color w:val="FFFFFF"/>
              </w:rPr>
              <w:t>When it fires</w:t>
            </w:r>
          </w:p>
        </w:tc>
      </w:tr>
      <w:tr>
        <w:tc>
          <w:tcPr>
            <w:tcW w:type="dxa" w:w="4320"/>
          </w:tcPr>
          <w:p>
            <w:r/>
            <w:r>
              <w:rPr>
                <w:b w:val="0"/>
                <w:i w:val="0"/>
                <w:strike w:val="0"/>
              </w:rPr>
              <w:t>Compliance Testing Reports</w:t>
            </w:r>
          </w:p>
        </w:tc>
        <w:tc>
          <w:tcPr>
            <w:tcW w:type="dxa" w:w="4320"/>
          </w:tcPr>
          <w:p>
            <w:r/>
            <w:r>
              <w:rPr>
                <w:b w:val="0"/>
                <w:i w:val="0"/>
                <w:strike w:val="0"/>
              </w:rPr>
              <w:t>When a completed report is issued</w:t>
            </w:r>
          </w:p>
        </w:tc>
      </w:tr>
      <w:tr>
        <w:tc>
          <w:tcPr>
            <w:tcW w:type="dxa" w:w="4320"/>
          </w:tcPr>
          <w:p>
            <w:r/>
            <w:r>
              <w:rPr>
                <w:b w:val="0"/>
                <w:i w:val="0"/>
                <w:strike w:val="0"/>
              </w:rPr>
              <w:t>Regulatory Organisation Responses</w:t>
            </w:r>
          </w:p>
        </w:tc>
        <w:tc>
          <w:tcPr>
            <w:tcW w:type="dxa" w:w="4320"/>
          </w:tcPr>
          <w:p>
            <w:r/>
            <w:r>
              <w:rPr>
                <w:b w:val="0"/>
                <w:i w:val="0"/>
                <w:strike w:val="0"/>
              </w:rPr>
              <w:t>When a regulator publishes a report identifying violations that require a formal firm response</w:t>
            </w:r>
          </w:p>
        </w:tc>
      </w:tr>
      <w:tr>
        <w:tc>
          <w:tcPr>
            <w:tcW w:type="dxa" w:w="4320"/>
          </w:tcPr>
          <w:p>
            <w:r/>
            <w:r>
              <w:rPr>
                <w:b w:val="0"/>
                <w:i w:val="0"/>
                <w:strike w:val="0"/>
              </w:rPr>
              <w:t>Regulatory Organisation Requests</w:t>
            </w:r>
          </w:p>
        </w:tc>
        <w:tc>
          <w:tcPr>
            <w:tcW w:type="dxa" w:w="4320"/>
          </w:tcPr>
          <w:p>
            <w:r/>
            <w:r>
              <w:rPr>
                <w:b w:val="0"/>
                <w:i w:val="0"/>
                <w:strike w:val="0"/>
              </w:rPr>
              <w:t>When a regulatory body requests records — typically ahead of or during an investigation</w:t>
            </w:r>
          </w:p>
        </w:tc>
      </w:tr>
      <w:tr>
        <w:tc>
          <w:tcPr>
            <w:tcW w:type="dxa" w:w="4320"/>
          </w:tcPr>
          <w:p>
            <w:r/>
            <w:r>
              <w:rPr>
                <w:b w:val="0"/>
                <w:i w:val="0"/>
                <w:strike w:val="0"/>
              </w:rPr>
              <w:t>Remediation Plan Deadlines</w:t>
            </w:r>
          </w:p>
        </w:tc>
        <w:tc>
          <w:tcPr>
            <w:tcW w:type="dxa" w:w="4320"/>
          </w:tcPr>
          <w:p>
            <w:r/>
            <w:r>
              <w:rPr>
                <w:b w:val="0"/>
                <w:i w:val="0"/>
                <w:strike w:val="0"/>
              </w:rPr>
              <w:t>When a remediation milestone is approaching or has been missed</w:t>
            </w:r>
          </w:p>
        </w:tc>
      </w:tr>
      <w:tr>
        <w:tc>
          <w:tcPr>
            <w:tcW w:type="dxa" w:w="4320"/>
          </w:tcPr>
          <w:p>
            <w:r/>
            <w:r>
              <w:rPr>
                <w:b w:val="0"/>
                <w:i w:val="0"/>
                <w:strike w:val="0"/>
              </w:rPr>
              <w:t>New Rules or Guidance</w:t>
            </w:r>
          </w:p>
        </w:tc>
        <w:tc>
          <w:tcPr>
            <w:tcW w:type="dxa" w:w="4320"/>
          </w:tcPr>
          <w:p>
            <w:r/>
            <w:r>
              <w:rPr>
                <w:b w:val="0"/>
                <w:i w:val="0"/>
                <w:strike w:val="0"/>
              </w:rPr>
              <w:t>When a regulatory update is detected and takes effect</w:t>
            </w:r>
          </w:p>
        </w:tc>
      </w:tr>
    </w:tbl>
    <w:tbl>
      <w:tblPr>
        <w:tblStyle w:val="TableGrid"/>
        <w:tblW w:type="auto" w:w="0"/>
        <w:tblLook w:firstColumn="1" w:firstRow="1" w:lastColumn="0" w:lastRow="0" w:noHBand="0" w:noVBand="1" w:val="04A0"/>
      </w:tblPr>
      <w:tblGrid>
        <w:gridCol w:w="8640"/>
      </w:tblGrid>
      <w:tr>
        <w:tc>
          <w:tcPr>
            <w:tcW w:type="dxa" w:w="8640"/>
            <w:shd w:val="clear" w:fill="E2EFDA"/>
          </w:tcPr>
          <w:p>
            <w:r>
              <w:rPr>
                <w:b/>
                <w:i w:val="0"/>
                <w:strike w:val="0"/>
              </w:rPr>
              <w:t>CONFIRMED</w:t>
            </w:r>
            <w:r>
              <w:rPr>
                <w:b w:val="0"/>
                <w:i w:val="0"/>
                <w:strike w:val="0"/>
              </w:rPr>
              <w:t xml:space="preserve"> </w:t>
            </w:r>
            <w:r>
              <w:rPr>
                <w:b w:val="0"/>
                <w:i/>
                <w:strike w:val="0"/>
              </w:rPr>
              <w:t>(green — agreed decision)</w:t>
            </w:r>
          </w:p>
          <w:p>
            <w:r>
              <w:rPr>
                <w:b/>
                <w:i w:val="0"/>
                <w:strike w:val="0"/>
              </w:rPr>
              <w:t>✅ What we have agreed</w:t>
            </w:r>
          </w:p>
          <w:p>
            <w:pPr>
              <w:pStyle w:val="ListBullet"/>
            </w:pPr>
            <w:r>
              <w:rPr>
                <w:b w:val="0"/>
                <w:i w:val="0"/>
                <w:strike w:val="0"/>
              </w:rPr>
              <w:t>Staff import uses CSV upload with the platform's provided template. HR system integration is not in scope.</w:t>
            </w:r>
          </w:p>
          <w:p>
            <w:pPr>
              <w:pStyle w:val="ListBullet"/>
            </w:pPr>
            <w:r>
              <w:rPr>
                <w:b w:val="0"/>
                <w:i w:val="0"/>
                <w:strike w:val="0"/>
              </w:rPr>
              <w:t>The org chart is a visual interactive tree — generated automatically from the staff reporting line data.</w:t>
            </w:r>
          </w:p>
          <w:p>
            <w:pPr>
              <w:pStyle w:val="ListBullet"/>
            </w:pPr>
            <w:r>
              <w:rPr>
                <w:b w:val="0"/>
                <w:i w:val="0"/>
                <w:strike w:val="0"/>
              </w:rPr>
              <w:t>Both Platform Users (with logins) and Staff Members (governance records only, no login) are tracked.</w:t>
            </w:r>
          </w:p>
          <w:p>
            <w:pPr>
              <w:pStyle w:val="ListBullet"/>
            </w:pPr>
            <w:r>
              <w:rPr>
                <w:b/>
                <w:i/>
                <w:strike w:val="0"/>
                <w:color w:val="1155CC"/>
              </w:rPr>
              <w:t>Communication channel types are ingested per firm from their IT team via CSV, validated on import with a flag-and-override for mismatches — not a fixed platform-wide dropdown.</w:t>
            </w:r>
            <w:r>
              <w:rPr>
                <w:b w:val="0"/>
                <w:i w:val="0"/>
                <w:strike w:val="0"/>
              </w:rPr>
              <w:t xml:space="preserve"> </w:t>
            </w:r>
            <w:r>
              <w:rPr>
                <w:b w:val="0"/>
                <w:i/>
                <w:strike w:val="0"/>
                <w:color w:val="1155CC"/>
                <w:sz w:val="16"/>
              </w:rPr>
              <w:t xml:space="preserve"> [25 Jun FRD call]</w:t>
            </w:r>
          </w:p>
          <w:p>
            <w:pPr>
              <w:pStyle w:val="ListBullet"/>
            </w:pPr>
            <w:r>
              <w:rPr>
                <w:b/>
                <w:i/>
                <w:strike w:val="0"/>
                <w:color w:val="7030A0"/>
              </w:rPr>
              <w:t>Staff records distinguish total headcount from the subset holding system entitlements. Seats are priced on entitlements.</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The org chart gets an analytics dashboard: staff without reporting managers, staff without communication channels, total hardware assigned, headcount vs. entitlements.</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Tests are tagged to business owners drawn from these staff records (FR-82).</w:t>
            </w:r>
            <w:r>
              <w:rPr>
                <w:b w:val="0"/>
                <w:i w:val="0"/>
                <w:strike w:val="0"/>
              </w:rPr>
              <w:t xml:space="preserve"> </w:t>
            </w:r>
            <w:r>
              <w:rPr>
                <w:b w:val="0"/>
                <w:i/>
                <w:strike w:val="0"/>
                <w:color w:val="7030A0"/>
                <w:sz w:val="16"/>
              </w:rPr>
              <w:t xml:space="preserve"> [Aug 2026 client MOM]</w:t>
            </w:r>
          </w:p>
        </w:tc>
      </w:tr>
    </w:tbl>
    <w:p>
      <w:pPr>
        <w:pStyle w:val="Heading1"/>
      </w:pPr>
      <w:r>
        <w:t>11. Systems and IT Risk — WITHDRAWN IN v9.0</w:t>
      </w:r>
    </w:p>
    <w:p>
      <w:r>
        <w:rPr>
          <w:b/>
          <w:i/>
          <w:strike w:val="0"/>
          <w:color w:val="C00000"/>
        </w:rPr>
        <w:t>This section is withdrawn in full. FR-72, FR-73, FR-74, FR-75, FR-76 and FR-77 are retired and are not in scope. The section number is retained as this stub so that every cross-reference to Sections 12 through 18 — in this document, in the tech-spec set, and in the Cross-Document Traceability Matrix — continues to resolve. Retired IDs are not reissued.</w:t>
      </w:r>
      <w:r>
        <w:rPr>
          <w:b w:val="0"/>
          <w:i w:val="0"/>
          <w:strike w:val="0"/>
        </w:rPr>
        <w:t xml:space="preserve"> </w:t>
      </w:r>
      <w:r>
        <w:rPr>
          <w:b w:val="0"/>
          <w:i/>
          <w:strike w:val="0"/>
          <w:color w:val="C00000"/>
          <w:sz w:val="16"/>
        </w:rPr>
        <w:t xml:space="preserve"> [Sep 2026 scope decision]</w:t>
      </w:r>
    </w:p>
    <w:p>
      <w:r>
        <w:rPr>
          <w:b/>
          <w:i w:val="0"/>
          <w:strike w:val="0"/>
        </w:rPr>
        <w:t>What was withdrawn</w:t>
      </w:r>
    </w:p>
    <w:tbl>
      <w:tblPr>
        <w:tblStyle w:val="TableGrid"/>
        <w:tblW w:type="auto" w:w="0"/>
        <w:tblLook w:firstColumn="1" w:firstRow="1" w:lastColumn="0" w:lastRow="0" w:noHBand="0" w:noVBand="1" w:val="04A0"/>
      </w:tblPr>
      <w:tblGrid>
        <w:gridCol w:w="4320"/>
        <w:gridCol w:w="4320"/>
      </w:tblGrid>
      <w:tr>
        <w:tc>
          <w:tcPr>
            <w:tcW w:type="dxa" w:w="4320"/>
            <w:shd w:val="clear" w:fill="1F4E79"/>
          </w:tcPr>
          <w:p>
            <w:r>
              <w:rPr>
                <w:b/>
                <w:color w:val="FFFFFF"/>
              </w:rPr>
            </w:r>
            <w:r>
              <w:rPr>
                <w:b/>
                <w:i w:val="0"/>
                <w:strike w:val="0"/>
                <w:color w:val="FFFFFF"/>
              </w:rPr>
              <w:t>Retired ID</w:t>
            </w:r>
          </w:p>
        </w:tc>
        <w:tc>
          <w:tcPr>
            <w:tcW w:type="dxa" w:w="4320"/>
            <w:shd w:val="clear" w:fill="1F4E79"/>
          </w:tcPr>
          <w:p>
            <w:r>
              <w:rPr>
                <w:b/>
                <w:color w:val="FFFFFF"/>
              </w:rPr>
            </w:r>
            <w:r>
              <w:rPr>
                <w:b/>
                <w:i w:val="0"/>
                <w:strike w:val="0"/>
                <w:color w:val="FFFFFF"/>
              </w:rPr>
              <w:t>What it required</w:t>
            </w:r>
          </w:p>
        </w:tc>
      </w:tr>
      <w:tr>
        <w:tc>
          <w:tcPr>
            <w:tcW w:type="dxa" w:w="4320"/>
          </w:tcPr>
          <w:p>
            <w:r/>
            <w:r>
              <w:rPr>
                <w:b/>
                <w:i/>
                <w:strike w:val="0"/>
              </w:rPr>
              <w:t>FR-72</w:t>
            </w:r>
          </w:p>
        </w:tc>
        <w:tc>
          <w:tcPr>
            <w:tcW w:type="dxa" w:w="4320"/>
          </w:tcPr>
          <w:p>
            <w:r/>
            <w:r>
              <w:rPr>
                <w:b/>
                <w:i/>
                <w:strike w:val="0"/>
              </w:rPr>
              <w:t>An inventory of every IT system the firm uses, categorised from a standard CASP list, with a mandatory DORA Critical / Important / Other classification. Included the monitoring-data CSV upload agreed on the 25 Jun FRD call</w:t>
            </w:r>
          </w:p>
        </w:tc>
      </w:tr>
      <w:tr>
        <w:tc>
          <w:tcPr>
            <w:tcW w:type="dxa" w:w="4320"/>
          </w:tcPr>
          <w:p>
            <w:r/>
            <w:r>
              <w:rPr>
                <w:b/>
                <w:i/>
                <w:strike w:val="0"/>
              </w:rPr>
              <w:t>FR-73</w:t>
            </w:r>
          </w:p>
        </w:tc>
        <w:tc>
          <w:tcPr>
            <w:tcW w:type="dxa" w:w="4320"/>
          </w:tcPr>
          <w:p>
            <w:r/>
            <w:r>
              <w:rPr>
                <w:b/>
                <w:i/>
                <w:strike w:val="0"/>
              </w:rPr>
              <w:t>Separate tracking of Critical or Important Functions (CIF) and Critical ICT Third-Party Providers (CTPP)</w:t>
            </w:r>
          </w:p>
        </w:tc>
      </w:tr>
      <w:tr>
        <w:tc>
          <w:tcPr>
            <w:tcW w:type="dxa" w:w="4320"/>
          </w:tcPr>
          <w:p>
            <w:r/>
            <w:r>
              <w:rPr>
                <w:b/>
                <w:i/>
                <w:strike w:val="0"/>
              </w:rPr>
              <w:t>FR-74</w:t>
            </w:r>
          </w:p>
        </w:tc>
        <w:tc>
          <w:tcPr>
            <w:tcW w:type="dxa" w:w="4320"/>
          </w:tcPr>
          <w:p>
            <w:r/>
            <w:r>
              <w:rPr>
                <w:b/>
                <w:i/>
                <w:strike w:val="0"/>
              </w:rPr>
              <w:t>A third-party IT vendor register: vendor, service type, contract reference, DORA tier, next contract review date</w:t>
            </w:r>
          </w:p>
        </w:tc>
      </w:tr>
      <w:tr>
        <w:tc>
          <w:tcPr>
            <w:tcW w:type="dxa" w:w="4320"/>
          </w:tcPr>
          <w:p>
            <w:r/>
            <w:r>
              <w:rPr>
                <w:b/>
                <w:i/>
                <w:strike w:val="0"/>
              </w:rPr>
              <w:t>FR-75</w:t>
            </w:r>
          </w:p>
        </w:tc>
        <w:tc>
          <w:tcPr>
            <w:tcW w:type="dxa" w:w="4320"/>
          </w:tcPr>
          <w:p>
            <w:r/>
            <w:r>
              <w:rPr>
                <w:b/>
                <w:i/>
                <w:strike w:val="0"/>
              </w:rPr>
              <w:t>A guided checklist for determining whether an IT incident is a DORA major incident</w:t>
            </w:r>
          </w:p>
        </w:tc>
      </w:tr>
      <w:tr>
        <w:tc>
          <w:tcPr>
            <w:tcW w:type="dxa" w:w="4320"/>
          </w:tcPr>
          <w:p>
            <w:r/>
            <w:r>
              <w:rPr>
                <w:b/>
                <w:i/>
                <w:strike w:val="0"/>
              </w:rPr>
              <w:t>FR-76</w:t>
            </w:r>
          </w:p>
        </w:tc>
        <w:tc>
          <w:tcPr>
            <w:tcW w:type="dxa" w:w="4320"/>
          </w:tcPr>
          <w:p>
            <w:r/>
            <w:r>
              <w:rPr>
                <w:b/>
                <w:i/>
                <w:strike w:val="0"/>
              </w:rPr>
              <w:t>The four-hour national regulator notification clock and the pre-filled notification draft for CCO review and submission</w:t>
            </w:r>
          </w:p>
        </w:tc>
      </w:tr>
      <w:tr>
        <w:tc>
          <w:tcPr>
            <w:tcW w:type="dxa" w:w="4320"/>
          </w:tcPr>
          <w:p>
            <w:r/>
            <w:r>
              <w:rPr>
                <w:b/>
                <w:i/>
                <w:strike w:val="0"/>
              </w:rPr>
              <w:t>FR-77</w:t>
            </w:r>
          </w:p>
        </w:tc>
        <w:tc>
          <w:tcPr>
            <w:tcW w:type="dxa" w:w="4320"/>
          </w:tcPr>
          <w:p>
            <w:r/>
            <w:r>
              <w:rPr>
                <w:b/>
                <w:i/>
                <w:strike w:val="0"/>
              </w:rPr>
              <w:t>Storage of Business Continuity Plan and Disaster Recovery test reports linked to DORA test procedures</w:t>
            </w:r>
          </w:p>
        </w:tc>
      </w:tr>
    </w:tbl>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v9.0)</w:t>
            </w:r>
          </w:p>
          <w:p>
            <w:r>
              <w:rPr>
                <w:b/>
                <w:i w:val="0"/>
                <w:strike w:val="0"/>
              </w:rPr>
              <w:t>📌 Note</w:t>
            </w:r>
          </w:p>
          <w:p>
            <w:pPr>
              <w:pStyle w:val="ListBullet"/>
            </w:pPr>
            <w:r>
              <w:rPr>
                <w:b/>
                <w:i/>
                <w:strike w:val="0"/>
                <w:color w:val="C00000"/>
              </w:rPr>
              <w:t>What this does not change: ControlIQ still covers the firm's DORA obligations through the regulatory library and the compliance testing workflow. DORA Requirement IDs are still fetched, still authored into test procedures in the Portal, still land in the firm's pending-item pool, and are still tested and reported like any MiCA requirement. What leaves the product is the firm's own IT risk record-keeping — the inventory, the vendor register and the incident workflow — not the regulation.</w:t>
            </w:r>
            <w:r>
              <w:rPr>
                <w:b w:val="0"/>
                <w:i w:val="0"/>
                <w:strike w:val="0"/>
              </w:rPr>
              <w:t xml:space="preserve"> </w:t>
            </w:r>
            <w:r>
              <w:rPr>
                <w:b w:val="0"/>
                <w:i/>
                <w:strike w:val="0"/>
                <w:color w:val="C00000"/>
                <w:sz w:val="16"/>
              </w:rPr>
              <w:t xml:space="preserve"> [Sep 2026 scope decision]</w:t>
            </w:r>
          </w:p>
          <w:p>
            <w:pPr>
              <w:pStyle w:val="ListBullet"/>
            </w:pPr>
            <w:r>
              <w:rPr>
                <w:b/>
                <w:i/>
                <w:strike w:val="0"/>
                <w:color w:val="C00000"/>
              </w:rPr>
              <w:t>BCP and DR test reports do not disappear from the platform. They were stored here under FR-77 and are now ordinary evidence: uploaded against the test step that calls for them under FR-24, and carrying the FR-28 shelf life this document already sets out for a BCP test report.</w:t>
            </w:r>
            <w:r>
              <w:rPr>
                <w:b w:val="0"/>
                <w:i w:val="0"/>
                <w:strike w:val="0"/>
              </w:rPr>
              <w:t xml:space="preserve"> </w:t>
            </w:r>
            <w:r>
              <w:rPr>
                <w:b w:val="0"/>
                <w:i/>
                <w:strike w:val="0"/>
                <w:color w:val="C00000"/>
                <w:sz w:val="16"/>
              </w:rPr>
              <w:t xml:space="preserve"> [Sep 2026 scope decision]</w:t>
            </w:r>
          </w:p>
          <w:p>
            <w:pPr>
              <w:pStyle w:val="ListBullet"/>
            </w:pPr>
            <w:r>
              <w:rPr>
                <w:b/>
                <w:i/>
                <w:strike w:val="0"/>
                <w:color w:val="C00000"/>
              </w:rPr>
              <w:t>The hardware register (FR-69) stays where it is, in Section 10.5, and keeps its DORA rationale. It was never part of this section.</w:t>
            </w:r>
            <w:r>
              <w:rPr>
                <w:b w:val="0"/>
                <w:i w:val="0"/>
                <w:strike w:val="0"/>
              </w:rPr>
              <w:t xml:space="preserve"> </w:t>
            </w:r>
            <w:r>
              <w:rPr>
                <w:b w:val="0"/>
                <w:i/>
                <w:strike w:val="0"/>
                <w:color w:val="C00000"/>
                <w:sz w:val="16"/>
              </w:rPr>
              <w:t xml:space="preserve"> [Sep 2026 scope decision]</w:t>
            </w:r>
          </w:p>
          <w:p>
            <w:pPr>
              <w:pStyle w:val="ListBullet"/>
            </w:pPr>
            <w:r>
              <w:rPr>
                <w:b/>
                <w:i/>
                <w:strike w:val="0"/>
                <w:color w:val="C00000"/>
              </w:rPr>
              <w:t>Consequences recorded elsewhere in this revision: the IT / Systems Admin system role is withdrawn (Section 3.1); the two Section 12 alert rows that fired on a critical IT incident are removed; EV-02 loses the FR-72 classification as a candidate definition of "critical control" and reduces to confirming the SA-10 priority.</w:t>
            </w:r>
            <w:r>
              <w:rPr>
                <w:b w:val="0"/>
                <w:i w:val="0"/>
                <w:strike w:val="0"/>
              </w:rPr>
              <w:t xml:space="preserve"> </w:t>
            </w:r>
            <w:r>
              <w:rPr>
                <w:b w:val="0"/>
                <w:i/>
                <w:strike w:val="0"/>
                <w:color w:val="C00000"/>
                <w:sz w:val="16"/>
              </w:rPr>
              <w:t xml:space="preserve"> [Sep 2026 scope decision]</w:t>
            </w:r>
          </w:p>
          <w:p>
            <w:pPr>
              <w:pStyle w:val="ListBullet"/>
            </w:pPr>
            <w:r>
              <w:rPr>
                <w:b/>
                <w:i/>
                <w:strike w:val="0"/>
                <w:color w:val="C00000"/>
              </w:rPr>
              <w:t>Estimation: this removes a module, not a feature. Anyone estimating from v8.0 must re-baseline — see Section 18.</w:t>
            </w:r>
            <w:r>
              <w:rPr>
                <w:b w:val="0"/>
                <w:i w:val="0"/>
                <w:strike w:val="0"/>
              </w:rPr>
              <w:t xml:space="preserve"> </w:t>
            </w:r>
            <w:r>
              <w:rPr>
                <w:b w:val="0"/>
                <w:i/>
                <w:strike w:val="0"/>
                <w:color w:val="C00000"/>
                <w:sz w:val="16"/>
              </w:rPr>
              <w:t xml:space="preserve"> [Sep 2026 scope decision]</w:t>
            </w:r>
          </w:p>
        </w:tc>
      </w:tr>
    </w:tbl>
    <w:p>
      <w:pPr>
        <w:pStyle w:val="Heading1"/>
      </w:pPr>
      <w:r>
        <w:t>12. Notifications and Alerts</w:t>
      </w:r>
    </w:p>
    <w:p>
      <w:r>
        <w:rPr>
          <w:b w:val="0"/>
          <w:i w:val="0"/>
          <w:strike w:val="0"/>
        </w:rPr>
        <w:t>ControlIQ is designed to be proactive — it tells people what they need to know before a problem gets worse, not after. Below is the complete list of alerts the platform sends and why.</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Alert</w:t>
            </w:r>
          </w:p>
        </w:tc>
        <w:tc>
          <w:tcPr>
            <w:tcW w:type="dxa" w:w="2880"/>
            <w:shd w:val="clear" w:fill="1F4E79"/>
          </w:tcPr>
          <w:p>
            <w:r>
              <w:rPr>
                <w:b/>
                <w:color w:val="FFFFFF"/>
              </w:rPr>
            </w:r>
            <w:r>
              <w:rPr>
                <w:b/>
                <w:i w:val="0"/>
                <w:strike w:val="0"/>
                <w:color w:val="FFFFFF"/>
              </w:rPr>
              <w:t>Who receives it</w:t>
            </w:r>
          </w:p>
        </w:tc>
        <w:tc>
          <w:tcPr>
            <w:tcW w:type="dxa" w:w="2880"/>
            <w:shd w:val="clear" w:fill="1F4E79"/>
          </w:tcPr>
          <w:p>
            <w:r>
              <w:rPr>
                <w:b/>
                <w:color w:val="FFFFFF"/>
              </w:rPr>
            </w:r>
            <w:r>
              <w:rPr>
                <w:b/>
                <w:i w:val="0"/>
                <w:strike w:val="0"/>
                <w:color w:val="FFFFFF"/>
              </w:rPr>
              <w:t>When it fires</w:t>
            </w:r>
          </w:p>
        </w:tc>
      </w:tr>
      <w:tr>
        <w:tc>
          <w:tcPr>
            <w:tcW w:type="dxa" w:w="2880"/>
          </w:tcPr>
          <w:p>
            <w:r/>
            <w:r>
              <w:rPr>
                <w:b w:val="0"/>
                <w:i w:val="0"/>
                <w:strike w:val="0"/>
              </w:rPr>
              <w:t>Test due soon</w:t>
            </w:r>
          </w:p>
        </w:tc>
        <w:tc>
          <w:tcPr>
            <w:tcW w:type="dxa" w:w="2880"/>
          </w:tcPr>
          <w:p>
            <w:r/>
            <w:r>
              <w:rPr>
                <w:b w:val="0"/>
                <w:i w:val="0"/>
                <w:strike w:val="0"/>
              </w:rPr>
              <w:t>Assigned Lead Tester and CCO</w:t>
            </w:r>
          </w:p>
        </w:tc>
        <w:tc>
          <w:tcPr>
            <w:tcW w:type="dxa" w:w="2880"/>
          </w:tcPr>
          <w:p>
            <w:r/>
            <w:r>
              <w:rPr>
                <w:b w:val="0"/>
                <w:i w:val="0"/>
                <w:strike w:val="0"/>
              </w:rPr>
              <w:t>30, 14, 7, and 1 day before a test deadline</w:t>
            </w:r>
          </w:p>
        </w:tc>
      </w:tr>
      <w:tr>
        <w:tc>
          <w:tcPr>
            <w:tcW w:type="dxa" w:w="2880"/>
          </w:tcPr>
          <w:p>
            <w:r/>
            <w:r>
              <w:rPr>
                <w:b w:val="0"/>
                <w:i w:val="0"/>
                <w:strike w:val="0"/>
              </w:rPr>
              <w:t>Test overdue</w:t>
            </w:r>
          </w:p>
        </w:tc>
        <w:tc>
          <w:tcPr>
            <w:tcW w:type="dxa" w:w="2880"/>
          </w:tcPr>
          <w:p>
            <w:r/>
            <w:r>
              <w:rPr>
                <w:b w:val="0"/>
                <w:i w:val="0"/>
                <w:strike w:val="0"/>
              </w:rPr>
              <w:t>Lead Tester first; then CCO if still unresolved</w:t>
            </w:r>
          </w:p>
        </w:tc>
        <w:tc>
          <w:tcPr>
            <w:tcW w:type="dxa" w:w="2880"/>
          </w:tcPr>
          <w:p>
            <w:r/>
            <w:r>
              <w:rPr>
                <w:b w:val="0"/>
                <w:i w:val="0"/>
                <w:strike w:val="0"/>
              </w:rPr>
              <w:t>From the moment a test deadline passes without completion — escalating over time</w:t>
            </w:r>
          </w:p>
        </w:tc>
      </w:tr>
      <w:tr>
        <w:tc>
          <w:tcPr>
            <w:tcW w:type="dxa" w:w="2880"/>
          </w:tcPr>
          <w:p>
            <w:r/>
            <w:r>
              <w:rPr>
                <w:b w:val="0"/>
                <w:i w:val="0"/>
                <w:strike w:val="0"/>
              </w:rPr>
              <w:t>High-rated Finding</w:t>
            </w:r>
          </w:p>
        </w:tc>
        <w:tc>
          <w:tcPr>
            <w:tcW w:type="dxa" w:w="2880"/>
          </w:tcPr>
          <w:p>
            <w:r/>
            <w:r>
              <w:rPr>
                <w:b w:val="0"/>
                <w:i w:val="0"/>
                <w:strike w:val="0"/>
              </w:rPr>
              <w:t>CCO and all Senior Management users</w:t>
            </w:r>
          </w:p>
        </w:tc>
        <w:tc>
          <w:tcPr>
            <w:tcW w:type="dxa" w:w="2880"/>
          </w:tcPr>
          <w:p>
            <w:r/>
            <w:r>
              <w:rPr>
                <w:b w:val="0"/>
                <w:i w:val="0"/>
                <w:strike w:val="0"/>
              </w:rPr>
              <w:t>The moment a High-rated Finding is recorded</w:t>
            </w:r>
          </w:p>
        </w:tc>
      </w:tr>
      <w:tr>
        <w:tc>
          <w:tcPr>
            <w:tcW w:type="dxa" w:w="2880"/>
          </w:tcPr>
          <w:p>
            <w:r/>
            <w:r>
              <w:rPr>
                <w:b w:val="0"/>
                <w:i w:val="0"/>
                <w:strike w:val="0"/>
              </w:rPr>
              <w:t>Escalation unacknowledged</w:t>
            </w:r>
          </w:p>
        </w:tc>
        <w:tc>
          <w:tcPr>
            <w:tcW w:type="dxa" w:w="2880"/>
          </w:tcPr>
          <w:p>
            <w:r/>
            <w:r>
              <w:rPr>
                <w:b w:val="0"/>
                <w:i w:val="0"/>
                <w:strike w:val="0"/>
              </w:rPr>
              <w:t>CCO and Senior Management — Level 2 Alert on dashboard</w:t>
            </w:r>
          </w:p>
        </w:tc>
        <w:tc>
          <w:tcPr>
            <w:tcW w:type="dxa" w:w="2880"/>
          </w:tcPr>
          <w:p>
            <w:r/>
            <w:r>
              <w:rPr>
                <w:b w:val="0"/>
                <w:i w:val="0"/>
                <w:strike w:val="0"/>
              </w:rPr>
              <w:t>If a High-rated Finding escalation is not acknowledged within 5 business days</w:t>
            </w:r>
          </w:p>
        </w:tc>
      </w:tr>
      <w:tr>
        <w:tc>
          <w:tcPr>
            <w:tcW w:type="dxa" w:w="2880"/>
          </w:tcPr>
          <w:p>
            <w:r/>
            <w:r>
              <w:rPr>
                <w:b w:val="0"/>
                <w:i w:val="0"/>
                <w:strike w:val="0"/>
              </w:rPr>
              <w:t>Remediation action item assigned</w:t>
            </w:r>
          </w:p>
        </w:tc>
        <w:tc>
          <w:tcPr>
            <w:tcW w:type="dxa" w:w="2880"/>
          </w:tcPr>
          <w:p>
            <w:r/>
            <w:r>
              <w:rPr>
                <w:b w:val="0"/>
                <w:i w:val="0"/>
                <w:strike w:val="0"/>
              </w:rPr>
              <w:t>The Remediation Owner</w:t>
            </w:r>
          </w:p>
        </w:tc>
        <w:tc>
          <w:tcPr>
            <w:tcW w:type="dxa" w:w="2880"/>
          </w:tcPr>
          <w:p>
            <w:r/>
            <w:r>
              <w:rPr>
                <w:b w:val="0"/>
                <w:i w:val="0"/>
                <w:strike w:val="0"/>
              </w:rPr>
              <w:t>When a new action item is assigned to them</w:t>
            </w:r>
          </w:p>
        </w:tc>
      </w:tr>
      <w:tr>
        <w:tc>
          <w:tcPr>
            <w:tcW w:type="dxa" w:w="2880"/>
          </w:tcPr>
          <w:p>
            <w:r/>
            <w:r>
              <w:rPr>
                <w:b w:val="0"/>
                <w:i w:val="0"/>
                <w:strike w:val="0"/>
              </w:rPr>
              <w:t>Remediation milestone overdue</w:t>
            </w:r>
          </w:p>
        </w:tc>
        <w:tc>
          <w:tcPr>
            <w:tcW w:type="dxa" w:w="2880"/>
          </w:tcPr>
          <w:p>
            <w:r/>
            <w:r>
              <w:rPr>
                <w:b w:val="0"/>
                <w:i w:val="0"/>
                <w:strike w:val="0"/>
              </w:rPr>
              <w:t>Remediation Owner and CCO</w:t>
            </w:r>
          </w:p>
        </w:tc>
        <w:tc>
          <w:tcPr>
            <w:tcW w:type="dxa" w:w="2880"/>
          </w:tcPr>
          <w:p>
            <w:r/>
            <w:r>
              <w:rPr>
                <w:b w:val="0"/>
                <w:i w:val="0"/>
                <w:strike w:val="0"/>
              </w:rPr>
              <w:t>When a remediation milestone deadline passes without completion</w:t>
            </w:r>
          </w:p>
        </w:tc>
      </w:tr>
      <w:tr>
        <w:tc>
          <w:tcPr>
            <w:tcW w:type="dxa" w:w="2880"/>
          </w:tcPr>
          <w:p>
            <w:r/>
            <w:r>
              <w:rPr>
                <w:b w:val="0"/>
                <w:i w:val="0"/>
                <w:strike w:val="0"/>
              </w:rPr>
              <w:t>Certification expiring</w:t>
            </w:r>
          </w:p>
        </w:tc>
        <w:tc>
          <w:tcPr>
            <w:tcW w:type="dxa" w:w="2880"/>
          </w:tcPr>
          <w:p>
            <w:r/>
            <w:r>
              <w:rPr>
                <w:b w:val="0"/>
                <w:i w:val="0"/>
                <w:strike w:val="0"/>
              </w:rPr>
              <w:t>The staff member, their manager, and the CCO</w:t>
            </w:r>
          </w:p>
        </w:tc>
        <w:tc>
          <w:tcPr>
            <w:tcW w:type="dxa" w:w="2880"/>
          </w:tcPr>
          <w:p>
            <w:r/>
            <w:r>
              <w:rPr>
                <w:b w:val="0"/>
                <w:i w:val="0"/>
                <w:strike w:val="0"/>
              </w:rPr>
              <w:t>30, 14, and 1 day before a professional certification expires</w:t>
            </w:r>
          </w:p>
        </w:tc>
      </w:tr>
      <w:tr>
        <w:tc>
          <w:tcPr>
            <w:tcW w:type="dxa" w:w="2880"/>
          </w:tcPr>
          <w:p>
            <w:r/>
            <w:r>
              <w:rPr>
                <w:b w:val="0"/>
                <w:i w:val="0"/>
                <w:strike w:val="0"/>
              </w:rPr>
              <w:t>Regulation update published</w:t>
            </w:r>
          </w:p>
        </w:tc>
        <w:tc>
          <w:tcPr>
            <w:tcW w:type="dxa" w:w="2880"/>
          </w:tcPr>
          <w:p>
            <w:r/>
            <w:r>
              <w:rPr>
                <w:b w:val="0"/>
                <w:i w:val="0"/>
                <w:strike w:val="0"/>
              </w:rPr>
              <w:t>All users at affected firms</w:t>
            </w:r>
          </w:p>
        </w:tc>
        <w:tc>
          <w:tcPr>
            <w:tcW w:type="dxa" w:w="2880"/>
          </w:tcPr>
          <w:p>
            <w:r/>
            <w:r>
              <w:rPr>
                <w:b w:val="0"/>
                <w:i w:val="0"/>
                <w:strike w:val="0"/>
              </w:rPr>
              <w:t>When Sosinna's team publishes an update to a test procedure that the firm uses</w:t>
            </w:r>
          </w:p>
        </w:tc>
      </w:tr>
      <w:tr>
        <w:tc>
          <w:tcPr>
            <w:tcW w:type="dxa" w:w="2880"/>
          </w:tcPr>
          <w:p>
            <w:r/>
            <w:r>
              <w:rPr>
                <w:b w:val="0"/>
                <w:i w:val="0"/>
                <w:strike w:val="0"/>
              </w:rPr>
              <w:t>WSP review needed</w:t>
            </w:r>
          </w:p>
        </w:tc>
        <w:tc>
          <w:tcPr>
            <w:tcW w:type="dxa" w:w="2880"/>
          </w:tcPr>
          <w:p>
            <w:r/>
            <w:r>
              <w:rPr>
                <w:b w:val="0"/>
                <w:i w:val="0"/>
                <w:strike w:val="0"/>
              </w:rPr>
              <w:t>CCO and compliance team</w:t>
            </w:r>
          </w:p>
        </w:tc>
        <w:tc>
          <w:tcPr>
            <w:tcW w:type="dxa" w:w="2880"/>
          </w:tcPr>
          <w:p>
            <w:r/>
            <w:r>
              <w:rPr>
                <w:b w:val="0"/>
                <w:i w:val="0"/>
                <w:strike w:val="0"/>
              </w:rPr>
              <w:t>When a regulation change affects a mapped section of the compliance manual</w:t>
            </w:r>
          </w:p>
        </w:tc>
      </w:tr>
      <w:tr>
        <w:tc>
          <w:tcPr>
            <w:tcW w:type="dxa" w:w="2880"/>
          </w:tcPr>
          <w:p>
            <w:r/>
            <w:r>
              <w:rPr>
                <w:b w:val="0"/>
                <w:i w:val="0"/>
                <w:strike w:val="0"/>
              </w:rPr>
              <w:t>Evidence approaching expiry</w:t>
            </w:r>
          </w:p>
        </w:tc>
        <w:tc>
          <w:tcPr>
            <w:tcW w:type="dxa" w:w="2880"/>
          </w:tcPr>
          <w:p>
            <w:r/>
            <w:r>
              <w:rPr>
                <w:b w:val="0"/>
                <w:i w:val="0"/>
                <w:strike w:val="0"/>
              </w:rPr>
              <w:t>Lead Tester and CCO</w:t>
            </w:r>
          </w:p>
        </w:tc>
        <w:tc>
          <w:tcPr>
            <w:tcW w:type="dxa" w:w="2880"/>
          </w:tcPr>
          <w:p>
            <w:r/>
            <w:r>
              <w:rPr>
                <w:b w:val="0"/>
                <w:i w:val="0"/>
                <w:strike w:val="0"/>
              </w:rPr>
              <w:t>When evidence linked to an upcoming test is approaching its validity limit</w:t>
            </w:r>
          </w:p>
        </w:tc>
      </w:tr>
      <w:tr>
        <w:tc>
          <w:tcPr>
            <w:tcW w:type="dxa" w:w="2880"/>
          </w:tcPr>
          <w:p>
            <w:r/>
            <w:r>
              <w:rPr>
                <w:b w:val="0"/>
                <w:i w:val="0"/>
                <w:strike w:val="0"/>
              </w:rPr>
              <w:t>Annual WSP review due</w:t>
            </w:r>
          </w:p>
        </w:tc>
        <w:tc>
          <w:tcPr>
            <w:tcW w:type="dxa" w:w="2880"/>
          </w:tcPr>
          <w:p>
            <w:r/>
            <w:r>
              <w:rPr>
                <w:b w:val="0"/>
                <w:i w:val="0"/>
                <w:strike w:val="0"/>
              </w:rPr>
              <w:t>CCO</w:t>
            </w:r>
          </w:p>
        </w:tc>
        <w:tc>
          <w:tcPr>
            <w:tcW w:type="dxa" w:w="2880"/>
          </w:tcPr>
          <w:p>
            <w:r/>
            <w:r>
              <w:rPr>
                <w:b w:val="0"/>
                <w:i w:val="0"/>
                <w:strike w:val="0"/>
              </w:rPr>
              <w:t>At the start of the annual WSP review cycle</w:t>
            </w:r>
          </w:p>
        </w:tc>
      </w:tr>
      <w:tr>
        <w:tc>
          <w:tcPr>
            <w:tcW w:type="dxa" w:w="2880"/>
          </w:tcPr>
          <w:p>
            <w:r/>
            <w:r>
              <w:rPr>
                <w:b/>
                <w:i w:val="0"/>
                <w:strike w:val="0"/>
              </w:rPr>
              <w:t>Required test not scheduled</w:t>
            </w:r>
            <w:r>
              <w:rPr>
                <w:b w:val="0"/>
                <w:i w:val="0"/>
                <w:strike w:val="0"/>
              </w:rPr>
              <w:t xml:space="preserve"> </w:t>
            </w:r>
            <w:r>
              <w:rPr>
                <w:b w:val="0"/>
                <w:i/>
                <w:strike w:val="0"/>
                <w:color w:val="1155CC"/>
                <w:sz w:val="16"/>
              </w:rPr>
              <w:t xml:space="preserve"> [25 Jun FRD call]</w:t>
            </w:r>
          </w:p>
        </w:tc>
        <w:tc>
          <w:tcPr>
            <w:tcW w:type="dxa" w:w="2880"/>
          </w:tcPr>
          <w:p>
            <w:r/>
            <w:r>
              <w:rPr>
                <w:b w:val="0"/>
                <w:i w:val="0"/>
                <w:strike w:val="0"/>
              </w:rPr>
              <w:t xml:space="preserve">CCO </w:t>
            </w:r>
            <w:r>
              <w:rPr>
                <w:b w:val="0"/>
                <w:i/>
                <w:strike w:val="0"/>
                <w:color w:val="1155CC"/>
                <w:sz w:val="16"/>
              </w:rPr>
              <w:t xml:space="preserve"> [25 Jun FRD call]</w:t>
            </w:r>
          </w:p>
        </w:tc>
        <w:tc>
          <w:tcPr>
            <w:tcW w:type="dxa" w:w="2880"/>
          </w:tcPr>
          <w:p>
            <w:r/>
            <w:r>
              <w:rPr>
                <w:b w:val="0"/>
                <w:i/>
                <w:strike w:val="0"/>
                <w:color w:val="1155CC"/>
              </w:rPr>
              <w:t>NEW — from the 25 Jun call: if a mandated Requirement ID has no test instance scheduled within its expected period, the platform raises an alert flagging the gap.</w:t>
            </w:r>
            <w:r>
              <w:rPr>
                <w:b w:val="0"/>
                <w:i w:val="0"/>
                <w:strike w:val="0"/>
              </w:rPr>
              <w:t xml:space="preserve"> </w:t>
            </w:r>
            <w:r>
              <w:rPr>
                <w:b w:val="0"/>
                <w:i/>
                <w:strike w:val="0"/>
                <w:color w:val="1155CC"/>
                <w:sz w:val="16"/>
              </w:rPr>
              <w:t xml:space="preserve"> [25 Jun FRD call]</w:t>
            </w:r>
          </w:p>
        </w:tc>
      </w:tr>
      <w:tr>
        <w:tc>
          <w:tcPr>
            <w:tcW w:type="dxa" w:w="2880"/>
          </w:tcPr>
          <w:p>
            <w:r/>
            <w:r>
              <w:rPr>
                <w:b/>
                <w:i w:val="0"/>
                <w:strike w:val="0"/>
              </w:rPr>
              <w:t>Outstanding request items (digest)</w:t>
            </w:r>
            <w:r>
              <w:rPr>
                <w:b w:val="0"/>
                <w:i w:val="0"/>
                <w:strike w:val="0"/>
              </w:rPr>
              <w:t xml:space="preserve"> </w:t>
            </w:r>
            <w:r>
              <w:rPr>
                <w:b w:val="0"/>
                <w:i/>
                <w:strike w:val="0"/>
                <w:color w:val="C55A11"/>
                <w:sz w:val="16"/>
              </w:rPr>
              <w:t xml:space="preserve"> [Sosinna's Drive comment]</w:t>
            </w:r>
          </w:p>
        </w:tc>
        <w:tc>
          <w:tcPr>
            <w:tcW w:type="dxa" w:w="2880"/>
          </w:tcPr>
          <w:p>
            <w:r/>
            <w:r>
              <w:rPr>
                <w:b w:val="0"/>
                <w:i w:val="0"/>
                <w:strike w:val="0"/>
              </w:rPr>
              <w:t xml:space="preserve">CCO (opt-in, weekly) </w:t>
            </w:r>
            <w:r>
              <w:rPr>
                <w:b w:val="0"/>
                <w:i/>
                <w:strike w:val="0"/>
                <w:color w:val="C55A11"/>
                <w:sz w:val="16"/>
              </w:rPr>
              <w:t xml:space="preserve"> [Sosinna's Drive comment]</w:t>
            </w:r>
          </w:p>
        </w:tc>
        <w:tc>
          <w:tcPr>
            <w:tcW w:type="dxa" w:w="2880"/>
          </w:tcPr>
          <w:p>
            <w:r/>
            <w:r>
              <w:rPr>
                <w:b w:val="0"/>
                <w:i/>
                <w:strike w:val="0"/>
                <w:color w:val="C55A11"/>
              </w:rPr>
              <w:t>NEW — from the 25 Jun call: a weekly digest specifically for items sitting unactioned (e.g. a requested vulnerability-test report nobody has uploaded). This is separate from the general per-item overdue alerts — it targets business-side foot-dragging on deliverables.</w:t>
            </w:r>
            <w:r>
              <w:rPr>
                <w:b w:val="0"/>
                <w:i w:val="0"/>
                <w:strike w:val="0"/>
              </w:rPr>
              <w:t xml:space="preserve"> </w:t>
            </w:r>
            <w:r>
              <w:rPr>
                <w:b w:val="0"/>
                <w:i/>
                <w:strike w:val="0"/>
                <w:color w:val="C55A11"/>
                <w:sz w:val="16"/>
              </w:rPr>
              <w:t xml:space="preserve"> [Sosinna's Drive comment]</w:t>
            </w:r>
            <w:r>
              <w:rPr>
                <w:b w:val="0"/>
                <w:i w:val="0"/>
                <w:strike w:val="0"/>
              </w:rPr>
              <w:t xml:space="preserve"> </w:t>
            </w:r>
            <w:r>
              <w:br/>
            </w:r>
            <w:r>
              <w:rPr>
                <w:b w:val="0"/>
                <w:i w:val="0"/>
                <w:strike w:val="0"/>
              </w:rPr>
              <w:t xml:space="preserve"> </w:t>
            </w:r>
            <w:r>
              <w:rPr>
                <w:b/>
                <w:i/>
                <w:strike w:val="0"/>
                <w:color w:val="7030A0"/>
              </w:rPr>
              <w:t>v5.0: this digest is now fed by the Section 7.4 request register, which gives it precise per-item request and receipt dates.</w:t>
            </w:r>
            <w:r>
              <w:rPr>
                <w:b w:val="0"/>
                <w:i w:val="0"/>
                <w:strike w:val="0"/>
              </w:rPr>
              <w:t xml:space="preserve"> </w:t>
            </w:r>
            <w:r>
              <w:rPr>
                <w:b w:val="0"/>
                <w:i/>
                <w:strike w:val="0"/>
                <w:color w:val="7030A0"/>
                <w:sz w:val="16"/>
              </w:rPr>
              <w:t xml:space="preserve"> [Aug 2026 client MOM]</w:t>
            </w:r>
          </w:p>
        </w:tc>
      </w:tr>
      <w:tr>
        <w:tc>
          <w:tcPr>
            <w:tcW w:type="dxa" w:w="2880"/>
          </w:tcPr>
          <w:p>
            <w:r/>
            <w:r>
              <w:rPr>
                <w:b/>
                <w:i/>
                <w:strike w:val="0"/>
                <w:color w:val="7030A0"/>
              </w:rPr>
              <w:t>Test announcement and initial request list</w:t>
            </w:r>
            <w:r>
              <w:rPr>
                <w:b w:val="0"/>
                <w:i w:val="0"/>
                <w:strike w:val="0"/>
              </w:rPr>
              <w:t xml:space="preserve"> </w:t>
            </w:r>
            <w:r>
              <w:rPr>
                <w:b w:val="0"/>
                <w:i/>
                <w:strike w:val="0"/>
                <w:color w:val="7030A0"/>
                <w:sz w:val="16"/>
              </w:rPr>
              <w:t xml:space="preserve"> [Aug 2026 client MOM]</w:t>
            </w:r>
          </w:p>
        </w:tc>
        <w:tc>
          <w:tcPr>
            <w:tcW w:type="dxa" w:w="2880"/>
          </w:tcPr>
          <w:p>
            <w:r/>
            <w:r>
              <w:rPr>
                <w:b/>
                <w:i/>
                <w:strike w:val="0"/>
                <w:color w:val="7030A0"/>
              </w:rPr>
              <w:t>Business unit owner (FR-82), copied to the Lead Tester</w:t>
            </w:r>
            <w:r>
              <w:rPr>
                <w:b w:val="0"/>
                <w:i w:val="0"/>
                <w:strike w:val="0"/>
              </w:rPr>
              <w:t xml:space="preserve"> </w:t>
            </w:r>
            <w:r>
              <w:rPr>
                <w:b w:val="0"/>
                <w:i/>
                <w:strike w:val="0"/>
                <w:color w:val="7030A0"/>
                <w:sz w:val="16"/>
              </w:rPr>
              <w:t xml:space="preserve"> [Aug 2026 client MOM]</w:t>
            </w:r>
            <w:r>
              <w:rPr>
                <w:b w:val="0"/>
                <w:i w:val="0"/>
                <w:strike w:val="0"/>
              </w:rPr>
              <w:t xml:space="preserve"> </w:t>
            </w:r>
            <w:r>
              <w:rPr>
                <w:b/>
                <w:i/>
                <w:strike w:val="0"/>
                <w:color w:val="CC00CC"/>
              </w:rPr>
              <w:t>— v8.0: sent to the auto-populated distribution list of all relevant business units (FR-132)</w:t>
            </w:r>
            <w:r>
              <w:rPr>
                <w:b w:val="0"/>
                <w:i w:val="0"/>
                <w:strike w:val="0"/>
              </w:rPr>
              <w:t xml:space="preserve"> </w:t>
            </w:r>
            <w:r>
              <w:rPr>
                <w:b w:val="0"/>
                <w:i/>
                <w:strike w:val="0"/>
                <w:color w:val="CC00CC"/>
                <w:sz w:val="16"/>
              </w:rPr>
              <w:t xml:space="preserve"> [14 Aug 2026 MOM]</w:t>
            </w:r>
          </w:p>
        </w:tc>
        <w:tc>
          <w:tcPr>
            <w:tcW w:type="dxa" w:w="2880"/>
          </w:tcPr>
          <w:p>
            <w:r/>
            <w:r>
              <w:rPr>
                <w:b/>
                <w:i/>
                <w:strike w:val="0"/>
                <w:color w:val="7030A0"/>
              </w:rPr>
              <w:t>NEW in v5.0: when a test is assigned and the request list is issued, before testing begins (FR-83). The letter carries the link to the business owner's dashboard (FR-133).</w:t>
            </w:r>
            <w:r>
              <w:rPr>
                <w:b w:val="0"/>
                <w:i w:val="0"/>
                <w:strike w:val="0"/>
              </w:rPr>
              <w:t xml:space="preserve"> </w:t>
            </w:r>
            <w:r>
              <w:rPr>
                <w:b w:val="0"/>
                <w:i/>
                <w:strike w:val="0"/>
                <w:color w:val="7030A0"/>
                <w:sz w:val="16"/>
              </w:rPr>
              <w:t xml:space="preserve"> [Aug 2026 client MOM]</w:t>
            </w:r>
            <w:r>
              <w:rPr>
                <w:b w:val="0"/>
                <w:i w:val="0"/>
                <w:strike w:val="0"/>
              </w:rPr>
              <w:t xml:space="preserve"> </w:t>
            </w:r>
            <w:r>
              <w:rPr>
                <w:b w:val="0"/>
                <w:i/>
                <w:strike w:val="0"/>
                <w:color w:val="CC00CC"/>
                <w:sz w:val="16"/>
              </w:rPr>
              <w:t xml:space="preserve"> [14 Aug 2026 MOM]</w:t>
            </w:r>
          </w:p>
        </w:tc>
      </w:tr>
      <w:tr>
        <w:tc>
          <w:tcPr>
            <w:tcW w:type="dxa" w:w="2880"/>
          </w:tcPr>
          <w:p>
            <w:r/>
            <w:r>
              <w:rPr>
                <w:b/>
                <w:i/>
                <w:strike w:val="0"/>
                <w:color w:val="CC00CC"/>
              </w:rPr>
              <w:t>No document available declared</w:t>
            </w:r>
            <w:r>
              <w:rPr>
                <w:b w:val="0"/>
                <w:i w:val="0"/>
                <w:strike w:val="0"/>
              </w:rPr>
              <w:t xml:space="preserve"> </w:t>
            </w:r>
            <w:r>
              <w:rPr>
                <w:b w:val="0"/>
                <w:i/>
                <w:strike w:val="0"/>
                <w:color w:val="CC00CC"/>
                <w:sz w:val="16"/>
              </w:rPr>
              <w:t xml:space="preserve"> [14 Aug 2026 MOM]</w:t>
            </w:r>
          </w:p>
        </w:tc>
        <w:tc>
          <w:tcPr>
            <w:tcW w:type="dxa" w:w="2880"/>
          </w:tcPr>
          <w:p>
            <w:r/>
            <w:r>
              <w:rPr>
                <w:b/>
                <w:i/>
                <w:strike w:val="0"/>
                <w:color w:val="CC00CC"/>
              </w:rPr>
              <w:t>Lead Tester and CCO</w:t>
            </w:r>
            <w:r>
              <w:rPr>
                <w:b w:val="0"/>
                <w:i w:val="0"/>
                <w:strike w:val="0"/>
              </w:rPr>
              <w:t xml:space="preserve"> </w:t>
            </w:r>
            <w:r>
              <w:rPr>
                <w:b w:val="0"/>
                <w:i/>
                <w:strike w:val="0"/>
                <w:color w:val="CC00CC"/>
                <w:sz w:val="16"/>
              </w:rPr>
              <w:t xml:space="preserve"> [14 Aug 2026 MOM]</w:t>
            </w:r>
          </w:p>
        </w:tc>
        <w:tc>
          <w:tcPr>
            <w:tcW w:type="dxa" w:w="2880"/>
          </w:tcPr>
          <w:p>
            <w:r/>
            <w:r>
              <w:rPr>
                <w:b/>
                <w:i/>
                <w:strike w:val="0"/>
                <w:color w:val="CC00CC"/>
              </w:rPr>
              <w:t>NEW in v8.0: when a business owner records that no document exists for a request item, with the reason (FR-134).</w:t>
            </w:r>
            <w:r>
              <w:rPr>
                <w:b w:val="0"/>
                <w:i w:val="0"/>
                <w:strike w:val="0"/>
              </w:rPr>
              <w:t xml:space="preserve"> </w:t>
            </w:r>
            <w:r>
              <w:rPr>
                <w:b w:val="0"/>
                <w:i/>
                <w:strike w:val="0"/>
                <w:color w:val="CC00CC"/>
                <w:sz w:val="16"/>
              </w:rPr>
              <w:t xml:space="preserve"> [14 Aug 2026 MOM]</w:t>
            </w:r>
          </w:p>
        </w:tc>
      </w:tr>
      <w:tr>
        <w:tc>
          <w:tcPr>
            <w:tcW w:type="dxa" w:w="2880"/>
          </w:tcPr>
          <w:p>
            <w:r/>
            <w:r>
              <w:rPr>
                <w:b/>
                <w:i/>
                <w:strike w:val="0"/>
                <w:color w:val="7030A0"/>
              </w:rPr>
              <w:t>Request item overdue</w:t>
            </w:r>
            <w:r>
              <w:rPr>
                <w:b w:val="0"/>
                <w:i w:val="0"/>
                <w:strike w:val="0"/>
              </w:rPr>
              <w:t xml:space="preserve"> </w:t>
            </w:r>
            <w:r>
              <w:rPr>
                <w:b w:val="0"/>
                <w:i/>
                <w:strike w:val="0"/>
                <w:color w:val="7030A0"/>
                <w:sz w:val="16"/>
              </w:rPr>
              <w:t xml:space="preserve"> [Aug 2026 client MOM]</w:t>
            </w:r>
          </w:p>
        </w:tc>
        <w:tc>
          <w:tcPr>
            <w:tcW w:type="dxa" w:w="2880"/>
          </w:tcPr>
          <w:p>
            <w:r/>
            <w:r>
              <w:rPr>
                <w:b/>
                <w:i/>
                <w:strike w:val="0"/>
                <w:color w:val="7030A0"/>
              </w:rPr>
              <w:t>Business unit owner first, then the CCO</w:t>
            </w:r>
            <w:r>
              <w:rPr>
                <w:b w:val="0"/>
                <w:i w:val="0"/>
                <w:strike w:val="0"/>
              </w:rPr>
              <w:t xml:space="preserve"> </w:t>
            </w:r>
            <w:r>
              <w:rPr>
                <w:b w:val="0"/>
                <w:i/>
                <w:strike w:val="0"/>
                <w:color w:val="7030A0"/>
                <w:sz w:val="16"/>
              </w:rPr>
              <w:t xml:space="preserve"> [Aug 2026 client MOM]</w:t>
            </w:r>
          </w:p>
        </w:tc>
        <w:tc>
          <w:tcPr>
            <w:tcW w:type="dxa" w:w="2880"/>
          </w:tcPr>
          <w:p>
            <w:r/>
            <w:r>
              <w:rPr>
                <w:b/>
                <w:i/>
                <w:strike w:val="0"/>
                <w:color w:val="7030A0"/>
              </w:rPr>
              <w:t>NEW in v5.0: when a requested document passes its due date without being received (FR-87).</w:t>
            </w:r>
            <w:r>
              <w:rPr>
                <w:b w:val="0"/>
                <w:i w:val="0"/>
                <w:strike w:val="0"/>
              </w:rPr>
              <w:t xml:space="preserve"> </w:t>
            </w:r>
            <w:r>
              <w:rPr>
                <w:b w:val="0"/>
                <w:i/>
                <w:strike w:val="0"/>
                <w:color w:val="7030A0"/>
                <w:sz w:val="16"/>
              </w:rPr>
              <w:t xml:space="preserve"> [Aug 2026 client MOM]</w:t>
            </w:r>
          </w:p>
        </w:tc>
      </w:tr>
      <w:tr>
        <w:tc>
          <w:tcPr>
            <w:tcW w:type="dxa" w:w="2880"/>
          </w:tcPr>
          <w:p>
            <w:r/>
            <w:r>
              <w:rPr>
                <w:b/>
                <w:i/>
                <w:strike w:val="0"/>
                <w:color w:val="7030A0"/>
              </w:rPr>
              <w:t>Document mismatch flagged</w:t>
            </w:r>
            <w:r>
              <w:rPr>
                <w:b w:val="0"/>
                <w:i w:val="0"/>
                <w:strike w:val="0"/>
              </w:rPr>
              <w:t xml:space="preserve"> </w:t>
            </w:r>
            <w:r>
              <w:rPr>
                <w:b w:val="0"/>
                <w:i/>
                <w:strike w:val="0"/>
                <w:color w:val="7030A0"/>
                <w:sz w:val="16"/>
              </w:rPr>
              <w:t xml:space="preserve"> [Aug 2026 client MOM]</w:t>
            </w:r>
          </w:p>
        </w:tc>
        <w:tc>
          <w:tcPr>
            <w:tcW w:type="dxa" w:w="2880"/>
          </w:tcPr>
          <w:p>
            <w:r/>
            <w:r>
              <w:rPr>
                <w:b/>
                <w:i/>
                <w:strike w:val="0"/>
                <w:color w:val="7030A0"/>
              </w:rPr>
              <w:t>The uploader and the Lead Tester</w:t>
            </w:r>
            <w:r>
              <w:rPr>
                <w:b w:val="0"/>
                <w:i w:val="0"/>
                <w:strike w:val="0"/>
              </w:rPr>
              <w:t xml:space="preserve"> </w:t>
            </w:r>
            <w:r>
              <w:rPr>
                <w:b w:val="0"/>
                <w:i/>
                <w:strike w:val="0"/>
                <w:color w:val="7030A0"/>
                <w:sz w:val="16"/>
              </w:rPr>
              <w:t xml:space="preserve"> [Aug 2026 client MOM]</w:t>
            </w:r>
          </w:p>
        </w:tc>
        <w:tc>
          <w:tcPr>
            <w:tcW w:type="dxa" w:w="2880"/>
          </w:tcPr>
          <w:p>
            <w:r/>
            <w:r>
              <w:rPr>
                <w:b/>
                <w:i/>
                <w:strike w:val="0"/>
                <w:color w:val="7030A0"/>
              </w:rPr>
              <w:t>NEW in v5.0: when the FR-88 check suggests an uploaded file does not match the item requested (FR-89).</w:t>
            </w:r>
            <w:r>
              <w:rPr>
                <w:b w:val="0"/>
                <w:i w:val="0"/>
                <w:strike w:val="0"/>
              </w:rPr>
              <w:t xml:space="preserve"> </w:t>
            </w:r>
            <w:r>
              <w:rPr>
                <w:b w:val="0"/>
                <w:i/>
                <w:strike w:val="0"/>
                <w:color w:val="7030A0"/>
                <w:sz w:val="16"/>
              </w:rPr>
              <w:t xml:space="preserve"> [Aug 2026 client MOM]</w:t>
            </w:r>
          </w:p>
        </w:tc>
      </w:tr>
      <w:tr>
        <w:tc>
          <w:tcPr>
            <w:tcW w:type="dxa" w:w="2880"/>
          </w:tcPr>
          <w:p>
            <w:r/>
            <w:r>
              <w:rPr>
                <w:b/>
                <w:i/>
                <w:strike w:val="0"/>
                <w:color w:val="7030A0"/>
              </w:rPr>
              <w:t>Human verification required</w:t>
            </w:r>
            <w:r>
              <w:rPr>
                <w:b w:val="0"/>
                <w:i w:val="0"/>
                <w:strike w:val="0"/>
              </w:rPr>
              <w:t xml:space="preserve"> </w:t>
            </w:r>
            <w:r>
              <w:rPr>
                <w:b w:val="0"/>
                <w:i/>
                <w:strike w:val="0"/>
                <w:color w:val="7030A0"/>
                <w:sz w:val="16"/>
              </w:rPr>
              <w:t xml:space="preserve"> [Aug 2026 client MOM]</w:t>
            </w:r>
          </w:p>
        </w:tc>
        <w:tc>
          <w:tcPr>
            <w:tcW w:type="dxa" w:w="2880"/>
          </w:tcPr>
          <w:p>
            <w:r/>
            <w:r>
              <w:rPr>
                <w:b/>
                <w:i/>
                <w:strike w:val="0"/>
                <w:color w:val="7030A0"/>
              </w:rPr>
              <w:t>Lead Tester</w:t>
            </w:r>
            <w:r>
              <w:rPr>
                <w:b w:val="0"/>
                <w:i w:val="0"/>
                <w:strike w:val="0"/>
              </w:rPr>
              <w:t xml:space="preserve"> </w:t>
            </w:r>
            <w:r>
              <w:rPr>
                <w:b w:val="0"/>
                <w:i/>
                <w:strike w:val="0"/>
                <w:color w:val="7030A0"/>
                <w:sz w:val="16"/>
              </w:rPr>
              <w:t xml:space="preserve"> [Aug 2026 client MOM]</w:t>
            </w:r>
          </w:p>
        </w:tc>
        <w:tc>
          <w:tcPr>
            <w:tcW w:type="dxa" w:w="2880"/>
          </w:tcPr>
          <w:p>
            <w:r/>
            <w:r>
              <w:rPr>
                <w:b/>
                <w:i/>
                <w:strike w:val="0"/>
                <w:color w:val="7030A0"/>
              </w:rPr>
              <w:t>NEW in v5.0: when evidence for a financial system or critical control is received and awaits mandatory human verification (FR-90).</w:t>
            </w:r>
            <w:r>
              <w:rPr>
                <w:b w:val="0"/>
                <w:i w:val="0"/>
                <w:strike w:val="0"/>
              </w:rPr>
              <w:t xml:space="preserve"> </w:t>
            </w:r>
            <w:r>
              <w:rPr>
                <w:b w:val="0"/>
                <w:i/>
                <w:strike w:val="0"/>
                <w:color w:val="7030A0"/>
                <w:sz w:val="16"/>
              </w:rPr>
              <w:t xml:space="preserve"> [Aug 2026 client MOM]</w:t>
            </w:r>
          </w:p>
        </w:tc>
      </w:tr>
      <w:tr>
        <w:tc>
          <w:tcPr>
            <w:tcW w:type="dxa" w:w="2880"/>
          </w:tcPr>
          <w:p>
            <w:r/>
            <w:r>
              <w:rPr>
                <w:b/>
                <w:i/>
                <w:strike w:val="0"/>
                <w:color w:val="7030A0"/>
              </w:rPr>
              <w:t>Pending pool item unassigned</w:t>
            </w:r>
            <w:r>
              <w:rPr>
                <w:b w:val="0"/>
                <w:i w:val="0"/>
                <w:strike w:val="0"/>
              </w:rPr>
              <w:t xml:space="preserve"> </w:t>
            </w:r>
            <w:r>
              <w:rPr>
                <w:b w:val="0"/>
                <w:i/>
                <w:strike w:val="0"/>
                <w:color w:val="7030A0"/>
                <w:sz w:val="16"/>
              </w:rPr>
              <w:t xml:space="preserve"> [Aug 2026 client MOM]</w:t>
            </w:r>
          </w:p>
        </w:tc>
        <w:tc>
          <w:tcPr>
            <w:tcW w:type="dxa" w:w="2880"/>
          </w:tcPr>
          <w:p>
            <w:r/>
            <w:r>
              <w:rPr>
                <w:b/>
                <w:i/>
                <w:strike w:val="0"/>
                <w:color w:val="7030A0"/>
              </w:rPr>
              <w:t>CCO</w:t>
            </w:r>
            <w:r>
              <w:rPr>
                <w:b w:val="0"/>
                <w:i w:val="0"/>
                <w:strike w:val="0"/>
              </w:rPr>
              <w:t xml:space="preserve"> </w:t>
            </w:r>
            <w:r>
              <w:rPr>
                <w:b w:val="0"/>
                <w:i/>
                <w:strike w:val="0"/>
                <w:color w:val="7030A0"/>
                <w:sz w:val="16"/>
              </w:rPr>
              <w:t xml:space="preserve"> [Aug 2026 client MOM]</w:t>
            </w:r>
          </w:p>
        </w:tc>
        <w:tc>
          <w:tcPr>
            <w:tcW w:type="dxa" w:w="2880"/>
          </w:tcPr>
          <w:p>
            <w:r/>
            <w:r>
              <w:rPr>
                <w:b/>
                <w:i/>
                <w:strike w:val="0"/>
                <w:color w:val="7030A0"/>
              </w:rPr>
              <w:t>NEW in v5.0: when an item in the FR-78 pool approaches the end of the period it is owed for without being assigned to a tester. This is the pool-model form of the "required test not scheduled" alert above.</w:t>
            </w:r>
            <w:r>
              <w:rPr>
                <w:b w:val="0"/>
                <w:i w:val="0"/>
                <w:strike w:val="0"/>
              </w:rPr>
              <w:t xml:space="preserve"> </w:t>
            </w:r>
            <w:r>
              <w:rPr>
                <w:b w:val="0"/>
                <w:i/>
                <w:strike w:val="0"/>
                <w:color w:val="7030A0"/>
                <w:sz w:val="16"/>
              </w:rPr>
              <w:t xml:space="preserve"> [Aug 2026 client MOM]</w:t>
            </w:r>
          </w:p>
        </w:tc>
      </w:tr>
      <w:tr>
        <w:tc>
          <w:tcPr>
            <w:tcW w:type="dxa" w:w="2880"/>
          </w:tcPr>
          <w:p>
            <w:r/>
            <w:r>
              <w:rPr>
                <w:b/>
                <w:i/>
                <w:strike w:val="0"/>
                <w:color w:val="008080"/>
              </w:rPr>
              <w:t>Regulation updated — review required</w:t>
            </w:r>
            <w:r>
              <w:rPr>
                <w:b w:val="0"/>
                <w:i w:val="0"/>
                <w:strike w:val="0"/>
              </w:rPr>
              <w:t xml:space="preserve"> </w:t>
            </w:r>
            <w:r>
              <w:rPr>
                <w:b w:val="0"/>
                <w:i/>
                <w:strike w:val="0"/>
                <w:color w:val="008080"/>
                <w:sz w:val="16"/>
              </w:rPr>
              <w:t xml:space="preserve"> [11 Aug 2026 MOM]</w:t>
            </w:r>
          </w:p>
        </w:tc>
        <w:tc>
          <w:tcPr>
            <w:tcW w:type="dxa" w:w="2880"/>
          </w:tcPr>
          <w:p>
            <w:r/>
            <w:r>
              <w:rPr>
                <w:b/>
                <w:i/>
                <w:strike w:val="0"/>
                <w:color w:val="008080"/>
              </w:rPr>
              <w:t>Platform Super Admin, on the Portal dashboard</w:t>
            </w:r>
            <w:r>
              <w:rPr>
                <w:b w:val="0"/>
                <w:i w:val="0"/>
                <w:strike w:val="0"/>
              </w:rPr>
              <w:t xml:space="preserve"> </w:t>
            </w:r>
            <w:r>
              <w:rPr>
                <w:b w:val="0"/>
                <w:i/>
                <w:strike w:val="0"/>
                <w:color w:val="008080"/>
                <w:sz w:val="16"/>
              </w:rPr>
              <w:t xml:space="preserve"> [11 Aug 2026 MOM]</w:t>
            </w:r>
          </w:p>
        </w:tc>
        <w:tc>
          <w:tcPr>
            <w:tcW w:type="dxa" w:w="2880"/>
          </w:tcPr>
          <w:p>
            <w:r/>
            <w:r>
              <w:rPr>
                <w:b/>
                <w:i/>
                <w:strike w:val="0"/>
                <w:color w:val="008080"/>
              </w:rPr>
              <w:t>NEW in v6.0: when a regulation the platform already carries (MiCA, DORA) is updated at source and re-enters the draft review queue (SA-15). This is the Portal-side twin of the firm-side "Regulation update published" row above — that one fires on publish, this one fires on detection.</w:t>
            </w:r>
            <w:r>
              <w:rPr>
                <w:b w:val="0"/>
                <w:i w:val="0"/>
                <w:strike w:val="0"/>
              </w:rPr>
              <w:t xml:space="preserve"> </w:t>
            </w:r>
            <w:r>
              <w:rPr>
                <w:b w:val="0"/>
                <w:i/>
                <w:strike w:val="0"/>
                <w:color w:val="008080"/>
                <w:sz w:val="16"/>
              </w:rPr>
              <w:t xml:space="preserve"> [11 Aug 2026 MOM]</w:t>
            </w:r>
          </w:p>
        </w:tc>
      </w:tr>
      <w:tr>
        <w:tc>
          <w:tcPr>
            <w:tcW w:type="dxa" w:w="2880"/>
          </w:tcPr>
          <w:p>
            <w:r/>
            <w:r>
              <w:rPr>
                <w:b/>
                <w:i/>
                <w:strike w:val="0"/>
                <w:color w:val="7B3F00"/>
              </w:rPr>
              <w:t>Requirement assignment</w:t>
            </w:r>
            <w:r>
              <w:rPr>
                <w:b w:val="0"/>
                <w:i w:val="0"/>
                <w:strike w:val="0"/>
              </w:rPr>
              <w:t xml:space="preserve"> </w:t>
            </w:r>
            <w:r>
              <w:rPr>
                <w:b w:val="0"/>
                <w:i/>
                <w:strike w:val="0"/>
                <w:color w:val="7B3F00"/>
                <w:sz w:val="16"/>
              </w:rPr>
              <w:t xml:space="preserve"> [Sep 2026 test model]</w:t>
            </w:r>
          </w:p>
        </w:tc>
        <w:tc>
          <w:tcPr>
            <w:tcW w:type="dxa" w:w="2880"/>
          </w:tcPr>
          <w:p>
            <w:r/>
            <w:r>
              <w:rPr>
                <w:b/>
                <w:i/>
                <w:strike w:val="0"/>
                <w:color w:val="008080"/>
              </w:rPr>
              <w:t>Each assigned tester</w:t>
            </w:r>
            <w:r>
              <w:rPr>
                <w:b w:val="0"/>
                <w:i w:val="0"/>
                <w:strike w:val="0"/>
              </w:rPr>
              <w:t xml:space="preserve"> </w:t>
            </w:r>
            <w:r>
              <w:rPr>
                <w:b w:val="0"/>
                <w:i/>
                <w:strike w:val="0"/>
                <w:color w:val="008080"/>
                <w:sz w:val="16"/>
              </w:rPr>
              <w:t xml:space="preserve"> [11 Aug 2026 MOM]</w:t>
            </w:r>
          </w:p>
        </w:tc>
        <w:tc>
          <w:tcPr>
            <w:tcW w:type="dxa" w:w="2880"/>
          </w:tcPr>
          <w:p>
            <w:r/>
            <w:r>
              <w:rPr>
                <w:b/>
                <w:i/>
                <w:strike w:val="0"/>
                <w:color w:val="008080"/>
              </w:rPr>
              <w:t>REVISED in v11.0: each tester receives their own notification naming the requirement they have been assigned — its ID, name and articles — rather than the test as a whole. Superseded wording: "Article assignment … naming the articles they own" (v6.0, FR-106 as it then stood). NEW in v6.0: when the CCO fans a test out across several testers, each receives their own notification naming the articles they own rather than the test as a whole (FR-106).</w:t>
            </w:r>
            <w:r>
              <w:rPr>
                <w:b w:val="0"/>
                <w:i w:val="0"/>
                <w:strike w:val="0"/>
              </w:rPr>
              <w:t xml:space="preserve"> </w:t>
            </w:r>
            <w:r>
              <w:rPr>
                <w:b w:val="0"/>
                <w:i/>
                <w:strike w:val="0"/>
                <w:color w:val="008080"/>
                <w:sz w:val="16"/>
              </w:rPr>
              <w:t xml:space="preserve"> [11 Aug 2026 MOM]</w:t>
            </w:r>
          </w:p>
        </w:tc>
      </w:tr>
      <w:tr>
        <w:tc>
          <w:tcPr>
            <w:tcW w:type="dxa" w:w="2880"/>
          </w:tcPr>
          <w:p>
            <w:r/>
            <w:r>
              <w:rPr>
                <w:b/>
                <w:i/>
                <w:strike w:val="0"/>
                <w:color w:val="008080"/>
              </w:rPr>
              <w:t>Gaps identified for review</w:t>
            </w:r>
            <w:r>
              <w:rPr>
                <w:b w:val="0"/>
                <w:i w:val="0"/>
                <w:strike w:val="0"/>
              </w:rPr>
              <w:t xml:space="preserve"> </w:t>
            </w:r>
            <w:r>
              <w:rPr>
                <w:b w:val="0"/>
                <w:i/>
                <w:strike w:val="0"/>
                <w:color w:val="008080"/>
                <w:sz w:val="16"/>
              </w:rPr>
              <w:t xml:space="preserve"> [11 Aug 2026 MOM]</w:t>
            </w:r>
          </w:p>
        </w:tc>
        <w:tc>
          <w:tcPr>
            <w:tcW w:type="dxa" w:w="2880"/>
          </w:tcPr>
          <w:p>
            <w:r/>
            <w:r>
              <w:rPr>
                <w:b/>
                <w:i/>
                <w:strike w:val="0"/>
                <w:color w:val="008080"/>
              </w:rPr>
              <w:t>Lead Tester</w:t>
            </w:r>
            <w:r>
              <w:rPr>
                <w:b w:val="0"/>
                <w:i w:val="0"/>
                <w:strike w:val="0"/>
              </w:rPr>
              <w:t xml:space="preserve"> </w:t>
            </w:r>
            <w:r>
              <w:rPr>
                <w:b w:val="0"/>
                <w:i/>
                <w:strike w:val="0"/>
                <w:color w:val="008080"/>
                <w:sz w:val="16"/>
              </w:rPr>
              <w:t xml:space="preserve"> [11 Aug 2026 MOM]</w:t>
            </w:r>
          </w:p>
        </w:tc>
        <w:tc>
          <w:tcPr>
            <w:tcW w:type="dxa" w:w="2880"/>
          </w:tcPr>
          <w:p>
            <w:r/>
            <w:r>
              <w:rPr>
                <w:b/>
                <w:i/>
                <w:strike w:val="0"/>
                <w:color w:val="008080"/>
              </w:rPr>
              <w:t>NEW in v6.0: when the platform finishes its policy-to-regulation gap analysis on reviewed evidence and has candidate gaps awaiting the tester's confirmation (FR-112).</w:t>
            </w:r>
            <w:r>
              <w:rPr>
                <w:b w:val="0"/>
                <w:i w:val="0"/>
                <w:strike w:val="0"/>
              </w:rPr>
              <w:t xml:space="preserve"> </w:t>
            </w:r>
            <w:r>
              <w:rPr>
                <w:b w:val="0"/>
                <w:i/>
                <w:strike w:val="0"/>
                <w:color w:val="008080"/>
                <w:sz w:val="16"/>
              </w:rPr>
              <w:t xml:space="preserve"> [11 Aug 2026 MOM]</w:t>
            </w:r>
          </w:p>
        </w:tc>
      </w:tr>
      <w:tr>
        <w:tc>
          <w:tcPr>
            <w:tcW w:type="dxa" w:w="2880"/>
          </w:tcPr>
          <w:p>
            <w:r/>
            <w:r>
              <w:rPr>
                <w:b/>
                <w:i/>
                <w:strike w:val="0"/>
                <w:color w:val="843C0C"/>
              </w:rPr>
              <w:t>New enquiry received</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Sosinna's team, on the Portal dashboard</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NEW in v7.0: when a firm submits an enquiry (SA-16). A prospect waiting for a reply is a lead going cold.</w:t>
            </w:r>
            <w:r>
              <w:rPr>
                <w:b w:val="0"/>
                <w:i w:val="0"/>
                <w:strike w:val="0"/>
              </w:rPr>
              <w:t xml:space="preserve"> </w:t>
            </w:r>
            <w:r>
              <w:rPr>
                <w:b w:val="0"/>
                <w:i/>
                <w:strike w:val="0"/>
                <w:color w:val="843C0C"/>
                <w:sz w:val="16"/>
              </w:rPr>
              <w:t xml:space="preserve"> [Aug 2026 onboarding flow]</w:t>
            </w:r>
          </w:p>
        </w:tc>
      </w:tr>
      <w:tr>
        <w:tc>
          <w:tcPr>
            <w:tcW w:type="dxa" w:w="2880"/>
          </w:tcPr>
          <w:p>
            <w:r/>
            <w:r>
              <w:rPr>
                <w:b/>
                <w:i/>
                <w:strike w:val="0"/>
                <w:color w:val="843C0C"/>
              </w:rPr>
              <w:t>Onboarding link issued</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The firm's named contact, by email</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NEW in v7.0: when Sosinna's team generates the link (SA-20). This email is the firm's only route in, so delivery failure must be visible to the sender.</w:t>
            </w:r>
            <w:r>
              <w:rPr>
                <w:b w:val="0"/>
                <w:i w:val="0"/>
                <w:strike w:val="0"/>
              </w:rPr>
              <w:t xml:space="preserve"> </w:t>
            </w:r>
            <w:r>
              <w:rPr>
                <w:b w:val="0"/>
                <w:i/>
                <w:strike w:val="0"/>
                <w:color w:val="843C0C"/>
                <w:sz w:val="16"/>
              </w:rPr>
              <w:t xml:space="preserve"> [Aug 2026 onboarding flow]</w:t>
            </w:r>
          </w:p>
        </w:tc>
      </w:tr>
      <w:tr>
        <w:tc>
          <w:tcPr>
            <w:tcW w:type="dxa" w:w="2880"/>
          </w:tcPr>
          <w:p>
            <w:r/>
            <w:r>
              <w:rPr>
                <w:b/>
                <w:i/>
                <w:strike w:val="0"/>
                <w:color w:val="843C0C"/>
              </w:rPr>
              <w:t>Onboarding stalled</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Sosinna's team</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NEW in v7.0: when a firm has started onboarding but not completed it, or its link is approaching expiry (SA-21, FR-128).</w:t>
            </w:r>
            <w:r>
              <w:rPr>
                <w:b w:val="0"/>
                <w:i w:val="0"/>
                <w:strike w:val="0"/>
              </w:rPr>
              <w:t xml:space="preserve"> </w:t>
            </w:r>
            <w:r>
              <w:rPr>
                <w:b w:val="0"/>
                <w:i/>
                <w:strike w:val="0"/>
                <w:color w:val="843C0C"/>
                <w:sz w:val="16"/>
              </w:rPr>
              <w:t xml:space="preserve"> [Aug 2026 onboarding flow]</w:t>
            </w:r>
          </w:p>
        </w:tc>
      </w:tr>
      <w:tr>
        <w:tc>
          <w:tcPr>
            <w:tcW w:type="dxa" w:w="2880"/>
          </w:tcPr>
          <w:p>
            <w:r/>
            <w:r>
              <w:rPr>
                <w:b/>
                <w:i/>
                <w:strike w:val="0"/>
                <w:color w:val="843C0C"/>
              </w:rPr>
              <w:t>Payment failed</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The firm, and Sosinna's team after repeated failures</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NEW in v7.0: when a payment attempt fails (FR-126). The firm is told plainly and can retry; the team is told so they can intervene.</w:t>
            </w:r>
            <w:r>
              <w:rPr>
                <w:b w:val="0"/>
                <w:i w:val="0"/>
                <w:strike w:val="0"/>
              </w:rPr>
              <w:t xml:space="preserve"> </w:t>
            </w:r>
            <w:r>
              <w:rPr>
                <w:b w:val="0"/>
                <w:i/>
                <w:strike w:val="0"/>
                <w:color w:val="843C0C"/>
                <w:sz w:val="16"/>
              </w:rPr>
              <w:t xml:space="preserve"> [Aug 2026 onboarding flow]</w:t>
            </w:r>
          </w:p>
        </w:tc>
      </w:tr>
      <w:tr>
        <w:tc>
          <w:tcPr>
            <w:tcW w:type="dxa" w:w="2880"/>
          </w:tcPr>
          <w:p>
            <w:r/>
            <w:r>
              <w:rPr>
                <w:b/>
                <w:i/>
                <w:strike w:val="0"/>
                <w:color w:val="843C0C"/>
              </w:rPr>
              <w:t>Firm activated</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Sosinna's team, and the firm's administrators</w:t>
            </w:r>
            <w:r>
              <w:rPr>
                <w:b w:val="0"/>
                <w:i w:val="0"/>
                <w:strike w:val="0"/>
              </w:rPr>
              <w:t xml:space="preserve"> </w:t>
            </w:r>
            <w:r>
              <w:rPr>
                <w:b w:val="0"/>
                <w:i/>
                <w:strike w:val="0"/>
                <w:color w:val="843C0C"/>
                <w:sz w:val="16"/>
              </w:rPr>
              <w:t xml:space="preserve"> [Aug 2026 onboarding flow]</w:t>
            </w:r>
          </w:p>
        </w:tc>
        <w:tc>
          <w:tcPr>
            <w:tcW w:type="dxa" w:w="2880"/>
          </w:tcPr>
          <w:p>
            <w:r/>
            <w:r>
              <w:rPr>
                <w:b/>
                <w:i/>
                <w:strike w:val="0"/>
                <w:color w:val="843C0C"/>
              </w:rPr>
              <w:t>NEW in v7.0: on successful payment and tenant activation (FR-125). The firm's welcome-and-log-in message; the team's confirmation that a sale closed.</w:t>
            </w:r>
            <w:r>
              <w:rPr>
                <w:b w:val="0"/>
                <w:i w:val="0"/>
                <w:strike w:val="0"/>
              </w:rPr>
              <w:t xml:space="preserve"> </w:t>
            </w:r>
            <w:r>
              <w:rPr>
                <w:b w:val="0"/>
                <w:i/>
                <w:strike w:val="0"/>
                <w:color w:val="843C0C"/>
                <w:sz w:val="16"/>
              </w:rPr>
              <w:t xml:space="preserve"> [Aug 2026 onboarding flow]</w:t>
            </w:r>
          </w:p>
        </w:tc>
      </w:tr>
    </w:tbl>
    <w:tbl>
      <w:tblPr>
        <w:tblStyle w:val="TableGrid"/>
        <w:tblW w:type="auto" w:w="0"/>
        <w:tblLook w:firstColumn="1" w:firstRow="1" w:lastColumn="0" w:lastRow="0" w:noHBand="0" w:noVBand="1" w:val="04A0"/>
      </w:tblPr>
      <w:tblGrid>
        <w:gridCol w:w="8640"/>
      </w:tblGrid>
      <w:tr>
        <w:tc>
          <w:tcPr>
            <w:tcW w:type="dxa" w:w="8640"/>
            <w:shd w:val="clear" w:fill="DDEBF7"/>
          </w:tcPr>
          <w:p>
            <w:r>
              <w:rPr>
                <w:b/>
                <w:i w:val="0"/>
                <w:strike w:val="0"/>
              </w:rPr>
              <w:t>💬 Questions still to confirm</w:t>
            </w:r>
          </w:p>
          <w:p>
            <w:pPr>
              <w:pStyle w:val="ListBullet"/>
            </w:pPr>
            <w:r>
              <w:rPr>
                <w:b/>
                <w:i w:val="0"/>
                <w:strike w:val="0"/>
              </w:rPr>
              <w:t>Channels (NT-01) — RESOLVED on the 25 Jun call:</w:t>
            </w:r>
            <w:r>
              <w:rPr>
                <w:b w:val="0"/>
                <w:i w:val="0"/>
                <w:strike w:val="0"/>
              </w:rPr>
              <w:t xml:space="preserve"> </w:t>
            </w:r>
            <w:r>
              <w:rPr>
                <w:b w:val="0"/>
                <w:i/>
                <w:strike w:val="0"/>
                <w:color w:val="1155CC"/>
              </w:rPr>
              <w:t>email and in-platform only, confirmed as the baseline and the ceiling for MVP. No SMS. Slack/Teams integration wasn't explicitly ruled out but wasn't raised as a requirement either — treat as out of scope for MVP unless it resurfaces.</w:t>
            </w:r>
            <w:r>
              <w:rPr>
                <w:b w:val="0"/>
                <w:i w:val="0"/>
                <w:strike w:val="0"/>
              </w:rPr>
              <w:t xml:space="preserve"> </w:t>
            </w:r>
            <w:r>
              <w:rPr>
                <w:b w:val="0"/>
                <w:i/>
                <w:strike w:val="0"/>
                <w:color w:val="1155CC"/>
                <w:sz w:val="16"/>
              </w:rPr>
              <w:t xml:space="preserve"> [25 Jun FRD call]</w:t>
            </w:r>
          </w:p>
          <w:p>
            <w:pPr>
              <w:pStyle w:val="ListBullet"/>
            </w:pPr>
            <w:r>
              <w:rPr>
                <w:b/>
                <w:i w:val="0"/>
                <w:strike w:val="0"/>
              </w:rPr>
              <w:t>Preferences (NT-02) — RESOLVED on the 25 Jun call:</w:t>
            </w:r>
            <w:r>
              <w:rPr>
                <w:b w:val="0"/>
                <w:i w:val="0"/>
                <w:strike w:val="0"/>
              </w:rPr>
              <w:t xml:space="preserve"> </w:t>
            </w:r>
            <w:r>
              <w:rPr>
                <w:b w:val="0"/>
                <w:i/>
                <w:strike w:val="0"/>
                <w:color w:val="1155CC"/>
              </w:rPr>
              <w:t>configurable at the individual user level, but only for users who actually log in. Distribution-list-only recipients (no login) get no configuration — they always receive. The CCO is accountable for setting the baseline; this was framed explicitly as an accountability exercise, not just a UX nicety.</w:t>
            </w:r>
            <w:r>
              <w:rPr>
                <w:b w:val="0"/>
                <w:i w:val="0"/>
                <w:strike w:val="0"/>
              </w:rPr>
              <w:t xml:space="preserve"> </w:t>
            </w:r>
            <w:r>
              <w:rPr>
                <w:b w:val="0"/>
                <w:i/>
                <w:strike w:val="0"/>
                <w:color w:val="1155CC"/>
                <w:sz w:val="16"/>
              </w:rPr>
              <w:t xml:space="preserve"> [25 Jun FRD call]</w:t>
            </w:r>
          </w:p>
          <w:p>
            <w:pPr>
              <w:pStyle w:val="ListBullet"/>
            </w:pPr>
            <w:r>
              <w:rPr>
                <w:b/>
                <w:i w:val="0"/>
                <w:strike w:val="0"/>
              </w:rPr>
              <w:t>Digest (NT-03) — RESOLVED on the 25 Jun call:</w:t>
            </w:r>
            <w:r>
              <w:rPr>
                <w:b w:val="0"/>
                <w:i w:val="0"/>
                <w:strike w:val="0"/>
              </w:rPr>
              <w:t xml:space="preserve"> </w:t>
            </w:r>
            <w:r>
              <w:rPr>
                <w:b w:val="0"/>
                <w:i/>
                <w:strike w:val="0"/>
                <w:color w:val="1155CC"/>
              </w:rPr>
              <w:t>no general daily/weekly summary of everything. Instead, a weekly digest specifically for outstanding/overdue request items (see the new alert row above), toggleable per firm. Repeated single-item overdue emails remain the escalation mechanism for urgency — the digest is for management visibility, not urgency.</w:t>
            </w:r>
            <w:r>
              <w:rPr>
                <w:b w:val="0"/>
                <w:i w:val="0"/>
                <w:strike w:val="0"/>
              </w:rPr>
              <w:t xml:space="preserve"> </w:t>
            </w:r>
            <w:r>
              <w:rPr>
                <w:b w:val="0"/>
                <w:i/>
                <w:strike w:val="0"/>
                <w:color w:val="1155CC"/>
                <w:sz w:val="16"/>
              </w:rPr>
              <w:t xml:space="preserve"> [25 Jun FRD call]</w:t>
            </w:r>
          </w:p>
        </w:tc>
      </w:tr>
    </w:tbl>
    <w:p>
      <w:pPr>
        <w:pStyle w:val="Heading1"/>
      </w:pPr>
      <w:r>
        <w:t>13. Technical and Security Requirements</w:t>
      </w:r>
    </w:p>
    <w:p>
      <w:r>
        <w:rPr>
          <w:b w:val="0"/>
          <w:i w:val="0"/>
          <w:strike w:val="0"/>
        </w:rPr>
        <w:t>This section is primarily for the development team. It describes the non-negotiable technical standards the platform must meet.</w:t>
      </w:r>
    </w:p>
    <w:p>
      <w:pPr>
        <w:pStyle w:val="Heading2"/>
      </w:pPr>
      <w:r>
        <w:t>13.1 Security and Data Protection</w:t>
      </w:r>
    </w:p>
    <w:p>
      <w:r>
        <w:rPr>
          <w:b/>
          <w:i w:val="0"/>
          <w:strike w:val="0"/>
          <w:color w:val="1155CC"/>
        </w:rPr>
        <w:t>[NFR-01]</w:t>
      </w:r>
      <w:r>
        <w:rPr>
          <w:b w:val="0"/>
          <w:i w:val="0"/>
          <w:strike w:val="0"/>
        </w:rPr>
        <w:t xml:space="preserve"> Every client firm's data is held in complete isolation from every other firm. This is what 'multi-tenant architecture' means — one shared platform infrastructure, but each firm's data in a completely separate partition. No firm can ever access another firm's data, even accidentally.</w:t>
      </w:r>
    </w:p>
    <w:p>
      <w:r>
        <w:rPr>
          <w:b/>
          <w:i w:val="0"/>
          <w:strike w:val="0"/>
          <w:color w:val="1155CC"/>
        </w:rPr>
        <w:t>[NFR-02]</w:t>
      </w:r>
      <w:r>
        <w:rPr>
          <w:b w:val="0"/>
          <w:i w:val="0"/>
          <w:strike w:val="0"/>
        </w:rPr>
        <w:t xml:space="preserve"> All data is encrypted at rest (meaning data stored on disk is unreadable without a decryption key) using AES-256 — a standard used by governments and banks. All data moving between the platform and users' browsers is encrypted using TLS 1.3. Each firm has its own encryption key.</w:t>
      </w:r>
    </w:p>
    <w:p>
      <w:r>
        <w:rPr>
          <w:b/>
          <w:i w:val="0"/>
          <w:strike w:val="0"/>
          <w:color w:val="1155CC"/>
        </w:rPr>
        <w:t>[NFR-03]</w:t>
      </w:r>
      <w:r>
        <w:rPr>
          <w:b w:val="0"/>
          <w:i w:val="0"/>
          <w:strike w:val="0"/>
        </w:rPr>
        <w:t xml:space="preserve"> All client data must be stored in EU-based data centres. This is required by GDPR (the General Data Protection Regulation) and expected by the regulators that will be using this platform.</w:t>
      </w:r>
    </w:p>
    <w:p>
      <w:r>
        <w:rPr>
          <w:b/>
          <w:i w:val="0"/>
          <w:strike w:val="0"/>
          <w:color w:val="1155CC"/>
        </w:rPr>
        <w:t>[NFR-04]</w:t>
      </w:r>
      <w:r>
        <w:rPr>
          <w:b w:val="0"/>
          <w:i w:val="0"/>
          <w:strike w:val="0"/>
        </w:rPr>
        <w:t xml:space="preserve"> Every action in the platform is permanently recorded in a tamper-proof audit log. Not even the system administrators at SayOne can modify or delete this log. It exists to provide irrefutable proof to a regulator that the compliance process was followed correctly.</w:t>
      </w:r>
    </w:p>
    <w:p>
      <w:r>
        <w:rPr>
          <w:b/>
          <w:i w:val="0"/>
          <w:strike w:val="0"/>
          <w:color w:val="1155CC"/>
        </w:rPr>
        <w:t>[NFR-06]</w:t>
      </w:r>
      <w:r>
        <w:rPr>
          <w:b w:val="0"/>
          <w:i w:val="0"/>
          <w:strike w:val="0"/>
        </w:rPr>
        <w:t xml:space="preserve"> The platform is GDPR-compliant as a data processor — meaning SayOne processes personal data on behalf of client firms, under a Data Processing Agreement.</w:t>
      </w:r>
    </w:p>
    <w:p>
      <w:r>
        <w:rPr>
          <w:b/>
          <w:i w:val="0"/>
          <w:strike w:val="0"/>
          <w:color w:val="1155CC"/>
        </w:rPr>
        <w:t>[NFR-12]</w:t>
      </w:r>
      <w:r>
        <w:rPr>
          <w:b w:val="0"/>
          <w:i w:val="0"/>
          <w:strike w:val="0"/>
        </w:rPr>
        <w:t xml:space="preserve"> </w:t>
      </w:r>
      <w:r>
        <w:rPr>
          <w:b/>
          <w:i/>
          <w:strike w:val="0"/>
          <w:color w:val="843C0C"/>
        </w:rPr>
        <w:t>Card and bank details are never stored, processed or logged by ControlIQ. Payment is taken through a payment provider's hosted checkout or hosted input fields, so card data passes from the payer's browser directly to the provider and the platform holds only a provider token and a transaction reference. This keeps the platform at the lightest PCI DSS tier and keeps card data out of the Section 2 retention regime entirely. Tenant activation is driven by the provider's server-to-server confirmation, never by the browser returning to a success page.</w:t>
      </w:r>
      <w:r>
        <w:rPr>
          <w:b w:val="0"/>
          <w:i w:val="0"/>
          <w:strike w:val="0"/>
        </w:rPr>
        <w:t xml:space="preserve"> </w:t>
      </w:r>
      <w:r>
        <w:rPr>
          <w:b w:val="0"/>
          <w:i/>
          <w:strike w:val="0"/>
          <w:color w:val="843C0C"/>
          <w:sz w:val="16"/>
        </w:rPr>
        <w:t xml:space="preserve"> [Aug 2026 onboarding flow]</w:t>
      </w:r>
    </w:p>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 — new in v7.0)</w:t>
            </w:r>
          </w:p>
          <w:p>
            <w:r>
              <w:rPr>
                <w:b/>
                <w:i w:val="0"/>
                <w:strike w:val="0"/>
              </w:rPr>
              <w:t>📌 Note</w:t>
            </w:r>
          </w:p>
          <w:p>
            <w:pPr>
              <w:pStyle w:val="ListBullet"/>
            </w:pPr>
            <w:r>
              <w:rPr>
                <w:b/>
                <w:i/>
                <w:strike w:val="0"/>
                <w:color w:val="843C0C"/>
              </w:rPr>
              <w:t>NFR-12 is not negotiable for cost or convenience. Accepting a card number into the application, even in transit, moves the platform into a PCI assessment tier that the project is not scoped or budgeted for and that a fixed-fee milestone contract cannot absorb.</w:t>
            </w:r>
            <w:r>
              <w:rPr>
                <w:b w:val="0"/>
                <w:i w:val="0"/>
                <w:strike w:val="0"/>
              </w:rPr>
              <w:t xml:space="preserve"> </w:t>
            </w:r>
            <w:r>
              <w:rPr>
                <w:b w:val="0"/>
                <w:i/>
                <w:strike w:val="0"/>
                <w:color w:val="843C0C"/>
                <w:sz w:val="16"/>
              </w:rPr>
              <w:t xml:space="preserve"> [Aug 2026 onboarding flow]</w:t>
            </w:r>
          </w:p>
          <w:p>
            <w:pPr>
              <w:pStyle w:val="ListBullet"/>
            </w:pPr>
            <w:r>
              <w:rPr>
                <w:b/>
                <w:i/>
                <w:strike w:val="0"/>
                <w:color w:val="843C0C"/>
              </w:rPr>
              <w:t>The provider must have EU processing to sit alongside NFR-03, and a Data Processing Agreement under NFR-06. Provider selection is ON-03 and is a prerequisite for the Section 5.7 estimate.</w:t>
            </w:r>
            <w:r>
              <w:rPr>
                <w:b w:val="0"/>
                <w:i w:val="0"/>
                <w:strike w:val="0"/>
              </w:rPr>
              <w:t xml:space="preserve"> </w:t>
            </w:r>
            <w:r>
              <w:rPr>
                <w:b w:val="0"/>
                <w:i/>
                <w:strike w:val="0"/>
                <w:color w:val="843C0C"/>
                <w:sz w:val="16"/>
              </w:rPr>
              <w:t xml:space="preserve"> [Aug 2026 onboarding flow]</w:t>
            </w:r>
          </w:p>
        </w:tc>
      </w:tr>
    </w:tbl>
    <w:p>
      <w:pPr>
        <w:pStyle w:val="Heading2"/>
      </w:pPr>
      <w:r>
        <w:t>13.2 Performance and Availability</w:t>
      </w:r>
    </w:p>
    <w:p>
      <w:r>
        <w:rPr>
          <w:b/>
          <w:i w:val="0"/>
          <w:strike w:val="0"/>
          <w:color w:val="1155CC"/>
        </w:rPr>
        <w:t>[NFR-05]</w:t>
      </w:r>
      <w:r>
        <w:rPr>
          <w:b w:val="0"/>
          <w:i w:val="0"/>
          <w:strike w:val="0"/>
        </w:rPr>
        <w:t xml:space="preserve"> Dashboard pages load within two seconds under normal load. The platform supports up to 100 simultaneous users per firm without performance degradation.</w:t>
      </w:r>
    </w:p>
    <w:p>
      <w:r>
        <w:rPr>
          <w:b/>
          <w:i w:val="0"/>
          <w:strike w:val="0"/>
          <w:color w:val="1155CC"/>
        </w:rPr>
        <w:t>[NFR-07]</w:t>
      </w:r>
      <w:r>
        <w:rPr>
          <w:b w:val="0"/>
          <w:i w:val="0"/>
          <w:strike w:val="0"/>
        </w:rPr>
        <w:t xml:space="preserve"> All test results, findings, evidence, reports, and audit logs are retained for a minimum of six years. No user — including administrators — can delete them.</w:t>
      </w:r>
    </w:p>
    <w:p>
      <w:r>
        <w:rPr>
          <w:b/>
          <w:i w:val="0"/>
          <w:strike w:val="0"/>
          <w:color w:val="1155CC"/>
        </w:rPr>
        <w:t>[NFR-08]</w:t>
      </w:r>
      <w:r>
        <w:rPr>
          <w:b w:val="0"/>
          <w:i w:val="0"/>
          <w:strike w:val="0"/>
        </w:rPr>
        <w:t xml:space="preserve"> The platform targets 99.5% availability (this means it can be down for no more than approximately 44 hours per year). Planned maintenance windows are communicated in advance.</w:t>
      </w:r>
    </w:p>
    <w:p>
      <w:r>
        <w:rPr>
          <w:b/>
          <w:i w:val="0"/>
          <w:strike w:val="0"/>
          <w:color w:val="1155CC"/>
        </w:rPr>
        <w:t>[NFR-09]</w:t>
      </w:r>
      <w:r>
        <w:rPr>
          <w:b w:val="0"/>
          <w:i w:val="0"/>
          <w:strike w:val="0"/>
        </w:rPr>
        <w:t xml:space="preserve"> ISO 27001 (the international standard for information security management) and SOC 2 Type II (a US data security standard widely required by enterprise clients) are on the product roadmap. The timeline for achieving these certifications will be agreed with Sosinna's team.</w:t>
      </w:r>
    </w:p>
    <w:p>
      <w:r>
        <w:rPr>
          <w:b/>
          <w:i w:val="0"/>
          <w:strike w:val="0"/>
          <w:color w:val="1155CC"/>
        </w:rPr>
        <w:t>[NFR-10]</w:t>
      </w:r>
      <w:r>
        <w:rPr>
          <w:b w:val="0"/>
          <w:i w:val="0"/>
          <w:strike w:val="0"/>
        </w:rPr>
        <w:t xml:space="preserve"> The platform runs in a web browser — Chrome, Firefox, Edge, and Safari on desktop. The browser version should work well enough on mobile for approval sign-offs. There is no dedicated mobile app in the first version.</w:t>
      </w:r>
    </w:p>
    <w:p>
      <w:r>
        <w:rPr>
          <w:b/>
          <w:i w:val="0"/>
          <w:strike w:val="0"/>
          <w:color w:val="1155CC"/>
        </w:rPr>
        <w:t>[NFR-11]</w:t>
      </w:r>
      <w:r>
        <w:rPr>
          <w:b w:val="0"/>
          <w:i w:val="0"/>
          <w:strike w:val="0"/>
        </w:rPr>
        <w:t xml:space="preserve"> The maximum evidence file size is a configuration setting managed in the Platform Admin Portal. The development team will set an initial limit based on infrastructure cost modelling, and it can be adjusted without a code release.</w:t>
      </w:r>
    </w:p>
    <w:tbl>
      <w:tblPr>
        <w:tblStyle w:val="TableGrid"/>
        <w:tblW w:type="auto" w:w="0"/>
        <w:tblLook w:firstColumn="1" w:firstRow="1" w:lastColumn="0" w:lastRow="0" w:noHBand="0" w:noVBand="1" w:val="04A0"/>
      </w:tblPr>
      <w:tblGrid>
        <w:gridCol w:w="8640"/>
      </w:tblGrid>
      <w:tr>
        <w:tc>
          <w:tcPr>
            <w:tcW w:type="dxa" w:w="8640"/>
            <w:shd w:val="clear" w:fill="FFF2CC"/>
          </w:tcPr>
          <w:p>
            <w:r>
              <w:rPr>
                <w:b/>
                <w:i w:val="0"/>
                <w:strike w:val="0"/>
              </w:rPr>
              <w:t>OPEN QUESTION</w:t>
            </w:r>
            <w:r>
              <w:rPr>
                <w:b w:val="0"/>
                <w:i w:val="0"/>
                <w:strike w:val="0"/>
              </w:rPr>
              <w:t xml:space="preserve"> </w:t>
            </w:r>
            <w:r>
              <w:rPr>
                <w:b w:val="0"/>
                <w:i/>
                <w:strike w:val="0"/>
              </w:rPr>
              <w:t>(amber — unresolved)</w:t>
            </w:r>
          </w:p>
          <w:p>
            <w:r>
              <w:rPr>
                <w:b/>
                <w:i w:val="0"/>
                <w:strike w:val="0"/>
              </w:rPr>
              <w:t>💬 Questions still to confirm</w:t>
            </w:r>
          </w:p>
          <w:p>
            <w:pPr>
              <w:pStyle w:val="ListBullet"/>
            </w:pPr>
            <w:r>
              <w:rPr>
                <w:b/>
                <w:i w:val="0"/>
                <w:strike w:val="0"/>
              </w:rPr>
              <w:t>Cloud provider (TI-01) — RESOLVED:</w:t>
            </w:r>
            <w:r>
              <w:rPr>
                <w:b w:val="0"/>
                <w:i w:val="0"/>
                <w:strike w:val="0"/>
              </w:rPr>
              <w:t xml:space="preserve"> </w:t>
            </w:r>
            <w:r>
              <w:rPr>
                <w:b w:val="0"/>
                <w:i/>
                <w:strike w:val="0"/>
                <w:color w:val="C55A11"/>
              </w:rPr>
              <w:t>AWS, deployed inside an EU-resident data centre, on an account owned solely by the Client (not SayOne). Note the ownership detail — this affects how your infra team provisions and hands over access.</w:t>
            </w:r>
            <w:r>
              <w:rPr>
                <w:b w:val="0"/>
                <w:i w:val="0"/>
                <w:strike w:val="0"/>
              </w:rPr>
              <w:t xml:space="preserve"> </w:t>
            </w:r>
            <w:r>
              <w:rPr>
                <w:b w:val="0"/>
                <w:i/>
                <w:strike w:val="0"/>
                <w:color w:val="C55A11"/>
                <w:sz w:val="16"/>
              </w:rPr>
              <w:t xml:space="preserve"> [Sosinna's Drive comment]</w:t>
            </w:r>
          </w:p>
          <w:p>
            <w:pPr>
              <w:pStyle w:val="ListBullet"/>
            </w:pPr>
            <w:r>
              <w:rPr>
                <w:b w:val="0"/>
                <w:i w:val="0"/>
                <w:strike w:val="0"/>
              </w:rPr>
              <w:t>Uptime SLA (TI-02): Is 99.5% availability sufficient, or do clients require 99.9% (approximately 9 hours downtime per year)? [No update from the 25 Jun call.]</w:t>
            </w:r>
          </w:p>
          <w:p>
            <w:pPr>
              <w:pStyle w:val="ListBullet"/>
            </w:pPr>
            <w:r>
              <w:rPr>
                <w:b w:val="0"/>
                <w:i w:val="0"/>
                <w:strike w:val="0"/>
              </w:rPr>
              <w:t>Security certifications (TI-03): Are ISO 27001 or SOC 2 Type II required by clients as a condition of signing up? [No update.]</w:t>
            </w:r>
          </w:p>
          <w:p>
            <w:pPr>
              <w:pStyle w:val="ListBullet"/>
            </w:pPr>
            <w:r>
              <w:rPr>
                <w:b/>
                <w:i w:val="0"/>
                <w:strike w:val="0"/>
              </w:rPr>
              <w:t>API (TI-05) — partial:</w:t>
            </w:r>
            <w:r>
              <w:rPr>
                <w:b w:val="0"/>
                <w:i w:val="0"/>
                <w:strike w:val="0"/>
              </w:rPr>
              <w:t xml:space="preserve"> </w:t>
            </w:r>
            <w:r>
              <w:rPr>
                <w:b w:val="0"/>
                <w:i/>
                <w:strike w:val="0"/>
                <w:color w:val="1155CC"/>
              </w:rPr>
              <w:t>the call reinforced the existing 'later phase' framing — Bisrat suggested exposing an API for firms to build their own integrations eventually, but explicitly flagged it as "maybe not in scope now." Leaning confirms Section 1.2's existing exclusion; not a hard close.</w:t>
            </w:r>
            <w:r>
              <w:rPr>
                <w:b w:val="0"/>
                <w:i w:val="0"/>
                <w:strike w:val="0"/>
              </w:rPr>
              <w:t xml:space="preserve"> </w:t>
            </w:r>
            <w:r>
              <w:rPr>
                <w:b w:val="0"/>
                <w:i/>
                <w:strike w:val="0"/>
                <w:color w:val="1155CC"/>
                <w:sz w:val="16"/>
              </w:rPr>
              <w:t xml:space="preserve"> [25 Jun FRD call]</w:t>
            </w:r>
          </w:p>
          <w:p>
            <w:pPr>
              <w:pStyle w:val="ListBullet"/>
            </w:pPr>
            <w:r>
              <w:rPr>
                <w:b/>
                <w:i w:val="0"/>
                <w:strike w:val="0"/>
              </w:rPr>
              <w:t>Scale (TI-06) — partial:</w:t>
            </w:r>
            <w:r>
              <w:rPr>
                <w:b w:val="0"/>
                <w:i w:val="0"/>
                <w:strike w:val="0"/>
              </w:rPr>
              <w:t xml:space="preserve"> </w:t>
            </w:r>
            <w:r>
              <w:rPr>
                <w:b w:val="0"/>
                <w:i/>
                <w:strike w:val="0"/>
                <w:color w:val="1155CC"/>
              </w:rPr>
              <w:t>no total firm count for Year 1 yet, but user-count guidance emerged: MVP-eligible firms are capped around 50 individuals, with a typical compliance/testing team of around 10 platform users per firm. Enterprise-tier firms (any size, org-chart based) are uncapped. Still missing: total number of firms expected in Year 1.</w:t>
            </w:r>
            <w:r>
              <w:rPr>
                <w:b w:val="0"/>
                <w:i w:val="0"/>
                <w:strike w:val="0"/>
              </w:rPr>
              <w:t xml:space="preserve"> </w:t>
            </w:r>
            <w:r>
              <w:rPr>
                <w:b w:val="0"/>
                <w:i/>
                <w:strike w:val="0"/>
                <w:color w:val="1155CC"/>
                <w:sz w:val="16"/>
              </w:rPr>
              <w:t xml:space="preserve"> [25 Jun FRD call]</w:t>
            </w:r>
          </w:p>
        </w:tc>
      </w:tr>
    </w:tbl>
    <w:p>
      <w:pPr>
        <w:pStyle w:val="Heading1"/>
      </w:pPr>
      <w:r>
        <w:t>14. Commercial Questions</w:t>
      </w:r>
    </w:p>
    <w:p>
      <w:r>
        <w:rPr>
          <w:b w:val="0"/>
          <w:i w:val="0"/>
          <w:strike w:val="0"/>
        </w:rPr>
        <w:t>These are not product features — but the answers affect product decisions like pricing tiers, branding, and contract structure. They need to be resolved between Sosinna and SayOne before the build is finalised.</w:t>
      </w:r>
    </w:p>
    <w:p>
      <w:pPr>
        <w:pStyle w:val="Heading3"/>
      </w:pPr>
      <w:r>
        <w:t>CC-01 — Pricing model</w:t>
      </w:r>
    </w:p>
    <w:p>
      <w:r>
        <w:rPr>
          <w:b w:val="0"/>
          <w:i w:val="0"/>
          <w:strike w:val="0"/>
        </w:rPr>
        <w:t>How will clients be charged?</w:t>
      </w:r>
    </w:p>
    <w:p>
      <w:r>
        <w:rPr>
          <w:b/>
          <w:i/>
          <w:strike w:val="0"/>
          <w:color w:val="595959"/>
        </w:rPr>
        <w:t>Earlier note (Sosinna's Drive comment, 15 Jun):</w:t>
      </w:r>
      <w:r>
        <w:rPr>
          <w:b w:val="0"/>
          <w:i w:val="0"/>
          <w:strike w:val="0"/>
        </w:rPr>
        <w:t xml:space="preserve"> </w:t>
      </w:r>
      <w:r>
        <w:rPr>
          <w:b w:val="0"/>
          <w:i/>
          <w:strike/>
          <w:color w:val="595959"/>
        </w:rPr>
        <w:t>a flat monthly SaaS subscription model per tenant.</w:t>
      </w:r>
      <w:r>
        <w:rPr>
          <w:b w:val="0"/>
          <w:i w:val="0"/>
          <w:strike w:val="0"/>
        </w:rPr>
        <w:t xml:space="preserve"> </w:t>
      </w:r>
      <w:r>
        <w:rPr>
          <w:b w:val="0"/>
          <w:i/>
          <w:strike w:val="0"/>
          <w:color w:val="595959"/>
          <w:sz w:val="16"/>
        </w:rPr>
        <w:t xml:space="preserve"> [status note]</w:t>
      </w:r>
    </w:p>
    <w:p>
      <w:r>
        <w:rPr>
          <w:b/>
          <w:i w:val="0"/>
          <w:strike w:val="0"/>
        </w:rPr>
        <w:t>📞 Superseded by the 25 Jun FRD Review call — decided by Jomin (3 Jul 2026): go with the call version.</w:t>
      </w:r>
      <w:r>
        <w:rPr>
          <w:b w:val="0"/>
          <w:i w:val="0"/>
          <w:strike w:val="0"/>
        </w:rPr>
        <w:t xml:space="preserve"> </w:t>
      </w:r>
      <w:r>
        <w:rPr>
          <w:b w:val="0"/>
          <w:i/>
          <w:strike w:val="0"/>
          <w:color w:val="1155CC"/>
        </w:rPr>
        <w:t>Not a fixed or self-serve tier. Two plan structures: an Enterprise plan (org-chart based, any number of users) and a smaller seat-based plan (e.g. 1–5, 5–10 users). No price is published to prospects — every signup goes through a demo and scoping conversation with Sosinna's team first, similar to how SumSub sells. The Super Admin portal configures pricing per seat count at onboarding (explicitly not by firm headcount — a firm like KPMG could have thousands of employees but only a handful of platform seats). No fixed number exists yet — Sosinna said directly on the call she doesn't have a definitive figure. The model is confirmed; the exact price points are not.</w:t>
      </w:r>
      <w:r>
        <w:rPr>
          <w:b w:val="0"/>
          <w:i w:val="0"/>
          <w:strike w:val="0"/>
        </w:rPr>
        <w:t xml:space="preserve"> </w:t>
      </w:r>
      <w:r>
        <w:rPr>
          <w:b w:val="0"/>
          <w:i/>
          <w:strike w:val="0"/>
          <w:color w:val="1155CC"/>
          <w:sz w:val="16"/>
        </w:rPr>
        <w:t xml:space="preserve"> [25 Jun FRD call]</w:t>
      </w:r>
    </w:p>
    <w:p>
      <w:r>
        <w:rPr>
          <w:b/>
          <w:i/>
          <w:strike w:val="0"/>
          <w:color w:val="843C0C"/>
        </w:rPr>
        <w:t>v7.0: the "Super Admin portal configures pricing per seat count at onboarding" line above now has a concrete home — SA-19, where the agreed plan type and seat count are recorded against the enquiry after the offline agreement. That record is what FR-123 charges against, so the firm never picks a price on screen. Still pending: the price points themselves, and whether the charge recurs (ON-02).</w:t>
      </w:r>
      <w:r>
        <w:rPr>
          <w:b w:val="0"/>
          <w:i w:val="0"/>
          <w:strike w:val="0"/>
        </w:rPr>
        <w:t xml:space="preserve"> </w:t>
      </w:r>
      <w:r>
        <w:rPr>
          <w:b w:val="0"/>
          <w:i/>
          <w:strike w:val="0"/>
          <w:color w:val="843C0C"/>
          <w:sz w:val="16"/>
        </w:rPr>
        <w:t xml:space="preserve"> [Aug 2026 onboarding flow]</w:t>
      </w:r>
    </w:p>
    <w:p>
      <w:pPr>
        <w:pStyle w:val="Heading3"/>
      </w:pPr>
      <w:r>
        <w:t>CC-02 — Platform branding</w:t>
      </w:r>
    </w:p>
    <w:p>
      <w:r>
        <w:rPr>
          <w:b w:val="0"/>
          <w:i w:val="0"/>
          <w:strike w:val="0"/>
        </w:rPr>
        <w:t>The reports are ControlIQ-branded. What about the platform itself?</w:t>
      </w:r>
    </w:p>
    <w:p>
      <w:r>
        <w:rPr>
          <w:b w:val="0"/>
          <w:i/>
          <w:strike w:val="0"/>
          <w:color w:val="595959"/>
        </w:rPr>
        <w:t>Not resolved — no update from the call or new comments. "presented as a SayOne product" is ruled out (struck through by Sosinna). Still open between "a Synergy Consulting product" and "purely as 'ControlIQ'."</w:t>
      </w:r>
      <w:r>
        <w:rPr>
          <w:b w:val="0"/>
          <w:i w:val="0"/>
          <w:strike w:val="0"/>
        </w:rPr>
        <w:t xml:space="preserve"> </w:t>
      </w:r>
      <w:r>
        <w:rPr>
          <w:b w:val="0"/>
          <w:i/>
          <w:strike w:val="0"/>
          <w:color w:val="595959"/>
          <w:sz w:val="16"/>
        </w:rPr>
        <w:t xml:space="preserve"> [status note]</w:t>
      </w:r>
    </w:p>
    <w:p>
      <w:r>
        <w:rPr>
          <w:b/>
          <w:i/>
          <w:strike w:val="0"/>
          <w:color w:val="7030A0"/>
        </w:rPr>
        <w:t>v5.0 update — the product name itself is settled: the platform is renamed from ComplianceIQ to ControlIQ. This decides the name, not the branding posture — CC-02 remains open on whether ControlIQ is presented as a Synergy Consulting product or as a standalone brand. Two dependencies follow from the rename and are not yet answered:</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Domain (MKT-05, Section 1.3): the marketing site domain question now needs to resolve against the ControlIQ name.</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Trademark and domain availability for "ControlIQ" needs checking before any logo, report template, or public site work begins. "IQ"-suffixed names are crowded, and the report branding in FR-57 is baked into every document the platform produces.</w:t>
      </w:r>
      <w:r>
        <w:rPr>
          <w:b w:val="0"/>
          <w:i w:val="0"/>
          <w:strike w:val="0"/>
        </w:rPr>
        <w:t xml:space="preserve"> </w:t>
      </w:r>
      <w:r>
        <w:rPr>
          <w:b w:val="0"/>
          <w:i/>
          <w:strike w:val="0"/>
          <w:color w:val="7030A0"/>
          <w:sz w:val="16"/>
        </w:rPr>
        <w:t xml:space="preserve"> [Aug 2026 client MOM]</w:t>
      </w:r>
    </w:p>
    <w:p>
      <w:r>
        <w:rPr>
          <w:b/>
          <w:i/>
          <w:strike w:val="0"/>
          <w:color w:val="CC00CC"/>
        </w:rPr>
        <w:t xml:space="preserve">v8.0 update — the visual identity has its first decision: the logo and website colour are </w:t>
      </w:r>
      <w:r>
        <w:rPr>
          <w:b/>
          <w:i/>
          <w:strike w:val="0"/>
          <w:color w:val="CC00CC"/>
        </w:rPr>
        <w:t>blue and white</w:t>
      </w:r>
      <w:r>
        <w:rPr>
          <w:b/>
          <w:i/>
          <w:strike w:val="0"/>
          <w:color w:val="CC00CC"/>
        </w:rPr>
        <w:t>. The exact colour codes will be finalised in the next discussion — tracked as BR-01 in Section 15. This decides the palette, not the branding posture; CC-02's Synergy-product-vs-standalone-brand question remains open. Design work can proceed on a blue/white scheme with the specific values treated as a late-binding token.</w:t>
      </w:r>
      <w:r>
        <w:rPr>
          <w:b w:val="0"/>
          <w:i w:val="0"/>
          <w:strike w:val="0"/>
        </w:rPr>
        <w:t xml:space="preserve"> </w:t>
      </w:r>
      <w:r>
        <w:rPr>
          <w:b w:val="0"/>
          <w:i/>
          <w:strike w:val="0"/>
          <w:color w:val="CC00CC"/>
          <w:sz w:val="16"/>
        </w:rPr>
        <w:t xml:space="preserve"> [14 Aug 2026 MOM]</w:t>
      </w:r>
    </w:p>
    <w:p>
      <w:pPr>
        <w:pStyle w:val="Heading3"/>
      </w:pPr>
      <w:r>
        <w:t>CC-03 — IP ownership</w:t>
      </w:r>
    </w:p>
    <w:p>
      <w:r>
        <w:rPr>
          <w:b w:val="0"/>
          <w:i w:val="0"/>
          <w:strike w:val="0"/>
        </w:rPr>
        <w:t>The test procedures and regulatory content built by Sosinna's team are the core intellectual property of the platform. Who holds the licence to this content?</w:t>
      </w:r>
    </w:p>
    <w:p>
      <w:r>
        <w:rPr>
          <w:b/>
          <w:i w:val="0"/>
          <w:strike w:val="0"/>
        </w:rPr>
        <w:t>💬 Sosinna's comment — ACCEPTED by Jomin (3 Jul 2026):</w:t>
      </w:r>
      <w:r>
        <w:rPr>
          <w:b w:val="0"/>
          <w:i w:val="0"/>
          <w:strike w:val="0"/>
        </w:rPr>
        <w:t xml:space="preserve"> </w:t>
      </w:r>
      <w:r>
        <w:rPr>
          <w:b w:val="0"/>
          <w:i/>
          <w:strike w:val="0"/>
          <w:color w:val="C55A11"/>
        </w:rPr>
        <w:t>IP licence held by Sosinna / Synergy Consulting Group.</w:t>
      </w:r>
      <w:r>
        <w:rPr>
          <w:b w:val="0"/>
          <w:i w:val="0"/>
          <w:strike w:val="0"/>
        </w:rPr>
        <w:t xml:space="preserve"> </w:t>
      </w:r>
      <w:r>
        <w:rPr>
          <w:b w:val="0"/>
          <w:i/>
          <w:strike w:val="0"/>
          <w:color w:val="C55A11"/>
          <w:sz w:val="16"/>
        </w:rPr>
        <w:t xml:space="preserve"> [Sosinna's Drive comment]</w:t>
      </w:r>
    </w:p>
    <w:p>
      <w:r>
        <w:rPr>
          <w:b/>
          <w:i w:val="0"/>
          <w:strike w:val="0"/>
        </w:rPr>
        <w:t>💬 "Addition to the Note Section" (Sosinna's comment) — ACCEPTED by Jomin (3 Jul 2026):</w:t>
      </w:r>
      <w:r>
        <w:rPr>
          <w:b w:val="0"/>
          <w:i w:val="0"/>
          <w:strike w:val="0"/>
        </w:rPr>
        <w:t xml:space="preserve"> </w:t>
      </w:r>
      <w:r>
        <w:rPr>
          <w:b w:val="0"/>
          <w:i/>
          <w:strike w:val="0"/>
          <w:color w:val="C55A11"/>
        </w:rPr>
        <w:t>"For the avoidance of any doubt, all right, title, and interest in and to this regulatory content, alongside all platform source code, backend architectures, frontend user interfaces, and database schemas built by the Contractor, belong 100% exclusively to the Client from the moment of creation. The Contractor retains zero rights, ongoing claims, or implied licenses to any content or code within the platform."</w:t>
      </w:r>
      <w:r>
        <w:rPr>
          <w:b w:val="0"/>
          <w:i w:val="0"/>
          <w:strike w:val="0"/>
        </w:rPr>
        <w:t xml:space="preserve"> </w:t>
      </w:r>
      <w:r>
        <w:rPr>
          <w:b w:val="0"/>
          <w:i/>
          <w:strike w:val="0"/>
          <w:color w:val="C55A11"/>
          <w:sz w:val="16"/>
        </w:rPr>
        <w:t xml:space="preserve"> [Sosinna's Drive comment]</w:t>
      </w:r>
    </w:p>
    <w:p>
      <w:pPr>
        <w:pStyle w:val="Heading3"/>
      </w:pPr>
      <w:r>
        <w:t>CC-04 — Engagement model</w:t>
      </w:r>
    </w:p>
    <w:p>
      <w:r>
        <w:rPr>
          <w:b w:val="0"/>
          <w:i w:val="0"/>
          <w:strike w:val="0"/>
        </w:rPr>
        <w:t>Is this a fixed-price development project, time and materials, a revenue-share arrangement, an equity arrangement, or a combination?</w:t>
      </w:r>
    </w:p>
    <w:p>
      <w:r>
        <w:rPr>
          <w:b/>
          <w:i w:val="0"/>
          <w:strike w:val="0"/>
        </w:rPr>
        <w:t>💬 Sosinna's comment — confirmed, consistent with DH-02 below:</w:t>
      </w:r>
      <w:r>
        <w:rPr>
          <w:b w:val="0"/>
          <w:i w:val="0"/>
          <w:strike w:val="0"/>
        </w:rPr>
        <w:t xml:space="preserve"> </w:t>
      </w:r>
      <w:r>
        <w:rPr>
          <w:b w:val="0"/>
          <w:i/>
          <w:strike w:val="0"/>
          <w:color w:val="C55A11"/>
        </w:rPr>
        <w:t>strict fixed-price milestone contract.</w:t>
      </w:r>
      <w:r>
        <w:rPr>
          <w:b w:val="0"/>
          <w:i w:val="0"/>
          <w:strike w:val="0"/>
        </w:rPr>
        <w:t xml:space="preserve"> </w:t>
      </w:r>
      <w:r>
        <w:rPr>
          <w:b w:val="0"/>
          <w:i/>
          <w:strike w:val="0"/>
          <w:color w:val="C55A11"/>
          <w:sz w:val="16"/>
        </w:rPr>
        <w:t xml:space="preserve"> [Sosinna's Drive comment]</w:t>
      </w:r>
    </w:p>
    <w:p>
      <w:pPr>
        <w:pStyle w:val="Heading3"/>
      </w:pPr>
      <w:r>
        <w:t>CC-05 — Demo Day presentation approach</w:t>
      </w:r>
    </w:p>
    <w:p>
      <w:r>
        <w:rPr>
          <w:b w:val="0"/>
          <w:i w:val="0"/>
          <w:strike w:val="0"/>
        </w:rPr>
        <w:t>At the FinTech House Demo Day in Lisbon, is SayOne named MVP Developer presenting alongside Sosinna, or is the product presented as Sosinna's solution with SayOne in the background?</w:t>
      </w:r>
    </w:p>
    <w:p>
      <w:r>
        <w:rPr>
          <w:b w:val="0"/>
          <w:i/>
          <w:strike w:val="0"/>
          <w:color w:val="595959"/>
        </w:rPr>
        <w:t>Not resolved — both options are still marked in the source document with no strikethrough to indicate a choice. No update from the call or new comments.</w:t>
      </w:r>
      <w:r>
        <w:rPr>
          <w:b w:val="0"/>
          <w:i w:val="0"/>
          <w:strike w:val="0"/>
        </w:rPr>
        <w:t xml:space="preserve"> </w:t>
      </w:r>
      <w:r>
        <w:rPr>
          <w:b w:val="0"/>
          <w:i/>
          <w:strike w:val="0"/>
          <w:color w:val="595959"/>
          <w:sz w:val="16"/>
        </w:rPr>
        <w:t xml:space="preserve"> [status note]</w:t>
      </w:r>
    </w:p>
    <w:p>
      <w:pPr>
        <w:pStyle w:val="Heading3"/>
      </w:pPr>
      <w:r>
        <w:t>CC-06 — Client contracting</w:t>
      </w:r>
    </w:p>
    <w:p>
      <w:r>
        <w:rPr>
          <w:b w:val="0"/>
          <w:i w:val="0"/>
          <w:strike w:val="0"/>
        </w:rPr>
        <w:t>When a CASP firm subscribes to ControlIQ, does Sosinna / Synergy act as the reseller, or does the CASP firm contract directly with SayOne?</w:t>
      </w:r>
    </w:p>
    <w:p>
      <w:r>
        <w:rPr>
          <w:b/>
          <w:i w:val="0"/>
          <w:strike w:val="0"/>
        </w:rPr>
        <w:t>💬 Sosinna's comment — confirmed:</w:t>
      </w:r>
      <w:r>
        <w:rPr>
          <w:b w:val="0"/>
          <w:i w:val="0"/>
          <w:strike w:val="0"/>
        </w:rPr>
        <w:t xml:space="preserve"> </w:t>
      </w:r>
      <w:r>
        <w:rPr>
          <w:b w:val="0"/>
          <w:i/>
          <w:strike w:val="0"/>
          <w:color w:val="C55A11"/>
        </w:rPr>
        <w:t>Sosinna / Synergy is the reseller, owning the client relationship and billing them directly. The CASP firm does not contract directly with SayOne.</w:t>
      </w:r>
      <w:r>
        <w:rPr>
          <w:b w:val="0"/>
          <w:i w:val="0"/>
          <w:strike w:val="0"/>
        </w:rPr>
        <w:t xml:space="preserve"> </w:t>
      </w:r>
      <w:r>
        <w:rPr>
          <w:b w:val="0"/>
          <w:i/>
          <w:strike w:val="0"/>
          <w:color w:val="C55A11"/>
          <w:sz w:val="16"/>
        </w:rPr>
        <w:t xml:space="preserve"> [Sosinna's Drive comment]</w:t>
      </w:r>
    </w:p>
    <w:p>
      <w:r>
        <w:rPr>
          <w:b/>
          <w:i/>
          <w:strike w:val="0"/>
          <w:color w:val="843C0C"/>
        </w:rPr>
        <w:t>⚠ v7.0 re-opens part of this. The onboarding flow has the firm paying through the platform before it can log in (FR-123). "Synergy bills them directly" and "the firm pays through ControlIQ" can both be true — the platform can collect into a Synergy-owned merchant account — but that has to be stated, not assumed, because it decides which entity's payment provider account is integrated, whose name appears on the receipt, who issues the VAT invoice, and who the firm contacts when a payment fails. The contracting answer above is unchanged; the collection mechanism is the new question. Logged as ON-01 and GAP-19.</w:t>
      </w:r>
      <w:r>
        <w:rPr>
          <w:b w:val="0"/>
          <w:i w:val="0"/>
          <w:strike w:val="0"/>
        </w:rPr>
        <w:t xml:space="preserve"> </w:t>
      </w:r>
      <w:r>
        <w:rPr>
          <w:b w:val="0"/>
          <w:i/>
          <w:strike w:val="0"/>
          <w:color w:val="843C0C"/>
          <w:sz w:val="16"/>
        </w:rPr>
        <w:t xml:space="preserve"> [Aug 2026 onboarding flow]</w:t>
      </w:r>
    </w:p>
    <w:tbl>
      <w:tblPr>
        <w:tblStyle w:val="TableGrid"/>
        <w:tblW w:type="auto" w:w="0"/>
        <w:tblLook w:firstColumn="1" w:firstRow="1" w:lastColumn="0" w:lastRow="0" w:noHBand="0" w:noVBand="1" w:val="04A0"/>
      </w:tblPr>
      <w:tblGrid>
        <w:gridCol w:w="8640"/>
      </w:tblGrid>
      <w:tr>
        <w:tc>
          <w:tcPr>
            <w:tcW w:type="dxa" w:w="8640"/>
            <w:shd w:val="clear" w:fill="E2EFDA"/>
          </w:tcPr>
          <w:p>
            <w:r>
              <w:rPr>
                <w:b/>
                <w:i w:val="0"/>
                <w:strike w:val="0"/>
              </w:rPr>
              <w:t>CONFIRMED</w:t>
            </w:r>
            <w:r>
              <w:rPr>
                <w:b w:val="0"/>
                <w:i w:val="0"/>
                <w:strike w:val="0"/>
              </w:rPr>
              <w:t xml:space="preserve"> </w:t>
            </w:r>
            <w:r>
              <w:rPr>
                <w:b w:val="0"/>
                <w:i/>
                <w:strike w:val="0"/>
              </w:rPr>
              <w:t>(green — agreed decision)</w:t>
            </w:r>
          </w:p>
          <w:p>
            <w:r>
              <w:rPr>
                <w:b/>
                <w:i w:val="0"/>
                <w:strike w:val="0"/>
              </w:rPr>
              <w:t>✅ What we have agreed</w:t>
            </w:r>
          </w:p>
          <w:p>
            <w:pPr>
              <w:pStyle w:val="ListBullet"/>
            </w:pPr>
            <w:r>
              <w:rPr>
                <w:b/>
                <w:i/>
                <w:strike w:val="0"/>
                <w:color w:val="C55A11"/>
              </w:rPr>
              <w:t>IP ownership (CC-03): 100% exclusive to Client — regulatory content AND all platform code/architecture/schemas. SayOne retains zero rights. Accepted 3 Jul 2026.</w:t>
            </w:r>
            <w:r>
              <w:rPr>
                <w:b w:val="0"/>
                <w:i w:val="0"/>
                <w:strike w:val="0"/>
              </w:rPr>
              <w:t xml:space="preserve"> </w:t>
            </w:r>
            <w:r>
              <w:rPr>
                <w:b w:val="0"/>
                <w:i/>
                <w:strike w:val="0"/>
                <w:color w:val="C55A11"/>
                <w:sz w:val="16"/>
              </w:rPr>
              <w:t xml:space="preserve"> [Sosinna's Drive comment]</w:t>
            </w:r>
          </w:p>
          <w:p>
            <w:pPr>
              <w:pStyle w:val="ListBullet"/>
            </w:pPr>
            <w:r>
              <w:rPr>
                <w:b/>
                <w:i/>
                <w:strike w:val="0"/>
                <w:color w:val="C55A11"/>
              </w:rPr>
              <w:t>Engagement model (CC-04): strict fixed-price milestone contract.</w:t>
            </w:r>
            <w:r>
              <w:rPr>
                <w:b w:val="0"/>
                <w:i w:val="0"/>
                <w:strike w:val="0"/>
              </w:rPr>
              <w:t xml:space="preserve"> </w:t>
            </w:r>
            <w:r>
              <w:rPr>
                <w:b w:val="0"/>
                <w:i/>
                <w:strike w:val="0"/>
                <w:color w:val="C55A11"/>
                <w:sz w:val="16"/>
              </w:rPr>
              <w:t xml:space="preserve"> [Sosinna's Drive comment]</w:t>
            </w:r>
          </w:p>
          <w:p>
            <w:pPr>
              <w:pStyle w:val="ListBullet"/>
            </w:pPr>
            <w:r>
              <w:rPr>
                <w:b/>
                <w:i/>
                <w:strike w:val="0"/>
                <w:color w:val="C55A11"/>
              </w:rPr>
              <w:t>Client contracting (CC-06): Sosinna/Synergy is the reseller — owns the client relationship and billing.</w:t>
            </w:r>
            <w:r>
              <w:rPr>
                <w:b w:val="0"/>
                <w:i w:val="0"/>
                <w:strike w:val="0"/>
              </w:rPr>
              <w:t xml:space="preserve"> </w:t>
            </w:r>
            <w:r>
              <w:rPr>
                <w:b w:val="0"/>
                <w:i/>
                <w:strike w:val="0"/>
                <w:color w:val="C55A11"/>
                <w:sz w:val="16"/>
              </w:rPr>
              <w:t xml:space="preserve"> [Sosinna's Drive comment]</w:t>
            </w:r>
          </w:p>
          <w:p>
            <w:pPr>
              <w:pStyle w:val="ListBullet"/>
            </w:pPr>
            <w:r>
              <w:rPr>
                <w:b/>
                <w:i/>
                <w:strike w:val="0"/>
                <w:color w:val="1155CC"/>
              </w:rPr>
              <w:t>Pricing model (CC-01): seat-based, two plan tiers, sales-assisted onboarding, no self-serve checkout. Exact price points still pending.</w:t>
            </w:r>
            <w:r>
              <w:rPr>
                <w:b w:val="0"/>
                <w:i w:val="0"/>
                <w:strike w:val="0"/>
              </w:rPr>
              <w:t xml:space="preserve"> </w:t>
            </w:r>
            <w:r>
              <w:rPr>
                <w:b w:val="0"/>
                <w:i/>
                <w:strike w:val="0"/>
                <w:color w:val="1155CC"/>
                <w:sz w:val="16"/>
              </w:rPr>
              <w:t xml:space="preserve"> [25 Jun FRD call]</w:t>
            </w:r>
          </w:p>
        </w:tc>
      </w:tr>
    </w:tbl>
    <w:p>
      <w:pPr>
        <w:pStyle w:val="Heading1"/>
      </w:pPr>
      <w:r>
        <w:t>15. All Open Questions — Summary</w:t>
      </w:r>
    </w:p>
    <w:p>
      <w:r>
        <w:rPr>
          <w:b w:val="0"/>
          <w:i w:val="0"/>
          <w:strike w:val="0"/>
        </w:rPr>
        <w:t>Every open question from the sections above is listed here in one place. The questions marked as 'Needed before estimation' must be resolved before the development team can produce a reliable project estimate. All others can be resolved during the build.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Pr>
                <w:b/>
                <w:color w:val="FFFFFF"/>
              </w:rPr>
            </w:r>
            <w:r>
              <w:rPr>
                <w:b/>
                <w:i w:val="0"/>
                <w:strike w:val="0"/>
                <w:color w:val="FFFFFF"/>
              </w:rPr>
              <w:t>Ref</w:t>
            </w:r>
          </w:p>
        </w:tc>
        <w:tc>
          <w:tcPr>
            <w:tcW w:type="dxa" w:w="1728"/>
            <w:shd w:val="clear" w:fill="1F4E79"/>
          </w:tcPr>
          <w:p>
            <w:r>
              <w:rPr>
                <w:b/>
                <w:color w:val="FFFFFF"/>
              </w:rPr>
            </w:r>
            <w:r>
              <w:rPr>
                <w:b/>
                <w:i w:val="0"/>
                <w:strike w:val="0"/>
                <w:color w:val="FFFFFF"/>
              </w:rPr>
              <w:t>Topic</w:t>
            </w:r>
          </w:p>
        </w:tc>
        <w:tc>
          <w:tcPr>
            <w:tcW w:type="dxa" w:w="1728"/>
            <w:shd w:val="clear" w:fill="1F4E79"/>
          </w:tcPr>
          <w:p>
            <w:r>
              <w:rPr>
                <w:b/>
                <w:color w:val="FFFFFF"/>
              </w:rPr>
            </w:r>
            <w:r>
              <w:rPr>
                <w:b/>
                <w:i w:val="0"/>
                <w:strike w:val="0"/>
                <w:color w:val="FFFFFF"/>
              </w:rPr>
              <w:t>Question</w:t>
            </w:r>
          </w:p>
        </w:tc>
        <w:tc>
          <w:tcPr>
            <w:tcW w:type="dxa" w:w="1728"/>
            <w:shd w:val="clear" w:fill="1F4E79"/>
          </w:tcPr>
          <w:p>
            <w:r>
              <w:rPr>
                <w:b/>
                <w:color w:val="FFFFFF"/>
              </w:rPr>
            </w:r>
            <w:r>
              <w:rPr>
                <w:b/>
                <w:i w:val="0"/>
                <w:strike w:val="0"/>
                <w:color w:val="FFFFFF"/>
              </w:rPr>
              <w:t>Needed before estimation?</w:t>
            </w:r>
          </w:p>
        </w:tc>
        <w:tc>
          <w:tcPr>
            <w:tcW w:type="dxa" w:w="1728"/>
            <w:shd w:val="clear" w:fill="1F4E79"/>
          </w:tcPr>
          <w:p>
            <w:r>
              <w:rPr>
                <w:b/>
                <w:color w:val="FFFFFF"/>
              </w:rPr>
            </w:r>
            <w:r>
              <w:rPr>
                <w:b/>
                <w:i w:val="0"/>
                <w:strike w:val="0"/>
                <w:color w:val="FFFFFF"/>
              </w:rPr>
              <w:t>Status (updated 12 Aug 2026)</w:t>
            </w:r>
          </w:p>
        </w:tc>
      </w:tr>
      <w:tr>
        <w:tc>
          <w:tcPr>
            <w:tcW w:type="dxa" w:w="1728"/>
          </w:tcPr>
          <w:p>
            <w:r/>
            <w:r>
              <w:rPr>
                <w:b w:val="0"/>
                <w:i w:val="0"/>
                <w:strike w:val="0"/>
              </w:rPr>
              <w:t>FO-02</w:t>
            </w:r>
          </w:p>
        </w:tc>
        <w:tc>
          <w:tcPr>
            <w:tcW w:type="dxa" w:w="1728"/>
          </w:tcPr>
          <w:p>
            <w:r/>
            <w:r>
              <w:rPr>
                <w:b w:val="0"/>
                <w:i w:val="0"/>
                <w:strike w:val="0"/>
              </w:rPr>
              <w:t>Setup</w:t>
            </w:r>
          </w:p>
        </w:tc>
        <w:tc>
          <w:tcPr>
            <w:tcW w:type="dxa" w:w="1728"/>
          </w:tcPr>
          <w:p>
            <w:r/>
            <w:r>
              <w:rPr>
                <w:b w:val="0"/>
                <w:i w:val="0"/>
                <w:strike w:val="0"/>
              </w:rPr>
              <w:t>Client type: checkboxes or percentage split?</w:t>
            </w:r>
          </w:p>
        </w:tc>
        <w:tc>
          <w:tcPr>
            <w:tcW w:type="dxa" w:w="1728"/>
          </w:tcPr>
          <w:p>
            <w:r/>
            <w:r>
              <w:rPr>
                <w:b w:val="0"/>
                <w:i w:val="0"/>
                <w:strike w:val="0"/>
              </w:rPr>
              <w:t>No</w:t>
            </w:r>
          </w:p>
        </w:tc>
        <w:tc>
          <w:tcPr>
            <w:tcW w:type="dxa" w:w="1728"/>
          </w:tcPr>
          <w:p>
            <w:r/>
            <w:r>
              <w:rPr>
                <w:b/>
                <w:i/>
                <w:strike w:val="0"/>
                <w:color w:val="595959"/>
              </w:rPr>
              <w:t>Open — no update</w:t>
            </w:r>
            <w:r>
              <w:rPr>
                <w:b w:val="0"/>
                <w:i w:val="0"/>
                <w:strike w:val="0"/>
              </w:rPr>
              <w:t xml:space="preserve"> </w:t>
            </w:r>
            <w:r>
              <w:rPr>
                <w:b w:val="0"/>
                <w:i/>
                <w:strike w:val="0"/>
                <w:color w:val="595959"/>
                <w:sz w:val="16"/>
              </w:rPr>
              <w:t xml:space="preserve"> [status note]</w:t>
            </w:r>
          </w:p>
        </w:tc>
      </w:tr>
      <w:tr>
        <w:tc>
          <w:tcPr>
            <w:tcW w:type="dxa" w:w="1728"/>
          </w:tcPr>
          <w:p>
            <w:r/>
            <w:r>
              <w:rPr>
                <w:b w:val="0"/>
                <w:i w:val="0"/>
                <w:strike w:val="0"/>
              </w:rPr>
              <w:t>FO-07</w:t>
            </w:r>
          </w:p>
        </w:tc>
        <w:tc>
          <w:tcPr>
            <w:tcW w:type="dxa" w:w="1728"/>
          </w:tcPr>
          <w:p>
            <w:r/>
            <w:r>
              <w:rPr>
                <w:b w:val="0"/>
                <w:i w:val="0"/>
                <w:strike w:val="0"/>
              </w:rPr>
              <w:t>Setup</w:t>
            </w:r>
          </w:p>
        </w:tc>
        <w:tc>
          <w:tcPr>
            <w:tcW w:type="dxa" w:w="1728"/>
          </w:tcPr>
          <w:p>
            <w:r/>
            <w:r>
              <w:rPr>
                <w:b w:val="0"/>
                <w:i w:val="0"/>
                <w:strike w:val="0"/>
              </w:rPr>
              <w:t>Who completes the setup wizard — any Firm Super Admin or CCO only?</w:t>
            </w:r>
          </w:p>
        </w:tc>
        <w:tc>
          <w:tcPr>
            <w:tcW w:type="dxa" w:w="1728"/>
          </w:tcPr>
          <w:p>
            <w:r/>
            <w:r>
              <w:rPr>
                <w:b w:val="0"/>
                <w:i w:val="0"/>
                <w:strike w:val="0"/>
              </w:rPr>
              <w:t>No</w:t>
            </w:r>
          </w:p>
        </w:tc>
        <w:tc>
          <w:tcPr>
            <w:tcW w:type="dxa" w:w="1728"/>
          </w:tcPr>
          <w:p>
            <w:r/>
            <w:r>
              <w:rPr>
                <w:b/>
                <w:i/>
                <w:strike w:val="0"/>
                <w:color w:val="595959"/>
              </w:rPr>
              <w:t>Open — no update</w:t>
            </w:r>
            <w:r>
              <w:rPr>
                <w:b w:val="0"/>
                <w:i w:val="0"/>
                <w:strike w:val="0"/>
              </w:rPr>
              <w:t xml:space="preserve"> </w:t>
            </w:r>
            <w:r>
              <w:rPr>
                <w:b w:val="0"/>
                <w:i/>
                <w:strike w:val="0"/>
                <w:color w:val="595959"/>
                <w:sz w:val="16"/>
              </w:rPr>
              <w:t xml:space="preserve"> [status note]</w:t>
            </w:r>
          </w:p>
        </w:tc>
      </w:tr>
      <w:tr>
        <w:tc>
          <w:tcPr>
            <w:tcW w:type="dxa" w:w="1728"/>
          </w:tcPr>
          <w:p>
            <w:r/>
            <w:r>
              <w:rPr>
                <w:b w:val="0"/>
                <w:i w:val="0"/>
                <w:strike w:val="0"/>
              </w:rPr>
              <w:t>FO-08</w:t>
            </w:r>
          </w:p>
        </w:tc>
        <w:tc>
          <w:tcPr>
            <w:tcW w:type="dxa" w:w="1728"/>
          </w:tcPr>
          <w:p>
            <w:r/>
            <w:r>
              <w:rPr>
                <w:b w:val="0"/>
                <w:i w:val="0"/>
                <w:strike w:val="0"/>
              </w:rPr>
              <w:t>Setup</w:t>
            </w:r>
          </w:p>
        </w:tc>
        <w:tc>
          <w:tcPr>
            <w:tcW w:type="dxa" w:w="1728"/>
          </w:tcPr>
          <w:p>
            <w:r/>
            <w:r>
              <w:rPr>
                <w:b w:val="0"/>
                <w:i w:val="0"/>
                <w:strike w:val="0"/>
              </w:rPr>
              <w:t>Multi-entity group accounts — one login or separate logins per entity? [Deferred]</w:t>
            </w:r>
          </w:p>
        </w:tc>
        <w:tc>
          <w:tcPr>
            <w:tcW w:type="dxa" w:w="1728"/>
          </w:tcPr>
          <w:p>
            <w:r/>
            <w:r>
              <w:rPr>
                <w:b w:val="0"/>
                <w:i w:val="0"/>
                <w:strike w:val="0"/>
              </w:rPr>
              <w:t>No</w:t>
            </w:r>
          </w:p>
        </w:tc>
        <w:tc>
          <w:tcPr>
            <w:tcW w:type="dxa" w:w="1728"/>
          </w:tcPr>
          <w:p>
            <w:r/>
            <w:r>
              <w:rPr>
                <w:b/>
                <w:i/>
                <w:strike w:val="0"/>
                <w:color w:val="595959"/>
              </w:rPr>
              <w:t>Open — deferred</w:t>
            </w:r>
            <w:r>
              <w:rPr>
                <w:b w:val="0"/>
                <w:i w:val="0"/>
                <w:strike w:val="0"/>
              </w:rPr>
              <w:t xml:space="preserve"> </w:t>
            </w:r>
            <w:r>
              <w:rPr>
                <w:b w:val="0"/>
                <w:i/>
                <w:strike w:val="0"/>
                <w:color w:val="595959"/>
                <w:sz w:val="16"/>
              </w:rPr>
              <w:t xml:space="preserve"> [status note]</w:t>
            </w:r>
          </w:p>
        </w:tc>
      </w:tr>
      <w:tr>
        <w:tc>
          <w:tcPr>
            <w:tcW w:type="dxa" w:w="1728"/>
          </w:tcPr>
          <w:p>
            <w:r/>
            <w:r>
              <w:rPr>
                <w:b w:val="0"/>
                <w:i w:val="0"/>
                <w:strike w:val="0"/>
              </w:rPr>
              <w:t>OS-02</w:t>
            </w:r>
          </w:p>
        </w:tc>
        <w:tc>
          <w:tcPr>
            <w:tcW w:type="dxa" w:w="1728"/>
          </w:tcPr>
          <w:p>
            <w:r/>
            <w:r>
              <w:rPr>
                <w:b w:val="0"/>
                <w:i w:val="0"/>
                <w:strike w:val="0"/>
              </w:rPr>
              <w:t>Staff</w:t>
            </w:r>
          </w:p>
        </w:tc>
        <w:tc>
          <w:tcPr>
            <w:tcW w:type="dxa" w:w="1728"/>
          </w:tcPr>
          <w:p>
            <w:r/>
            <w:r>
              <w:rPr>
                <w:b w:val="0"/>
                <w:i w:val="0"/>
                <w:strike w:val="0"/>
              </w:rPr>
              <w:t>What is the full list of valid communication channel types?</w:t>
            </w:r>
          </w:p>
        </w:tc>
        <w:tc>
          <w:tcPr>
            <w:tcW w:type="dxa" w:w="1728"/>
          </w:tcPr>
          <w:p>
            <w:r/>
            <w:r>
              <w:rPr>
                <w:b w:val="0"/>
                <w:i w:val="0"/>
                <w:strike w:val="0"/>
              </w:rPr>
              <w:t>No</w:t>
            </w:r>
          </w:p>
        </w:tc>
        <w:tc>
          <w:tcPr>
            <w:tcW w:type="dxa" w:w="1728"/>
          </w:tcPr>
          <w:p>
            <w:r/>
            <w:r>
              <w:rPr>
                <w:b/>
                <w:i/>
                <w:strike w:val="0"/>
                <w:color w:val="1155CC"/>
              </w:rPr>
              <w:t>RESOLVED — see Section 10.4</w:t>
            </w:r>
            <w:r>
              <w:rPr>
                <w:b w:val="0"/>
                <w:i w:val="0"/>
                <w:strike w:val="0"/>
              </w:rPr>
              <w:t xml:space="preserve"> </w:t>
            </w:r>
            <w:r>
              <w:rPr>
                <w:b w:val="0"/>
                <w:i/>
                <w:strike w:val="0"/>
                <w:color w:val="1155CC"/>
                <w:sz w:val="16"/>
              </w:rPr>
              <w:t xml:space="preserve"> [25 Jun FRD call]</w:t>
            </w:r>
          </w:p>
        </w:tc>
      </w:tr>
      <w:tr>
        <w:tc>
          <w:tcPr>
            <w:tcW w:type="dxa" w:w="1728"/>
          </w:tcPr>
          <w:p>
            <w:r/>
            <w:r>
              <w:rPr>
                <w:b w:val="0"/>
                <w:i w:val="0"/>
                <w:strike w:val="0"/>
              </w:rPr>
              <w:t>OS-06</w:t>
            </w:r>
          </w:p>
        </w:tc>
        <w:tc>
          <w:tcPr>
            <w:tcW w:type="dxa" w:w="1728"/>
          </w:tcPr>
          <w:p>
            <w:r/>
            <w:r>
              <w:rPr>
                <w:b w:val="0"/>
                <w:i w:val="0"/>
                <w:strike w:val="0"/>
              </w:rPr>
              <w:t>Staff</w:t>
            </w:r>
          </w:p>
        </w:tc>
        <w:tc>
          <w:tcPr>
            <w:tcW w:type="dxa" w:w="1728"/>
          </w:tcPr>
          <w:p>
            <w:r/>
            <w:r>
              <w:rPr>
                <w:b w:val="0"/>
                <w:i w:val="0"/>
                <w:strike w:val="0"/>
              </w:rPr>
              <w:t>Non-employee committee members — tracked anywhere in the platform?</w:t>
            </w:r>
          </w:p>
        </w:tc>
        <w:tc>
          <w:tcPr>
            <w:tcW w:type="dxa" w:w="1728"/>
          </w:tcPr>
          <w:p>
            <w:r/>
            <w:r>
              <w:rPr>
                <w:b w:val="0"/>
                <w:i w:val="0"/>
                <w:strike w:val="0"/>
              </w:rPr>
              <w:t>No</w:t>
            </w:r>
          </w:p>
        </w:tc>
        <w:tc>
          <w:tcPr>
            <w:tcW w:type="dxa" w:w="1728"/>
          </w:tcPr>
          <w:p>
            <w:r/>
            <w:r>
              <w:rPr>
                <w:b/>
                <w:i/>
                <w:strike w:val="0"/>
                <w:color w:val="595959"/>
              </w:rPr>
              <w:t>Open — no update</w:t>
            </w:r>
            <w:r>
              <w:rPr>
                <w:b w:val="0"/>
                <w:i w:val="0"/>
                <w:strike w:val="0"/>
              </w:rPr>
              <w:t xml:space="preserve"> </w:t>
            </w:r>
            <w:r>
              <w:rPr>
                <w:b w:val="0"/>
                <w:i/>
                <w:strike w:val="0"/>
                <w:color w:val="595959"/>
                <w:sz w:val="16"/>
              </w:rPr>
              <w:t xml:space="preserve"> [status note]</w:t>
            </w:r>
          </w:p>
        </w:tc>
      </w:tr>
      <w:tr>
        <w:tc>
          <w:tcPr>
            <w:tcW w:type="dxa" w:w="1728"/>
          </w:tcPr>
          <w:p>
            <w:r/>
            <w:r>
              <w:rPr>
                <w:b w:val="0"/>
                <w:i w:val="0"/>
                <w:strike w:val="0"/>
              </w:rPr>
              <w:t>NT-01</w:t>
            </w:r>
          </w:p>
        </w:tc>
        <w:tc>
          <w:tcPr>
            <w:tcW w:type="dxa" w:w="1728"/>
          </w:tcPr>
          <w:p>
            <w:r/>
            <w:r>
              <w:rPr>
                <w:b w:val="0"/>
                <w:i w:val="0"/>
                <w:strike w:val="0"/>
              </w:rPr>
              <w:t>Notifications</w:t>
            </w:r>
          </w:p>
        </w:tc>
        <w:tc>
          <w:tcPr>
            <w:tcW w:type="dxa" w:w="1728"/>
          </w:tcPr>
          <w:p>
            <w:r/>
            <w:r>
              <w:rPr>
                <w:b w:val="0"/>
                <w:i w:val="0"/>
                <w:strike w:val="0"/>
              </w:rPr>
              <w:t>Additional channels beyond email: SMS? Slack/Teams?</w:t>
            </w:r>
          </w:p>
        </w:tc>
        <w:tc>
          <w:tcPr>
            <w:tcW w:type="dxa" w:w="1728"/>
          </w:tcPr>
          <w:p>
            <w:r/>
            <w:r>
              <w:rPr>
                <w:b w:val="0"/>
                <w:i w:val="0"/>
                <w:strike w:val="0"/>
              </w:rPr>
              <w:t>No</w:t>
            </w:r>
          </w:p>
        </w:tc>
        <w:tc>
          <w:tcPr>
            <w:tcW w:type="dxa" w:w="1728"/>
          </w:tcPr>
          <w:p>
            <w:r/>
            <w:r>
              <w:rPr>
                <w:b/>
                <w:i/>
                <w:strike w:val="0"/>
                <w:color w:val="1155CC"/>
              </w:rPr>
              <w:t>RESOLVED — see Section 12</w:t>
            </w:r>
            <w:r>
              <w:rPr>
                <w:b w:val="0"/>
                <w:i w:val="0"/>
                <w:strike w:val="0"/>
              </w:rPr>
              <w:t xml:space="preserve"> </w:t>
            </w:r>
            <w:r>
              <w:rPr>
                <w:b w:val="0"/>
                <w:i/>
                <w:strike w:val="0"/>
                <w:color w:val="1155CC"/>
                <w:sz w:val="16"/>
              </w:rPr>
              <w:t xml:space="preserve"> [25 Jun FRD call]</w:t>
            </w:r>
          </w:p>
        </w:tc>
      </w:tr>
      <w:tr>
        <w:tc>
          <w:tcPr>
            <w:tcW w:type="dxa" w:w="1728"/>
          </w:tcPr>
          <w:p>
            <w:r/>
            <w:r>
              <w:rPr>
                <w:b w:val="0"/>
                <w:i w:val="0"/>
                <w:strike w:val="0"/>
              </w:rPr>
              <w:t>NT-02</w:t>
            </w:r>
          </w:p>
        </w:tc>
        <w:tc>
          <w:tcPr>
            <w:tcW w:type="dxa" w:w="1728"/>
          </w:tcPr>
          <w:p>
            <w:r/>
            <w:r>
              <w:rPr>
                <w:b w:val="0"/>
                <w:i w:val="0"/>
                <w:strike w:val="0"/>
              </w:rPr>
              <w:t>Notifications</w:t>
            </w:r>
          </w:p>
        </w:tc>
        <w:tc>
          <w:tcPr>
            <w:tcW w:type="dxa" w:w="1728"/>
          </w:tcPr>
          <w:p>
            <w:r/>
            <w:r>
              <w:rPr>
                <w:b w:val="0"/>
                <w:i w:val="0"/>
                <w:strike w:val="0"/>
              </w:rPr>
              <w:t>Notification preferences: per user or firm-wide?</w:t>
            </w:r>
          </w:p>
        </w:tc>
        <w:tc>
          <w:tcPr>
            <w:tcW w:type="dxa" w:w="1728"/>
          </w:tcPr>
          <w:p>
            <w:r/>
            <w:r>
              <w:rPr>
                <w:b w:val="0"/>
                <w:i w:val="0"/>
                <w:strike w:val="0"/>
              </w:rPr>
              <w:t>No</w:t>
            </w:r>
          </w:p>
        </w:tc>
        <w:tc>
          <w:tcPr>
            <w:tcW w:type="dxa" w:w="1728"/>
          </w:tcPr>
          <w:p>
            <w:r/>
            <w:r>
              <w:rPr>
                <w:b/>
                <w:i/>
                <w:strike w:val="0"/>
                <w:color w:val="1155CC"/>
              </w:rPr>
              <w:t>RESOLVED — see Section 12</w:t>
            </w:r>
            <w:r>
              <w:rPr>
                <w:b w:val="0"/>
                <w:i w:val="0"/>
                <w:strike w:val="0"/>
              </w:rPr>
              <w:t xml:space="preserve"> </w:t>
            </w:r>
            <w:r>
              <w:rPr>
                <w:b w:val="0"/>
                <w:i/>
                <w:strike w:val="0"/>
                <w:color w:val="1155CC"/>
                <w:sz w:val="16"/>
              </w:rPr>
              <w:t xml:space="preserve"> [25 Jun FRD call]</w:t>
            </w:r>
          </w:p>
        </w:tc>
      </w:tr>
      <w:tr>
        <w:tc>
          <w:tcPr>
            <w:tcW w:type="dxa" w:w="1728"/>
          </w:tcPr>
          <w:p>
            <w:r/>
            <w:r>
              <w:rPr>
                <w:b w:val="0"/>
                <w:i w:val="0"/>
                <w:strike w:val="0"/>
              </w:rPr>
              <w:t>NT-03</w:t>
            </w:r>
          </w:p>
        </w:tc>
        <w:tc>
          <w:tcPr>
            <w:tcW w:type="dxa" w:w="1728"/>
          </w:tcPr>
          <w:p>
            <w:r/>
            <w:r>
              <w:rPr>
                <w:b w:val="0"/>
                <w:i w:val="0"/>
                <w:strike w:val="0"/>
              </w:rPr>
              <w:t>Notifications</w:t>
            </w:r>
          </w:p>
        </w:tc>
        <w:tc>
          <w:tcPr>
            <w:tcW w:type="dxa" w:w="1728"/>
          </w:tcPr>
          <w:p>
            <w:r/>
            <w:r>
              <w:rPr>
                <w:b w:val="0"/>
                <w:i w:val="0"/>
                <w:strike w:val="0"/>
              </w:rPr>
              <w:t>Real-time alerts plus digest email option?</w:t>
            </w:r>
          </w:p>
        </w:tc>
        <w:tc>
          <w:tcPr>
            <w:tcW w:type="dxa" w:w="1728"/>
          </w:tcPr>
          <w:p>
            <w:r/>
            <w:r>
              <w:rPr>
                <w:b w:val="0"/>
                <w:i w:val="0"/>
                <w:strike w:val="0"/>
              </w:rPr>
              <w:t>No</w:t>
            </w:r>
          </w:p>
        </w:tc>
        <w:tc>
          <w:tcPr>
            <w:tcW w:type="dxa" w:w="1728"/>
          </w:tcPr>
          <w:p>
            <w:r/>
            <w:r>
              <w:rPr>
                <w:b/>
                <w:i/>
                <w:strike w:val="0"/>
                <w:color w:val="1155CC"/>
              </w:rPr>
              <w:t>RESOLVED — see Section 12</w:t>
            </w:r>
            <w:r>
              <w:rPr>
                <w:b w:val="0"/>
                <w:i w:val="0"/>
                <w:strike w:val="0"/>
              </w:rPr>
              <w:t xml:space="preserve"> </w:t>
            </w:r>
            <w:r>
              <w:rPr>
                <w:b w:val="0"/>
                <w:i/>
                <w:strike w:val="0"/>
                <w:color w:val="1155CC"/>
                <w:sz w:val="16"/>
              </w:rPr>
              <w:t xml:space="preserve"> [25 Jun FRD call]</w:t>
            </w:r>
          </w:p>
        </w:tc>
      </w:tr>
      <w:tr>
        <w:tc>
          <w:tcPr>
            <w:tcW w:type="dxa" w:w="1728"/>
          </w:tcPr>
          <w:p>
            <w:r/>
            <w:r>
              <w:rPr>
                <w:b w:val="0"/>
                <w:i w:val="0"/>
                <w:strike w:val="0"/>
              </w:rPr>
              <w:t>RE-01</w:t>
            </w:r>
          </w:p>
        </w:tc>
        <w:tc>
          <w:tcPr>
            <w:tcW w:type="dxa" w:w="1728"/>
          </w:tcPr>
          <w:p>
            <w:r/>
            <w:r>
              <w:rPr>
                <w:b w:val="0"/>
                <w:i w:val="0"/>
                <w:strike w:val="0"/>
              </w:rPr>
              <w:t>Rules engine</w:t>
            </w:r>
          </w:p>
        </w:tc>
        <w:tc>
          <w:tcPr>
            <w:tcW w:type="dxa" w:w="1728"/>
          </w:tcPr>
          <w:p>
            <w:r/>
            <w:r>
              <w:rPr>
                <w:b w:val="0"/>
                <w:i w:val="0"/>
                <w:strike w:val="0"/>
              </w:rPr>
              <w:t>Who maintains the regulatory content database ongoing — SayOne, Sosinna's team, or shared?</w:t>
            </w:r>
          </w:p>
        </w:tc>
        <w:tc>
          <w:tcPr>
            <w:tcW w:type="dxa" w:w="1728"/>
          </w:tcPr>
          <w:p>
            <w:r/>
            <w:r>
              <w:rPr>
                <w:b w:val="0"/>
                <w:i w:val="0"/>
                <w:strike w:val="0"/>
              </w:rPr>
              <w:t>Yes</w:t>
            </w:r>
          </w:p>
        </w:tc>
        <w:tc>
          <w:tcPr>
            <w:tcW w:type="dxa" w:w="1728"/>
          </w:tcPr>
          <w:p>
            <w:r/>
            <w:r>
              <w:rPr>
                <w:b/>
                <w:i/>
                <w:strike w:val="0"/>
                <w:color w:val="595959"/>
              </w:rPr>
              <w:t>Still open — estimation blocker</w:t>
            </w:r>
            <w:r>
              <w:rPr>
                <w:b w:val="0"/>
                <w:i w:val="0"/>
                <w:strike w:val="0"/>
              </w:rPr>
              <w:t xml:space="preserve"> </w:t>
            </w:r>
            <w:r>
              <w:rPr>
                <w:b w:val="0"/>
                <w:i/>
                <w:strike w:val="0"/>
                <w:color w:val="595959"/>
                <w:sz w:val="16"/>
              </w:rPr>
              <w:t xml:space="preserve"> [status note]</w:t>
            </w:r>
          </w:p>
        </w:tc>
      </w:tr>
      <w:tr>
        <w:tc>
          <w:tcPr>
            <w:tcW w:type="dxa" w:w="1728"/>
          </w:tcPr>
          <w:p>
            <w:r/>
            <w:r>
              <w:rPr>
                <w:b w:val="0"/>
                <w:i w:val="0"/>
                <w:strike w:val="0"/>
              </w:rPr>
              <w:t>RE-04</w:t>
            </w:r>
          </w:p>
        </w:tc>
        <w:tc>
          <w:tcPr>
            <w:tcW w:type="dxa" w:w="1728"/>
          </w:tcPr>
          <w:p>
            <w:r/>
            <w:r>
              <w:rPr>
                <w:b w:val="0"/>
                <w:i w:val="0"/>
                <w:strike w:val="0"/>
              </w:rPr>
              <w:t>Rules engine</w:t>
            </w:r>
          </w:p>
        </w:tc>
        <w:tc>
          <w:tcPr>
            <w:tcW w:type="dxa" w:w="1728"/>
          </w:tcPr>
          <w:p>
            <w:r/>
            <w:r>
              <w:rPr>
                <w:b w:val="0"/>
                <w:i w:val="0"/>
                <w:strike w:val="0"/>
              </w:rPr>
              <w:t>APIAX jurisdictional rule mapping: first version or later phase?</w:t>
            </w:r>
          </w:p>
        </w:tc>
        <w:tc>
          <w:tcPr>
            <w:tcW w:type="dxa" w:w="1728"/>
          </w:tcPr>
          <w:p>
            <w:r/>
            <w:r>
              <w:rPr>
                <w:b w:val="0"/>
                <w:i w:val="0"/>
                <w:strike w:val="0"/>
              </w:rPr>
              <w:t>Yes</w:t>
            </w:r>
          </w:p>
        </w:tc>
        <w:tc>
          <w:tcPr>
            <w:tcW w:type="dxa" w:w="1728"/>
          </w:tcPr>
          <w:p>
            <w:r/>
            <w:r>
              <w:rPr>
                <w:b/>
                <w:i/>
                <w:strike w:val="0"/>
                <w:color w:val="595959"/>
              </w:rPr>
              <w:t>Still open — estimation blocker</w:t>
            </w:r>
            <w:r>
              <w:rPr>
                <w:b w:val="0"/>
                <w:i w:val="0"/>
                <w:strike w:val="0"/>
              </w:rPr>
              <w:t xml:space="preserve"> </w:t>
            </w:r>
            <w:r>
              <w:rPr>
                <w:b w:val="0"/>
                <w:i/>
                <w:strike w:val="0"/>
                <w:color w:val="595959"/>
                <w:sz w:val="16"/>
              </w:rPr>
              <w:t xml:space="preserve"> [status note]</w:t>
            </w:r>
          </w:p>
        </w:tc>
      </w:tr>
      <w:tr>
        <w:tc>
          <w:tcPr>
            <w:tcW w:type="dxa" w:w="1728"/>
          </w:tcPr>
          <w:p>
            <w:r/>
            <w:r>
              <w:rPr>
                <w:b w:val="0"/>
                <w:i w:val="0"/>
                <w:strike w:val="0"/>
              </w:rPr>
              <w:t>RE-05</w:t>
            </w:r>
          </w:p>
        </w:tc>
        <w:tc>
          <w:tcPr>
            <w:tcW w:type="dxa" w:w="1728"/>
          </w:tcPr>
          <w:p>
            <w:r/>
            <w:r>
              <w:rPr>
                <w:b w:val="0"/>
                <w:i w:val="0"/>
                <w:strike w:val="0"/>
              </w:rPr>
              <w:t>Rules engine</w:t>
            </w:r>
          </w:p>
        </w:tc>
        <w:tc>
          <w:tcPr>
            <w:tcW w:type="dxa" w:w="1728"/>
          </w:tcPr>
          <w:p>
            <w:r/>
            <w:r>
              <w:rPr>
                <w:b w:val="0"/>
                <w:i w:val="0"/>
                <w:strike w:val="0"/>
              </w:rPr>
              <w:t>News feed sourcing: manual curation, automated scraping, or commercial API?</w:t>
            </w:r>
          </w:p>
        </w:tc>
        <w:tc>
          <w:tcPr>
            <w:tcW w:type="dxa" w:w="1728"/>
          </w:tcPr>
          <w:p>
            <w:r/>
            <w:r>
              <w:rPr>
                <w:b w:val="0"/>
                <w:i w:val="0"/>
                <w:strike w:val="0"/>
              </w:rPr>
              <w:t>Yes</w:t>
            </w:r>
          </w:p>
        </w:tc>
        <w:tc>
          <w:tcPr>
            <w:tcW w:type="dxa" w:w="1728"/>
          </w:tcPr>
          <w:p>
            <w:r/>
            <w:r>
              <w:rPr>
                <w:b/>
                <w:i/>
                <w:strike w:val="0"/>
                <w:color w:val="1155CC"/>
              </w:rPr>
              <w:t>Partial — see Section 9.1. Still open.</w:t>
            </w:r>
            <w:r>
              <w:rPr>
                <w:b w:val="0"/>
                <w:i w:val="0"/>
                <w:strike w:val="0"/>
              </w:rPr>
              <w:t xml:space="preserve"> </w:t>
            </w:r>
            <w:r>
              <w:rPr>
                <w:b w:val="0"/>
                <w:i/>
                <w:strike w:val="0"/>
                <w:color w:val="1155CC"/>
                <w:sz w:val="16"/>
              </w:rPr>
              <w:t xml:space="preserve"> [25 Jun FRD call]</w:t>
            </w:r>
          </w:p>
        </w:tc>
      </w:tr>
      <w:tr>
        <w:tc>
          <w:tcPr>
            <w:tcW w:type="dxa" w:w="1728"/>
          </w:tcPr>
          <w:p>
            <w:r/>
            <w:r>
              <w:rPr>
                <w:b w:val="0"/>
                <w:i w:val="0"/>
                <w:strike w:val="0"/>
              </w:rPr>
              <w:t>RP-04</w:t>
            </w:r>
          </w:p>
        </w:tc>
        <w:tc>
          <w:tcPr>
            <w:tcW w:type="dxa" w:w="1728"/>
          </w:tcPr>
          <w:p>
            <w:r/>
            <w:r>
              <w:rPr>
                <w:b w:val="0"/>
                <w:i w:val="0"/>
                <w:strike w:val="0"/>
              </w:rPr>
              <w:t>Reports</w:t>
            </w:r>
          </w:p>
        </w:tc>
        <w:tc>
          <w:tcPr>
            <w:tcW w:type="dxa" w:w="1728"/>
          </w:tcPr>
          <w:p>
            <w:r/>
            <w:r>
              <w:rPr>
                <w:b w:val="0"/>
                <w:i w:val="0"/>
                <w:strike w:val="0"/>
              </w:rPr>
              <w:t>Additional export formats beyond PDF: Word and/or Excel?</w:t>
            </w:r>
          </w:p>
        </w:tc>
        <w:tc>
          <w:tcPr>
            <w:tcW w:type="dxa" w:w="1728"/>
          </w:tcPr>
          <w:p>
            <w:r/>
            <w:r>
              <w:rPr>
                <w:b w:val="0"/>
                <w:i w:val="0"/>
                <w:strike w:val="0"/>
              </w:rPr>
              <w:t>No</w:t>
            </w:r>
          </w:p>
        </w:tc>
        <w:tc>
          <w:tcPr>
            <w:tcW w:type="dxa" w:w="1728"/>
          </w:tcPr>
          <w:p>
            <w:r/>
            <w:r>
              <w:rPr>
                <w:b/>
                <w:i/>
                <w:strike w:val="0"/>
                <w:color w:val="1155CC"/>
              </w:rPr>
              <w:t>Partial — see Section 9.2. Still open.</w:t>
            </w:r>
            <w:r>
              <w:rPr>
                <w:b w:val="0"/>
                <w:i w:val="0"/>
                <w:strike w:val="0"/>
              </w:rPr>
              <w:t xml:space="preserve"> </w:t>
            </w:r>
            <w:r>
              <w:rPr>
                <w:b w:val="0"/>
                <w:i/>
                <w:strike w:val="0"/>
                <w:color w:val="1155CC"/>
                <w:sz w:val="16"/>
              </w:rPr>
              <w:t xml:space="preserve"> [25 Jun FRD call]</w:t>
            </w:r>
          </w:p>
        </w:tc>
      </w:tr>
      <w:tr>
        <w:tc>
          <w:tcPr>
            <w:tcW w:type="dxa" w:w="1728"/>
          </w:tcPr>
          <w:p>
            <w:r/>
            <w:r>
              <w:rPr>
                <w:b w:val="0"/>
                <w:i w:val="0"/>
                <w:strike w:val="0"/>
              </w:rPr>
              <w:t>TI-01</w:t>
            </w:r>
          </w:p>
        </w:tc>
        <w:tc>
          <w:tcPr>
            <w:tcW w:type="dxa" w:w="1728"/>
          </w:tcPr>
          <w:p>
            <w:r/>
            <w:r>
              <w:rPr>
                <w:b w:val="0"/>
                <w:i w:val="0"/>
                <w:strike w:val="0"/>
              </w:rPr>
              <w:t>Technical</w:t>
            </w:r>
          </w:p>
        </w:tc>
        <w:tc>
          <w:tcPr>
            <w:tcW w:type="dxa" w:w="1728"/>
          </w:tcPr>
          <w:p>
            <w:r/>
            <w:r>
              <w:rPr>
                <w:b w:val="0"/>
                <w:i w:val="0"/>
                <w:strike w:val="0"/>
              </w:rPr>
              <w:t>Preferred cloud hosting provider?</w:t>
            </w:r>
          </w:p>
        </w:tc>
        <w:tc>
          <w:tcPr>
            <w:tcW w:type="dxa" w:w="1728"/>
          </w:tcPr>
          <w:p>
            <w:r/>
            <w:r>
              <w:rPr>
                <w:b w:val="0"/>
                <w:i w:val="0"/>
                <w:strike w:val="0"/>
              </w:rPr>
              <w:t>Yes</w:t>
            </w:r>
          </w:p>
        </w:tc>
        <w:tc>
          <w:tcPr>
            <w:tcW w:type="dxa" w:w="1728"/>
          </w:tcPr>
          <w:p>
            <w:r/>
            <w:r>
              <w:rPr>
                <w:b/>
                <w:i/>
                <w:strike w:val="0"/>
                <w:color w:val="C55A11"/>
              </w:rPr>
              <w:t>RESOLVED — see Section 13.2</w:t>
            </w:r>
            <w:r>
              <w:rPr>
                <w:b w:val="0"/>
                <w:i w:val="0"/>
                <w:strike w:val="0"/>
              </w:rPr>
              <w:t xml:space="preserve"> </w:t>
            </w:r>
            <w:r>
              <w:rPr>
                <w:b w:val="0"/>
                <w:i/>
                <w:strike w:val="0"/>
                <w:color w:val="C55A11"/>
                <w:sz w:val="16"/>
              </w:rPr>
              <w:t xml:space="preserve"> [Sosinna's Drive comment]</w:t>
            </w:r>
          </w:p>
        </w:tc>
      </w:tr>
      <w:tr>
        <w:tc>
          <w:tcPr>
            <w:tcW w:type="dxa" w:w="1728"/>
          </w:tcPr>
          <w:p>
            <w:r/>
            <w:r>
              <w:rPr>
                <w:b w:val="0"/>
                <w:i w:val="0"/>
                <w:strike w:val="0"/>
              </w:rPr>
              <w:t>TI-02</w:t>
            </w:r>
          </w:p>
        </w:tc>
        <w:tc>
          <w:tcPr>
            <w:tcW w:type="dxa" w:w="1728"/>
          </w:tcPr>
          <w:p>
            <w:r/>
            <w:r>
              <w:rPr>
                <w:b w:val="0"/>
                <w:i w:val="0"/>
                <w:strike w:val="0"/>
              </w:rPr>
              <w:t>Technical</w:t>
            </w:r>
          </w:p>
        </w:tc>
        <w:tc>
          <w:tcPr>
            <w:tcW w:type="dxa" w:w="1728"/>
          </w:tcPr>
          <w:p>
            <w:r/>
            <w:r>
              <w:rPr>
                <w:b w:val="0"/>
                <w:i w:val="0"/>
                <w:strike w:val="0"/>
              </w:rPr>
              <w:t>Required uptime SLA: 99.5% or 99.9%?</w:t>
            </w:r>
          </w:p>
        </w:tc>
        <w:tc>
          <w:tcPr>
            <w:tcW w:type="dxa" w:w="1728"/>
          </w:tcPr>
          <w:p>
            <w:r/>
            <w:r>
              <w:rPr>
                <w:b w:val="0"/>
                <w:i w:val="0"/>
                <w:strike w:val="0"/>
              </w:rPr>
              <w:t>Yes</w:t>
            </w:r>
          </w:p>
        </w:tc>
        <w:tc>
          <w:tcPr>
            <w:tcW w:type="dxa" w:w="1728"/>
          </w:tcPr>
          <w:p>
            <w:r/>
            <w:r>
              <w:rPr>
                <w:b/>
                <w:i/>
                <w:strike w:val="0"/>
                <w:color w:val="595959"/>
              </w:rPr>
              <w:t>Still open — estimation blocker</w:t>
            </w:r>
            <w:r>
              <w:rPr>
                <w:b w:val="0"/>
                <w:i w:val="0"/>
                <w:strike w:val="0"/>
              </w:rPr>
              <w:t xml:space="preserve"> </w:t>
            </w:r>
            <w:r>
              <w:rPr>
                <w:b w:val="0"/>
                <w:i/>
                <w:strike w:val="0"/>
                <w:color w:val="595959"/>
                <w:sz w:val="16"/>
              </w:rPr>
              <w:t xml:space="preserve"> [status note]</w:t>
            </w:r>
          </w:p>
        </w:tc>
      </w:tr>
      <w:tr>
        <w:tc>
          <w:tcPr>
            <w:tcW w:type="dxa" w:w="1728"/>
          </w:tcPr>
          <w:p>
            <w:r/>
            <w:r>
              <w:rPr>
                <w:b w:val="0"/>
                <w:i w:val="0"/>
                <w:strike w:val="0"/>
              </w:rPr>
              <w:t>TI-03</w:t>
            </w:r>
          </w:p>
        </w:tc>
        <w:tc>
          <w:tcPr>
            <w:tcW w:type="dxa" w:w="1728"/>
          </w:tcPr>
          <w:p>
            <w:r/>
            <w:r>
              <w:rPr>
                <w:b w:val="0"/>
                <w:i w:val="0"/>
                <w:strike w:val="0"/>
              </w:rPr>
              <w:t>Technical</w:t>
            </w:r>
          </w:p>
        </w:tc>
        <w:tc>
          <w:tcPr>
            <w:tcW w:type="dxa" w:w="1728"/>
          </w:tcPr>
          <w:p>
            <w:r/>
            <w:r>
              <w:rPr>
                <w:b w:val="0"/>
                <w:i w:val="0"/>
                <w:strike w:val="0"/>
              </w:rPr>
              <w:t>Security certifications required by clients?</w:t>
            </w:r>
          </w:p>
        </w:tc>
        <w:tc>
          <w:tcPr>
            <w:tcW w:type="dxa" w:w="1728"/>
          </w:tcPr>
          <w:p>
            <w:r/>
            <w:r>
              <w:rPr>
                <w:b w:val="0"/>
                <w:i w:val="0"/>
                <w:strike w:val="0"/>
              </w:rPr>
              <w:t>No</w:t>
            </w:r>
          </w:p>
        </w:tc>
        <w:tc>
          <w:tcPr>
            <w:tcW w:type="dxa" w:w="1728"/>
          </w:tcPr>
          <w:p>
            <w:r/>
            <w:r>
              <w:rPr>
                <w:b/>
                <w:i/>
                <w:strike w:val="0"/>
                <w:color w:val="595959"/>
              </w:rPr>
              <w:t>Open — no update</w:t>
            </w:r>
            <w:r>
              <w:rPr>
                <w:b w:val="0"/>
                <w:i w:val="0"/>
                <w:strike w:val="0"/>
              </w:rPr>
              <w:t xml:space="preserve"> </w:t>
            </w:r>
            <w:r>
              <w:rPr>
                <w:b w:val="0"/>
                <w:i/>
                <w:strike w:val="0"/>
                <w:color w:val="595959"/>
                <w:sz w:val="16"/>
              </w:rPr>
              <w:t xml:space="preserve"> [status note]</w:t>
            </w:r>
          </w:p>
        </w:tc>
      </w:tr>
      <w:tr>
        <w:tc>
          <w:tcPr>
            <w:tcW w:type="dxa" w:w="1728"/>
          </w:tcPr>
          <w:p>
            <w:r/>
            <w:r>
              <w:rPr>
                <w:b w:val="0"/>
                <w:i w:val="0"/>
                <w:strike w:val="0"/>
              </w:rPr>
              <w:t>TI-05</w:t>
            </w:r>
          </w:p>
        </w:tc>
        <w:tc>
          <w:tcPr>
            <w:tcW w:type="dxa" w:w="1728"/>
          </w:tcPr>
          <w:p>
            <w:r/>
            <w:r>
              <w:rPr>
                <w:b w:val="0"/>
                <w:i w:val="0"/>
                <w:strike w:val="0"/>
              </w:rPr>
              <w:t>Technical</w:t>
            </w:r>
          </w:p>
        </w:tc>
        <w:tc>
          <w:tcPr>
            <w:tcW w:type="dxa" w:w="1728"/>
          </w:tcPr>
          <w:p>
            <w:r/>
            <w:r>
              <w:rPr>
                <w:b w:val="0"/>
                <w:i w:val="0"/>
                <w:strike w:val="0"/>
              </w:rPr>
              <w:t>Public API: first version or later phase?</w:t>
            </w:r>
          </w:p>
        </w:tc>
        <w:tc>
          <w:tcPr>
            <w:tcW w:type="dxa" w:w="1728"/>
          </w:tcPr>
          <w:p>
            <w:r/>
            <w:r>
              <w:rPr>
                <w:b w:val="0"/>
                <w:i w:val="0"/>
                <w:strike w:val="0"/>
              </w:rPr>
              <w:t>Yes</w:t>
            </w:r>
          </w:p>
        </w:tc>
        <w:tc>
          <w:tcPr>
            <w:tcW w:type="dxa" w:w="1728"/>
          </w:tcPr>
          <w:p>
            <w:r/>
            <w:r>
              <w:rPr>
                <w:b/>
                <w:i/>
                <w:strike w:val="0"/>
                <w:color w:val="1155CC"/>
              </w:rPr>
              <w:t>Partial — see Section 13.2. Still open.</w:t>
            </w:r>
            <w:r>
              <w:rPr>
                <w:b w:val="0"/>
                <w:i w:val="0"/>
                <w:strike w:val="0"/>
              </w:rPr>
              <w:t xml:space="preserve"> </w:t>
            </w:r>
            <w:r>
              <w:rPr>
                <w:b w:val="0"/>
                <w:i/>
                <w:strike w:val="0"/>
                <w:color w:val="1155CC"/>
                <w:sz w:val="16"/>
              </w:rPr>
              <w:t xml:space="preserve"> [25 Jun FRD call]</w:t>
            </w:r>
          </w:p>
        </w:tc>
      </w:tr>
      <w:tr>
        <w:tc>
          <w:tcPr>
            <w:tcW w:type="dxa" w:w="1728"/>
          </w:tcPr>
          <w:p>
            <w:r/>
            <w:r>
              <w:rPr>
                <w:b w:val="0"/>
                <w:i w:val="0"/>
                <w:strike w:val="0"/>
              </w:rPr>
              <w:t>TI-06</w:t>
            </w:r>
          </w:p>
        </w:tc>
        <w:tc>
          <w:tcPr>
            <w:tcW w:type="dxa" w:w="1728"/>
          </w:tcPr>
          <w:p>
            <w:r/>
            <w:r>
              <w:rPr>
                <w:b w:val="0"/>
                <w:i w:val="0"/>
                <w:strike w:val="0"/>
              </w:rPr>
              <w:t>Technical</w:t>
            </w:r>
          </w:p>
        </w:tc>
        <w:tc>
          <w:tcPr>
            <w:tcW w:type="dxa" w:w="1728"/>
          </w:tcPr>
          <w:p>
            <w:r/>
            <w:r>
              <w:rPr>
                <w:b w:val="0"/>
                <w:i w:val="0"/>
                <w:strike w:val="0"/>
              </w:rPr>
              <w:t>Expected number of firms and concurrent users in Year 1?</w:t>
            </w:r>
          </w:p>
        </w:tc>
        <w:tc>
          <w:tcPr>
            <w:tcW w:type="dxa" w:w="1728"/>
          </w:tcPr>
          <w:p>
            <w:r/>
            <w:r>
              <w:rPr>
                <w:b w:val="0"/>
                <w:i w:val="0"/>
                <w:strike w:val="0"/>
              </w:rPr>
              <w:t>Yes</w:t>
            </w:r>
          </w:p>
        </w:tc>
        <w:tc>
          <w:tcPr>
            <w:tcW w:type="dxa" w:w="1728"/>
          </w:tcPr>
          <w:p>
            <w:r/>
            <w:r>
              <w:rPr>
                <w:b/>
                <w:i/>
                <w:strike w:val="0"/>
                <w:color w:val="1155CC"/>
              </w:rPr>
              <w:t>Partial — see Section 13.2. Still open.</w:t>
            </w:r>
            <w:r>
              <w:rPr>
                <w:b w:val="0"/>
                <w:i w:val="0"/>
                <w:strike w:val="0"/>
              </w:rPr>
              <w:t xml:space="preserve"> </w:t>
            </w:r>
            <w:r>
              <w:rPr>
                <w:b w:val="0"/>
                <w:i/>
                <w:strike w:val="0"/>
                <w:color w:val="1155CC"/>
                <w:sz w:val="16"/>
              </w:rPr>
              <w:t xml:space="preserve"> [25 Jun FRD call]</w:t>
            </w:r>
          </w:p>
        </w:tc>
      </w:tr>
      <w:tr>
        <w:tc>
          <w:tcPr>
            <w:tcW w:type="dxa" w:w="1728"/>
          </w:tcPr>
          <w:p>
            <w:r/>
            <w:r>
              <w:rPr>
                <w:b w:val="0"/>
                <w:i w:val="0"/>
                <w:strike w:val="0"/>
              </w:rPr>
              <w:t>CC-01</w:t>
            </w:r>
          </w:p>
        </w:tc>
        <w:tc>
          <w:tcPr>
            <w:tcW w:type="dxa" w:w="1728"/>
          </w:tcPr>
          <w:p>
            <w:r/>
            <w:r>
              <w:rPr>
                <w:b w:val="0"/>
                <w:i w:val="0"/>
                <w:strike w:val="0"/>
              </w:rPr>
              <w:t>Commercial</w:t>
            </w:r>
          </w:p>
        </w:tc>
        <w:tc>
          <w:tcPr>
            <w:tcW w:type="dxa" w:w="1728"/>
          </w:tcPr>
          <w:p>
            <w:r/>
            <w:r>
              <w:rPr>
                <w:b w:val="0"/>
                <w:i w:val="0"/>
                <w:strike w:val="0"/>
              </w:rPr>
              <w:t>Pricing model?</w:t>
            </w:r>
          </w:p>
        </w:tc>
        <w:tc>
          <w:tcPr>
            <w:tcW w:type="dxa" w:w="1728"/>
          </w:tcPr>
          <w:p>
            <w:r/>
            <w:r>
              <w:rPr>
                <w:b w:val="0"/>
                <w:i w:val="0"/>
                <w:strike w:val="0"/>
              </w:rPr>
              <w:t>Yes</w:t>
            </w:r>
          </w:p>
        </w:tc>
        <w:tc>
          <w:tcPr>
            <w:tcW w:type="dxa" w:w="1728"/>
          </w:tcPr>
          <w:p>
            <w:r/>
            <w:r>
              <w:rPr>
                <w:b/>
                <w:i/>
                <w:strike w:val="0"/>
                <w:color w:val="1155CC"/>
              </w:rPr>
              <w:t>Model confirmed — see Section 14. Exact figures still pending.</w:t>
            </w:r>
            <w:r>
              <w:rPr>
                <w:b w:val="0"/>
                <w:i w:val="0"/>
                <w:strike w:val="0"/>
              </w:rPr>
              <w:t xml:space="preserve"> </w:t>
            </w:r>
            <w:r>
              <w:rPr>
                <w:b w:val="0"/>
                <w:i/>
                <w:strike w:val="0"/>
                <w:color w:val="1155CC"/>
                <w:sz w:val="16"/>
              </w:rPr>
              <w:t xml:space="preserve"> [25 Jun FRD call]</w:t>
            </w:r>
          </w:p>
        </w:tc>
      </w:tr>
      <w:tr>
        <w:tc>
          <w:tcPr>
            <w:tcW w:type="dxa" w:w="1728"/>
          </w:tcPr>
          <w:p>
            <w:r/>
            <w:r>
              <w:rPr>
                <w:b w:val="0"/>
                <w:i w:val="0"/>
                <w:strike w:val="0"/>
              </w:rPr>
              <w:t>CC-02</w:t>
            </w:r>
          </w:p>
        </w:tc>
        <w:tc>
          <w:tcPr>
            <w:tcW w:type="dxa" w:w="1728"/>
          </w:tcPr>
          <w:p>
            <w:r/>
            <w:r>
              <w:rPr>
                <w:b w:val="0"/>
                <w:i w:val="0"/>
                <w:strike w:val="0"/>
              </w:rPr>
              <w:t>Commercial</w:t>
            </w:r>
          </w:p>
        </w:tc>
        <w:tc>
          <w:tcPr>
            <w:tcW w:type="dxa" w:w="1728"/>
          </w:tcPr>
          <w:p>
            <w:r/>
            <w:r>
              <w:rPr>
                <w:b w:val="0"/>
                <w:i w:val="0"/>
                <w:strike w:val="0"/>
              </w:rPr>
              <w:t>Platform branding?</w:t>
            </w:r>
          </w:p>
        </w:tc>
        <w:tc>
          <w:tcPr>
            <w:tcW w:type="dxa" w:w="1728"/>
          </w:tcPr>
          <w:p>
            <w:r/>
            <w:r>
              <w:rPr>
                <w:b w:val="0"/>
                <w:i w:val="0"/>
                <w:strike w:val="0"/>
              </w:rPr>
              <w:t>No</w:t>
            </w:r>
          </w:p>
        </w:tc>
        <w:tc>
          <w:tcPr>
            <w:tcW w:type="dxa" w:w="1728"/>
          </w:tcPr>
          <w:p>
            <w:r/>
            <w:r>
              <w:rPr>
                <w:b/>
                <w:i/>
                <w:strike w:val="0"/>
                <w:color w:val="595959"/>
              </w:rPr>
              <w:t>Open — no update</w:t>
            </w:r>
            <w:r>
              <w:rPr>
                <w:b w:val="0"/>
                <w:i w:val="0"/>
                <w:strike w:val="0"/>
              </w:rPr>
              <w:t xml:space="preserve"> </w:t>
            </w:r>
            <w:r>
              <w:rPr>
                <w:b w:val="0"/>
                <w:i/>
                <w:strike w:val="0"/>
                <w:color w:val="595959"/>
                <w:sz w:val="16"/>
              </w:rPr>
              <w:t xml:space="preserve"> [status note]</w:t>
            </w:r>
          </w:p>
        </w:tc>
      </w:tr>
      <w:tr>
        <w:tc>
          <w:tcPr>
            <w:tcW w:type="dxa" w:w="1728"/>
          </w:tcPr>
          <w:p>
            <w:r/>
            <w:r>
              <w:rPr>
                <w:b w:val="0"/>
                <w:i w:val="0"/>
                <w:strike w:val="0"/>
              </w:rPr>
              <w:t>CC-03</w:t>
            </w:r>
          </w:p>
        </w:tc>
        <w:tc>
          <w:tcPr>
            <w:tcW w:type="dxa" w:w="1728"/>
          </w:tcPr>
          <w:p>
            <w:r/>
            <w:r>
              <w:rPr>
                <w:b w:val="0"/>
                <w:i w:val="0"/>
                <w:strike w:val="0"/>
              </w:rPr>
              <w:t>Commercial</w:t>
            </w:r>
          </w:p>
        </w:tc>
        <w:tc>
          <w:tcPr>
            <w:tcW w:type="dxa" w:w="1728"/>
          </w:tcPr>
          <w:p>
            <w:r/>
            <w:r>
              <w:rPr>
                <w:b w:val="0"/>
                <w:i w:val="0"/>
                <w:strike w:val="0"/>
              </w:rPr>
              <w:t>IP ownership of regulatory content?</w:t>
            </w:r>
          </w:p>
        </w:tc>
        <w:tc>
          <w:tcPr>
            <w:tcW w:type="dxa" w:w="1728"/>
          </w:tcPr>
          <w:p>
            <w:r/>
            <w:r>
              <w:rPr>
                <w:b w:val="0"/>
                <w:i w:val="0"/>
                <w:strike w:val="0"/>
              </w:rPr>
              <w:t>Yes</w:t>
            </w:r>
          </w:p>
        </w:tc>
        <w:tc>
          <w:tcPr>
            <w:tcW w:type="dxa" w:w="1728"/>
          </w:tcPr>
          <w:p>
            <w:r/>
            <w:r>
              <w:rPr>
                <w:b/>
                <w:i/>
                <w:strike w:val="0"/>
                <w:color w:val="C55A11"/>
              </w:rPr>
              <w:t>RESOLVED — see Section 14</w:t>
            </w:r>
            <w:r>
              <w:rPr>
                <w:b w:val="0"/>
                <w:i w:val="0"/>
                <w:strike w:val="0"/>
              </w:rPr>
              <w:t xml:space="preserve"> </w:t>
            </w:r>
            <w:r>
              <w:rPr>
                <w:b w:val="0"/>
                <w:i/>
                <w:strike w:val="0"/>
                <w:color w:val="C55A11"/>
                <w:sz w:val="16"/>
              </w:rPr>
              <w:t xml:space="preserve"> [Sosinna's Drive comment]</w:t>
            </w:r>
          </w:p>
        </w:tc>
      </w:tr>
      <w:tr>
        <w:tc>
          <w:tcPr>
            <w:tcW w:type="dxa" w:w="1728"/>
          </w:tcPr>
          <w:p>
            <w:r/>
            <w:r>
              <w:rPr>
                <w:b w:val="0"/>
                <w:i w:val="0"/>
                <w:strike w:val="0"/>
              </w:rPr>
              <w:t>CC-04</w:t>
            </w:r>
          </w:p>
        </w:tc>
        <w:tc>
          <w:tcPr>
            <w:tcW w:type="dxa" w:w="1728"/>
          </w:tcPr>
          <w:p>
            <w:r/>
            <w:r>
              <w:rPr>
                <w:b w:val="0"/>
                <w:i w:val="0"/>
                <w:strike w:val="0"/>
              </w:rPr>
              <w:t>Commercial</w:t>
            </w:r>
          </w:p>
        </w:tc>
        <w:tc>
          <w:tcPr>
            <w:tcW w:type="dxa" w:w="1728"/>
          </w:tcPr>
          <w:p>
            <w:r/>
            <w:r>
              <w:rPr>
                <w:b w:val="0"/>
                <w:i w:val="0"/>
                <w:strike w:val="0"/>
              </w:rPr>
              <w:t>Engagement model?</w:t>
            </w:r>
          </w:p>
        </w:tc>
        <w:tc>
          <w:tcPr>
            <w:tcW w:type="dxa" w:w="1728"/>
          </w:tcPr>
          <w:p>
            <w:r/>
            <w:r>
              <w:rPr>
                <w:b w:val="0"/>
                <w:i w:val="0"/>
                <w:strike w:val="0"/>
              </w:rPr>
              <w:t>Yes</w:t>
            </w:r>
          </w:p>
        </w:tc>
        <w:tc>
          <w:tcPr>
            <w:tcW w:type="dxa" w:w="1728"/>
          </w:tcPr>
          <w:p>
            <w:r/>
            <w:r>
              <w:rPr>
                <w:b/>
                <w:i/>
                <w:strike w:val="0"/>
                <w:color w:val="C55A11"/>
              </w:rPr>
              <w:t>RESOLVED — see Section 14</w:t>
            </w:r>
            <w:r>
              <w:rPr>
                <w:b w:val="0"/>
                <w:i w:val="0"/>
                <w:strike w:val="0"/>
              </w:rPr>
              <w:t xml:space="preserve"> </w:t>
            </w:r>
            <w:r>
              <w:rPr>
                <w:b w:val="0"/>
                <w:i/>
                <w:strike w:val="0"/>
                <w:color w:val="C55A11"/>
                <w:sz w:val="16"/>
              </w:rPr>
              <w:t xml:space="preserve"> [Sosinna's Drive comment]</w:t>
            </w:r>
          </w:p>
        </w:tc>
      </w:tr>
      <w:tr>
        <w:tc>
          <w:tcPr>
            <w:tcW w:type="dxa" w:w="1728"/>
          </w:tcPr>
          <w:p>
            <w:r/>
            <w:r>
              <w:rPr>
                <w:b w:val="0"/>
                <w:i w:val="0"/>
                <w:strike w:val="0"/>
              </w:rPr>
              <w:t>CC-05</w:t>
            </w:r>
          </w:p>
        </w:tc>
        <w:tc>
          <w:tcPr>
            <w:tcW w:type="dxa" w:w="1728"/>
          </w:tcPr>
          <w:p>
            <w:r/>
            <w:r>
              <w:rPr>
                <w:b w:val="0"/>
                <w:i w:val="0"/>
                <w:strike w:val="0"/>
              </w:rPr>
              <w:t>Commercial</w:t>
            </w:r>
          </w:p>
        </w:tc>
        <w:tc>
          <w:tcPr>
            <w:tcW w:type="dxa" w:w="1728"/>
          </w:tcPr>
          <w:p>
            <w:r/>
            <w:r>
              <w:rPr>
                <w:b w:val="0"/>
                <w:i w:val="0"/>
                <w:strike w:val="0"/>
              </w:rPr>
              <w:t>Demo Day presentation approach?</w:t>
            </w:r>
          </w:p>
        </w:tc>
        <w:tc>
          <w:tcPr>
            <w:tcW w:type="dxa" w:w="1728"/>
          </w:tcPr>
          <w:p>
            <w:r/>
            <w:r>
              <w:rPr>
                <w:b w:val="0"/>
                <w:i w:val="0"/>
                <w:strike w:val="0"/>
              </w:rPr>
              <w:t>No</w:t>
            </w:r>
          </w:p>
        </w:tc>
        <w:tc>
          <w:tcPr>
            <w:tcW w:type="dxa" w:w="1728"/>
          </w:tcPr>
          <w:p>
            <w:r/>
            <w:r>
              <w:rPr>
                <w:b/>
                <w:i/>
                <w:strike w:val="0"/>
                <w:color w:val="595959"/>
              </w:rPr>
              <w:t>Open — no update</w:t>
            </w:r>
            <w:r>
              <w:rPr>
                <w:b w:val="0"/>
                <w:i w:val="0"/>
                <w:strike w:val="0"/>
              </w:rPr>
              <w:t xml:space="preserve"> </w:t>
            </w:r>
            <w:r>
              <w:rPr>
                <w:b w:val="0"/>
                <w:i/>
                <w:strike w:val="0"/>
                <w:color w:val="595959"/>
                <w:sz w:val="16"/>
              </w:rPr>
              <w:t xml:space="preserve"> [status note]</w:t>
            </w:r>
          </w:p>
        </w:tc>
      </w:tr>
      <w:tr>
        <w:tc>
          <w:tcPr>
            <w:tcW w:type="dxa" w:w="1728"/>
          </w:tcPr>
          <w:p>
            <w:r/>
            <w:r>
              <w:rPr>
                <w:b w:val="0"/>
                <w:i w:val="0"/>
                <w:strike w:val="0"/>
              </w:rPr>
              <w:t>CC-06</w:t>
            </w:r>
          </w:p>
        </w:tc>
        <w:tc>
          <w:tcPr>
            <w:tcW w:type="dxa" w:w="1728"/>
          </w:tcPr>
          <w:p>
            <w:r/>
            <w:r>
              <w:rPr>
                <w:b w:val="0"/>
                <w:i w:val="0"/>
                <w:strike w:val="0"/>
              </w:rPr>
              <w:t>Commercial</w:t>
            </w:r>
          </w:p>
        </w:tc>
        <w:tc>
          <w:tcPr>
            <w:tcW w:type="dxa" w:w="1728"/>
          </w:tcPr>
          <w:p>
            <w:r/>
            <w:r>
              <w:rPr>
                <w:b w:val="0"/>
                <w:i w:val="0"/>
                <w:strike w:val="0"/>
              </w:rPr>
              <w:t>Client contracting: reseller or direct?</w:t>
            </w:r>
          </w:p>
        </w:tc>
        <w:tc>
          <w:tcPr>
            <w:tcW w:type="dxa" w:w="1728"/>
          </w:tcPr>
          <w:p>
            <w:r/>
            <w:r>
              <w:rPr>
                <w:b w:val="0"/>
                <w:i w:val="0"/>
                <w:strike w:val="0"/>
              </w:rPr>
              <w:t>Yes</w:t>
            </w:r>
          </w:p>
        </w:tc>
        <w:tc>
          <w:tcPr>
            <w:tcW w:type="dxa" w:w="1728"/>
          </w:tcPr>
          <w:p>
            <w:r/>
            <w:r>
              <w:rPr>
                <w:b/>
                <w:i/>
                <w:strike w:val="0"/>
                <w:color w:val="C55A11"/>
              </w:rPr>
              <w:t>RESOLVED — see Section 14</w:t>
            </w:r>
            <w:r>
              <w:rPr>
                <w:b w:val="0"/>
                <w:i w:val="0"/>
                <w:strike w:val="0"/>
              </w:rPr>
              <w:t xml:space="preserve"> </w:t>
            </w:r>
            <w:r>
              <w:rPr>
                <w:b w:val="0"/>
                <w:i/>
                <w:strike w:val="0"/>
                <w:color w:val="C55A11"/>
                <w:sz w:val="16"/>
              </w:rPr>
              <w:t xml:space="preserve"> [Sosinna's Drive comment]</w:t>
            </w:r>
          </w:p>
        </w:tc>
      </w:tr>
      <w:tr>
        <w:tc>
          <w:tcPr>
            <w:tcW w:type="dxa" w:w="1728"/>
          </w:tcPr>
          <w:p>
            <w:r/>
            <w:r>
              <w:rPr>
                <w:b/>
                <w:i/>
                <w:strike w:val="0"/>
              </w:rPr>
              <w:t>FO-09</w:t>
            </w:r>
          </w:p>
        </w:tc>
        <w:tc>
          <w:tcPr>
            <w:tcW w:type="dxa" w:w="1728"/>
          </w:tcPr>
          <w:p>
            <w:r/>
            <w:r>
              <w:rPr>
                <w:b/>
                <w:i/>
                <w:strike w:val="0"/>
              </w:rPr>
              <w:t>Setup</w:t>
            </w:r>
          </w:p>
        </w:tc>
        <w:tc>
          <w:tcPr>
            <w:tcW w:type="dxa" w:w="1728"/>
          </w:tcPr>
          <w:p>
            <w:r/>
            <w:r>
              <w:rPr>
                <w:b/>
                <w:i/>
                <w:strike w:val="0"/>
              </w:rPr>
              <w:t>What format do the onboarding financial reports arrive in, and is automated service-line derivation from them feasible? Sample document required.</w:t>
            </w:r>
          </w:p>
        </w:tc>
        <w:tc>
          <w:tcPr>
            <w:tcW w:type="dxa" w:w="1728"/>
          </w:tcPr>
          <w:p>
            <w:r/>
            <w:r>
              <w:rPr>
                <w:b/>
                <w:i/>
                <w:strike w:val="0"/>
              </w:rPr>
              <w:t>Yes</w:t>
            </w:r>
          </w:p>
        </w:tc>
        <w:tc>
          <w:tcPr>
            <w:tcW w:type="dxa" w:w="1728"/>
          </w:tcPr>
          <w:p>
            <w:r/>
            <w:r>
              <w:rPr>
                <w:b/>
                <w:i/>
                <w:strike w:val="0"/>
                <w:color w:val="7030A0"/>
              </w:rPr>
              <w:t>New in v5.0 — see Section 5, FR-92</w:t>
            </w:r>
            <w:r>
              <w:rPr>
                <w:b w:val="0"/>
                <w:i w:val="0"/>
                <w:strike w:val="0"/>
              </w:rPr>
              <w:t xml:space="preserve"> </w:t>
            </w:r>
            <w:r>
              <w:rPr>
                <w:b w:val="0"/>
                <w:i/>
                <w:strike w:val="0"/>
                <w:color w:val="7030A0"/>
                <w:sz w:val="16"/>
              </w:rPr>
              <w:t xml:space="preserve"> [Aug 2026 client MOM]</w:t>
            </w:r>
          </w:p>
        </w:tc>
      </w:tr>
      <w:tr>
        <w:tc>
          <w:tcPr>
            <w:tcW w:type="dxa" w:w="1728"/>
          </w:tcPr>
          <w:p>
            <w:r/>
            <w:r>
              <w:rPr>
                <w:b/>
                <w:i/>
                <w:strike w:val="0"/>
              </w:rPr>
              <w:t>PR-01</w:t>
            </w:r>
          </w:p>
        </w:tc>
        <w:tc>
          <w:tcPr>
            <w:tcW w:type="dxa" w:w="1728"/>
          </w:tcPr>
          <w:p>
            <w:r/>
            <w:r>
              <w:rPr>
                <w:b/>
                <w:i/>
                <w:strike w:val="0"/>
              </w:rPr>
              <w:t>Priority</w:t>
            </w:r>
          </w:p>
        </w:tc>
        <w:tc>
          <w:tcPr>
            <w:tcW w:type="dxa" w:w="1728"/>
          </w:tcPr>
          <w:p>
            <w:r/>
            <w:r>
              <w:rPr>
                <w:b/>
                <w:i/>
                <w:strike w:val="0"/>
              </w:rPr>
              <w:t>Two priority levels (high/low) or three, to match the Finding severity scale?</w:t>
            </w:r>
          </w:p>
        </w:tc>
        <w:tc>
          <w:tcPr>
            <w:tcW w:type="dxa" w:w="1728"/>
          </w:tcPr>
          <w:p>
            <w:r/>
            <w:r>
              <w:rPr>
                <w:b/>
                <w:i/>
                <w:strike w:val="0"/>
              </w:rPr>
              <w:t>No</w:t>
            </w:r>
          </w:p>
        </w:tc>
        <w:tc>
          <w:tcPr>
            <w:tcW w:type="dxa" w:w="1728"/>
          </w:tcPr>
          <w:p>
            <w:r/>
            <w:r>
              <w:rPr>
                <w:b/>
                <w:i/>
                <w:strike w:val="0"/>
                <w:color w:val="7030A0"/>
              </w:rPr>
              <w:t>New in v5.0 — see Section 4.4</w:t>
            </w:r>
            <w:r>
              <w:rPr>
                <w:b w:val="0"/>
                <w:i w:val="0"/>
                <w:strike w:val="0"/>
              </w:rPr>
              <w:t xml:space="preserve"> </w:t>
            </w:r>
            <w:r>
              <w:rPr>
                <w:b w:val="0"/>
                <w:i/>
                <w:strike w:val="0"/>
                <w:color w:val="7030A0"/>
                <w:sz w:val="16"/>
              </w:rPr>
              <w:t xml:space="preserve"> [Aug 2026 client MOM]</w:t>
            </w:r>
          </w:p>
        </w:tc>
      </w:tr>
      <w:tr>
        <w:tc>
          <w:tcPr>
            <w:tcW w:type="dxa" w:w="1728"/>
          </w:tcPr>
          <w:p>
            <w:r/>
            <w:r>
              <w:rPr>
                <w:b/>
                <w:i/>
                <w:strike w:val="0"/>
              </w:rPr>
              <w:t>PR-02</w:t>
            </w:r>
          </w:p>
        </w:tc>
        <w:tc>
          <w:tcPr>
            <w:tcW w:type="dxa" w:w="1728"/>
          </w:tcPr>
          <w:p>
            <w:r/>
            <w:r>
              <w:rPr>
                <w:b/>
                <w:i/>
                <w:strike w:val="0"/>
              </w:rPr>
              <w:t>Priority</w:t>
            </w:r>
          </w:p>
        </w:tc>
        <w:tc>
          <w:tcPr>
            <w:tcW w:type="dxa" w:w="1728"/>
          </w:tcPr>
          <w:p>
            <w:r/>
            <w:r>
              <w:rPr>
                <w:b/>
                <w:i/>
                <w:strike w:val="0"/>
              </w:rPr>
              <w:t>Can a firm override the centrally-set priority of a test?</w:t>
            </w:r>
          </w:p>
        </w:tc>
        <w:tc>
          <w:tcPr>
            <w:tcW w:type="dxa" w:w="1728"/>
          </w:tcPr>
          <w:p>
            <w:r/>
            <w:r>
              <w:rPr>
                <w:b/>
                <w:i/>
                <w:strike w:val="0"/>
              </w:rPr>
              <w:t>No</w:t>
            </w:r>
          </w:p>
        </w:tc>
        <w:tc>
          <w:tcPr>
            <w:tcW w:type="dxa" w:w="1728"/>
          </w:tcPr>
          <w:p>
            <w:r/>
            <w:r>
              <w:rPr>
                <w:b/>
                <w:i/>
                <w:strike w:val="0"/>
                <w:color w:val="7030A0"/>
              </w:rPr>
              <w:t>New in v5.0 — see Section 4.4</w:t>
            </w:r>
            <w:r>
              <w:rPr>
                <w:b w:val="0"/>
                <w:i w:val="0"/>
                <w:strike w:val="0"/>
              </w:rPr>
              <w:t xml:space="preserve"> </w:t>
            </w:r>
            <w:r>
              <w:rPr>
                <w:b w:val="0"/>
                <w:i/>
                <w:strike w:val="0"/>
                <w:color w:val="7030A0"/>
                <w:sz w:val="16"/>
              </w:rPr>
              <w:t xml:space="preserve"> [Aug 2026 client MOM]</w:t>
            </w:r>
          </w:p>
        </w:tc>
      </w:tr>
      <w:tr>
        <w:tc>
          <w:tcPr>
            <w:tcW w:type="dxa" w:w="1728"/>
          </w:tcPr>
          <w:p>
            <w:r/>
            <w:r>
              <w:rPr>
                <w:b/>
                <w:i/>
                <w:strike w:val="0"/>
              </w:rPr>
              <w:t>PR-03</w:t>
            </w:r>
          </w:p>
        </w:tc>
        <w:tc>
          <w:tcPr>
            <w:tcW w:type="dxa" w:w="1728"/>
          </w:tcPr>
          <w:p>
            <w:r/>
            <w:r>
              <w:rPr>
                <w:b/>
                <w:i/>
                <w:strike w:val="0"/>
              </w:rPr>
              <w:t>Priority</w:t>
            </w:r>
          </w:p>
        </w:tc>
        <w:tc>
          <w:tcPr>
            <w:tcW w:type="dxa" w:w="1728"/>
          </w:tcPr>
          <w:p>
            <w:r/>
            <w:r>
              <w:rPr>
                <w:b/>
                <w:i/>
                <w:strike w:val="0"/>
              </w:rPr>
              <w:t>Is priority informational only, or does it gate behaviour (assignment order, report generation)?</w:t>
            </w:r>
          </w:p>
        </w:tc>
        <w:tc>
          <w:tcPr>
            <w:tcW w:type="dxa" w:w="1728"/>
          </w:tcPr>
          <w:p>
            <w:r/>
            <w:r>
              <w:rPr>
                <w:b/>
                <w:i/>
                <w:strike w:val="0"/>
              </w:rPr>
              <w:t>Yes</w:t>
            </w:r>
          </w:p>
        </w:tc>
        <w:tc>
          <w:tcPr>
            <w:tcW w:type="dxa" w:w="1728"/>
          </w:tcPr>
          <w:p>
            <w:r/>
            <w:r>
              <w:rPr>
                <w:b/>
                <w:i/>
                <w:strike w:val="0"/>
                <w:color w:val="7030A0"/>
              </w:rPr>
              <w:t>New in v5.0 — see Section 4.4</w:t>
            </w:r>
            <w:r>
              <w:rPr>
                <w:b w:val="0"/>
                <w:i w:val="0"/>
                <w:strike w:val="0"/>
              </w:rPr>
              <w:t xml:space="preserve"> </w:t>
            </w:r>
            <w:r>
              <w:rPr>
                <w:b w:val="0"/>
                <w:i/>
                <w:strike w:val="0"/>
                <w:color w:val="7030A0"/>
                <w:sz w:val="16"/>
              </w:rPr>
              <w:t xml:space="preserve"> [Aug 2026 client MOM]</w:t>
            </w:r>
          </w:p>
        </w:tc>
      </w:tr>
      <w:tr>
        <w:tc>
          <w:tcPr>
            <w:tcW w:type="dxa" w:w="1728"/>
          </w:tcPr>
          <w:p>
            <w:r/>
            <w:r>
              <w:rPr>
                <w:b/>
                <w:i/>
                <w:strike w:val="0"/>
              </w:rPr>
              <w:t>TS-01</w:t>
            </w:r>
          </w:p>
        </w:tc>
        <w:tc>
          <w:tcPr>
            <w:tcW w:type="dxa" w:w="1728"/>
          </w:tcPr>
          <w:p>
            <w:r/>
            <w:r>
              <w:rPr>
                <w:b/>
                <w:i/>
                <w:strike w:val="0"/>
              </w:rPr>
              <w:t>Testing</w:t>
            </w:r>
          </w:p>
        </w:tc>
        <w:tc>
          <w:tcPr>
            <w:tcW w:type="dxa" w:w="1728"/>
          </w:tcPr>
          <w:p>
            <w:r/>
            <w:r>
              <w:rPr>
                <w:b/>
                <w:i/>
                <w:strike w:val="0"/>
              </w:rPr>
              <w:t>What happens to a pool item whose period ends unassigned — carry forward, overdue, or missed-obligation record?</w:t>
            </w:r>
          </w:p>
        </w:tc>
        <w:tc>
          <w:tcPr>
            <w:tcW w:type="dxa" w:w="1728"/>
          </w:tcPr>
          <w:p>
            <w:r/>
            <w:r>
              <w:rPr>
                <w:b/>
                <w:i/>
                <w:strike w:val="0"/>
              </w:rPr>
              <w:t>Yes</w:t>
            </w:r>
          </w:p>
        </w:tc>
        <w:tc>
          <w:tcPr>
            <w:tcW w:type="dxa" w:w="1728"/>
          </w:tcPr>
          <w:p>
            <w:r/>
            <w:r>
              <w:rPr>
                <w:b/>
                <w:i/>
                <w:strike w:val="0"/>
                <w:color w:val="7030A0"/>
              </w:rPr>
              <w:t>New in v5.0 — see Section 7.2; resolve with GAP-01</w:t>
            </w:r>
            <w:r>
              <w:rPr>
                <w:b w:val="0"/>
                <w:i w:val="0"/>
                <w:strike w:val="0"/>
              </w:rPr>
              <w:t xml:space="preserve"> </w:t>
            </w:r>
            <w:r>
              <w:rPr>
                <w:b w:val="0"/>
                <w:i/>
                <w:strike w:val="0"/>
                <w:color w:val="7030A0"/>
                <w:sz w:val="16"/>
              </w:rPr>
              <w:t xml:space="preserve"> [Aug 2026 client MOM]</w:t>
            </w:r>
          </w:p>
        </w:tc>
      </w:tr>
      <w:tr>
        <w:tc>
          <w:tcPr>
            <w:tcW w:type="dxa" w:w="1728"/>
          </w:tcPr>
          <w:p>
            <w:r/>
            <w:r>
              <w:rPr>
                <w:b/>
                <w:i/>
                <w:strike w:val="0"/>
              </w:rPr>
              <w:t>TS-02</w:t>
            </w:r>
          </w:p>
        </w:tc>
        <w:tc>
          <w:tcPr>
            <w:tcW w:type="dxa" w:w="1728"/>
          </w:tcPr>
          <w:p>
            <w:r/>
            <w:r>
              <w:rPr>
                <w:b/>
                <w:i/>
                <w:strike w:val="0"/>
              </w:rPr>
              <w:t>Testing</w:t>
            </w:r>
          </w:p>
        </w:tc>
        <w:tc>
          <w:tcPr>
            <w:tcW w:type="dxa" w:w="1728"/>
          </w:tcPr>
          <w:p>
            <w:r/>
            <w:r>
              <w:rPr>
                <w:b/>
                <w:i/>
                <w:strike w:val="0"/>
              </w:rPr>
              <w:t>Does the platform propose a default scope period, or does the CCO enter both dates?</w:t>
            </w:r>
          </w:p>
        </w:tc>
        <w:tc>
          <w:tcPr>
            <w:tcW w:type="dxa" w:w="1728"/>
          </w:tcPr>
          <w:p>
            <w:r/>
            <w:r>
              <w:rPr>
                <w:b/>
                <w:i/>
                <w:strike w:val="0"/>
              </w:rPr>
              <w:t>No</w:t>
            </w:r>
          </w:p>
        </w:tc>
        <w:tc>
          <w:tcPr>
            <w:tcW w:type="dxa" w:w="1728"/>
          </w:tcPr>
          <w:p>
            <w:r/>
            <w:r>
              <w:rPr>
                <w:b/>
                <w:i/>
                <w:strike w:val="0"/>
                <w:color w:val="7030A0"/>
              </w:rPr>
              <w:t>New in v5.0 — see Section 7.2</w:t>
            </w:r>
            <w:r>
              <w:rPr>
                <w:b w:val="0"/>
                <w:i w:val="0"/>
                <w:strike w:val="0"/>
              </w:rPr>
              <w:t xml:space="preserve"> </w:t>
            </w:r>
            <w:r>
              <w:rPr>
                <w:b w:val="0"/>
                <w:i/>
                <w:strike w:val="0"/>
                <w:color w:val="7030A0"/>
                <w:sz w:val="16"/>
              </w:rPr>
              <w:t xml:space="preserve"> [Aug 2026 client MOM]</w:t>
            </w:r>
          </w:p>
        </w:tc>
      </w:tr>
      <w:tr>
        <w:tc>
          <w:tcPr>
            <w:tcW w:type="dxa" w:w="1728"/>
          </w:tcPr>
          <w:p>
            <w:r/>
            <w:r>
              <w:rPr>
                <w:b/>
                <w:i/>
                <w:strike w:val="0"/>
              </w:rPr>
              <w:t>TS-03</w:t>
            </w:r>
          </w:p>
        </w:tc>
        <w:tc>
          <w:tcPr>
            <w:tcW w:type="dxa" w:w="1728"/>
          </w:tcPr>
          <w:p>
            <w:r/>
            <w:r>
              <w:rPr>
                <w:b/>
                <w:i/>
                <w:strike w:val="0"/>
              </w:rPr>
              <w:t>Testing</w:t>
            </w:r>
          </w:p>
        </w:tc>
        <w:tc>
          <w:tcPr>
            <w:tcW w:type="dxa" w:w="1728"/>
          </w:tcPr>
          <w:p>
            <w:r/>
            <w:r>
              <w:rPr>
                <w:b/>
                <w:i/>
                <w:strike w:val="0"/>
              </w:rPr>
              <w:t>Evidence dated outside the scope period — warn, block, or record?</w:t>
            </w:r>
          </w:p>
        </w:tc>
        <w:tc>
          <w:tcPr>
            <w:tcW w:type="dxa" w:w="1728"/>
          </w:tcPr>
          <w:p>
            <w:r/>
            <w:r>
              <w:rPr>
                <w:b/>
                <w:i/>
                <w:strike w:val="0"/>
              </w:rPr>
              <w:t>No</w:t>
            </w:r>
          </w:p>
        </w:tc>
        <w:tc>
          <w:tcPr>
            <w:tcW w:type="dxa" w:w="1728"/>
          </w:tcPr>
          <w:p>
            <w:r/>
            <w:r>
              <w:rPr>
                <w:b/>
                <w:i/>
                <w:strike w:val="0"/>
                <w:color w:val="7030A0"/>
              </w:rPr>
              <w:t>New in v5.0 — see Section 7.2</w:t>
            </w:r>
            <w:r>
              <w:rPr>
                <w:b w:val="0"/>
                <w:i w:val="0"/>
                <w:strike w:val="0"/>
              </w:rPr>
              <w:t xml:space="preserve"> </w:t>
            </w:r>
            <w:r>
              <w:rPr>
                <w:b w:val="0"/>
                <w:i/>
                <w:strike w:val="0"/>
                <w:color w:val="7030A0"/>
                <w:sz w:val="16"/>
              </w:rPr>
              <w:t xml:space="preserve"> [Aug 2026 client MOM]</w:t>
            </w:r>
          </w:p>
        </w:tc>
      </w:tr>
      <w:tr>
        <w:tc>
          <w:tcPr>
            <w:tcW w:type="dxa" w:w="1728"/>
          </w:tcPr>
          <w:p>
            <w:r/>
            <w:r>
              <w:rPr>
                <w:b/>
                <w:i/>
                <w:strike w:val="0"/>
              </w:rPr>
              <w:t>TS-04</w:t>
            </w:r>
          </w:p>
        </w:tc>
        <w:tc>
          <w:tcPr>
            <w:tcW w:type="dxa" w:w="1728"/>
          </w:tcPr>
          <w:p>
            <w:r/>
            <w:r>
              <w:rPr>
                <w:b/>
                <w:i/>
                <w:strike w:val="0"/>
              </w:rPr>
              <w:t>Testing</w:t>
            </w:r>
          </w:p>
        </w:tc>
        <w:tc>
          <w:tcPr>
            <w:tcW w:type="dxa" w:w="1728"/>
          </w:tcPr>
          <w:p>
            <w:r/>
            <w:r>
              <w:rPr>
                <w:b/>
                <w:i/>
                <w:strike w:val="0"/>
              </w:rPr>
              <w:t>Does a business owner get visibility of the test they are tagged to, or only their request list?</w:t>
            </w:r>
          </w:p>
        </w:tc>
        <w:tc>
          <w:tcPr>
            <w:tcW w:type="dxa" w:w="1728"/>
          </w:tcPr>
          <w:p>
            <w:r/>
            <w:r>
              <w:rPr>
                <w:b/>
                <w:i/>
                <w:strike w:val="0"/>
              </w:rPr>
              <w:t>No</w:t>
            </w:r>
          </w:p>
        </w:tc>
        <w:tc>
          <w:tcPr>
            <w:tcW w:type="dxa" w:w="1728"/>
          </w:tcPr>
          <w:p>
            <w:r/>
            <w:r>
              <w:rPr>
                <w:b/>
                <w:i/>
                <w:strike w:val="0"/>
                <w:color w:val="CC00CC"/>
              </w:rPr>
              <w:t>RESOLVED 14 Aug 2026 — the business owner reaches a dashboard from the announcement letter link and sees the test plus all their request items. See Section 7.4, FR-133</w:t>
            </w:r>
            <w:r>
              <w:rPr>
                <w:b w:val="0"/>
                <w:i w:val="0"/>
                <w:strike w:val="0"/>
              </w:rPr>
              <w:t xml:space="preserve"> </w:t>
            </w:r>
            <w:r>
              <w:rPr>
                <w:b w:val="0"/>
                <w:i/>
                <w:strike w:val="0"/>
                <w:color w:val="CC00CC"/>
                <w:sz w:val="16"/>
              </w:rPr>
              <w:t xml:space="preserve"> [14 Aug 2026 MOM]</w:t>
            </w:r>
          </w:p>
        </w:tc>
      </w:tr>
      <w:tr>
        <w:tc>
          <w:tcPr>
            <w:tcW w:type="dxa" w:w="1728"/>
          </w:tcPr>
          <w:p>
            <w:r/>
            <w:r>
              <w:rPr>
                <w:b/>
                <w:i/>
                <w:strike w:val="0"/>
              </w:rPr>
              <w:t>EV-01</w:t>
            </w:r>
          </w:p>
        </w:tc>
        <w:tc>
          <w:tcPr>
            <w:tcW w:type="dxa" w:w="1728"/>
          </w:tcPr>
          <w:p>
            <w:r/>
            <w:r>
              <w:rPr>
                <w:b/>
                <w:i/>
                <w:strike w:val="0"/>
              </w:rPr>
              <w:t>Evidence</w:t>
            </w:r>
          </w:p>
        </w:tc>
        <w:tc>
          <w:tcPr>
            <w:tcW w:type="dxa" w:w="1728"/>
          </w:tcPr>
          <w:p>
            <w:r/>
            <w:r>
              <w:rPr>
                <w:b/>
                <w:i/>
                <w:strike w:val="0"/>
              </w:rPr>
              <w:t>What accuracy threshold applies to the AI document-match check, and how is it verified at UAT?</w:t>
            </w:r>
          </w:p>
        </w:tc>
        <w:tc>
          <w:tcPr>
            <w:tcW w:type="dxa" w:w="1728"/>
          </w:tcPr>
          <w:p>
            <w:r/>
            <w:r>
              <w:rPr>
                <w:b/>
                <w:i/>
                <w:strike w:val="0"/>
              </w:rPr>
              <w:t>Yes</w:t>
            </w:r>
          </w:p>
        </w:tc>
        <w:tc>
          <w:tcPr>
            <w:tcW w:type="dxa" w:w="1728"/>
          </w:tcPr>
          <w:p>
            <w:r/>
            <w:r>
              <w:rPr>
                <w:b/>
                <w:i/>
                <w:strike w:val="0"/>
                <w:color w:val="7030A0"/>
              </w:rPr>
              <w:t>New in v5.0 — see Section 7.4. Do not assume the Section 6.2 85% figure carries over.</w:t>
            </w:r>
            <w:r>
              <w:rPr>
                <w:b w:val="0"/>
                <w:i w:val="0"/>
                <w:strike w:val="0"/>
              </w:rPr>
              <w:t xml:space="preserve"> </w:t>
            </w:r>
            <w:r>
              <w:rPr>
                <w:b w:val="0"/>
                <w:i/>
                <w:strike w:val="0"/>
                <w:color w:val="7030A0"/>
                <w:sz w:val="16"/>
              </w:rPr>
              <w:t xml:space="preserve"> [Aug 2026 client MOM]</w:t>
            </w:r>
          </w:p>
        </w:tc>
      </w:tr>
      <w:tr>
        <w:tc>
          <w:tcPr>
            <w:tcW w:type="dxa" w:w="1728"/>
          </w:tcPr>
          <w:p>
            <w:r/>
            <w:r>
              <w:rPr>
                <w:b/>
                <w:i/>
                <w:strike w:val="0"/>
              </w:rPr>
              <w:t>EV-02</w:t>
            </w:r>
          </w:p>
        </w:tc>
        <w:tc>
          <w:tcPr>
            <w:tcW w:type="dxa" w:w="1728"/>
          </w:tcPr>
          <w:p>
            <w:r/>
            <w:r>
              <w:rPr>
                <w:b/>
                <w:i/>
                <w:strike w:val="0"/>
              </w:rPr>
              <w:t>Evidence</w:t>
            </w:r>
          </w:p>
        </w:tc>
        <w:tc>
          <w:tcPr>
            <w:tcW w:type="dxa" w:w="1728"/>
          </w:tcPr>
          <w:p>
            <w:r/>
            <w:r>
              <w:rPr>
                <w:b/>
                <w:i/>
                <w:strike w:val="0"/>
                <w:color w:val="C00000"/>
              </w:rPr>
              <w:t>What defines a "critical control" for the purpose of mandatory human verification? The DORA Critical / Important classification is no longer available — FR-72 is retired in v9.0 — so the SA-10 priority is the only mechanism the platform still carries. Confirm it.</w:t>
            </w:r>
            <w:r>
              <w:rPr>
                <w:b w:val="0"/>
                <w:i w:val="0"/>
                <w:strike w:val="0"/>
              </w:rPr>
              <w:t xml:space="preserve"> </w:t>
            </w:r>
            <w:r>
              <w:rPr>
                <w:b w:val="0"/>
                <w:i/>
                <w:strike w:val="0"/>
                <w:color w:val="C00000"/>
                <w:sz w:val="16"/>
              </w:rPr>
              <w:t xml:space="preserve"> [Sep 2026 scope decision]</w:t>
            </w:r>
          </w:p>
        </w:tc>
        <w:tc>
          <w:tcPr>
            <w:tcW w:type="dxa" w:w="1728"/>
          </w:tcPr>
          <w:p>
            <w:r/>
            <w:r>
              <w:rPr>
                <w:b/>
                <w:i/>
                <w:strike w:val="0"/>
              </w:rPr>
              <w:t>Yes</w:t>
            </w:r>
          </w:p>
        </w:tc>
        <w:tc>
          <w:tcPr>
            <w:tcW w:type="dxa" w:w="1728"/>
          </w:tcPr>
          <w:p>
            <w:r/>
            <w:r>
              <w:rPr>
                <w:b/>
                <w:i/>
                <w:strike w:val="0"/>
                <w:color w:val="C00000"/>
              </w:rPr>
              <w:t>NARROWED in v9.0 to a single candidate mechanism. Still open.</w:t>
            </w:r>
            <w:r>
              <w:rPr>
                <w:b w:val="0"/>
                <w:i w:val="0"/>
                <w:strike w:val="0"/>
              </w:rPr>
              <w:t xml:space="preserve"> </w:t>
            </w:r>
            <w:r>
              <w:rPr>
                <w:b w:val="0"/>
                <w:i/>
                <w:strike w:val="0"/>
                <w:color w:val="C00000"/>
                <w:sz w:val="16"/>
              </w:rPr>
              <w:t xml:space="preserve"> [Sep 2026 scope decision]</w:t>
            </w:r>
          </w:p>
        </w:tc>
      </w:tr>
      <w:tr>
        <w:tc>
          <w:tcPr>
            <w:tcW w:type="dxa" w:w="1728"/>
          </w:tcPr>
          <w:p>
            <w:r/>
            <w:r>
              <w:rPr>
                <w:b/>
                <w:i/>
                <w:strike w:val="0"/>
              </w:rPr>
              <w:t>EV-03</w:t>
            </w:r>
          </w:p>
        </w:tc>
        <w:tc>
          <w:tcPr>
            <w:tcW w:type="dxa" w:w="1728"/>
          </w:tcPr>
          <w:p>
            <w:r/>
            <w:r>
              <w:rPr>
                <w:b/>
                <w:i/>
                <w:strike w:val="0"/>
              </w:rPr>
              <w:t>Evidence</w:t>
            </w:r>
          </w:p>
        </w:tc>
        <w:tc>
          <w:tcPr>
            <w:tcW w:type="dxa" w:w="1728"/>
          </w:tcPr>
          <w:p>
            <w:r/>
            <w:r>
              <w:rPr>
                <w:b/>
                <w:i/>
                <w:strike w:val="0"/>
              </w:rPr>
              <w:t>How does a business unit owner without a platform login upload evidence — new login-bearing role, or scoped expiring upload link?</w:t>
            </w:r>
          </w:p>
        </w:tc>
        <w:tc>
          <w:tcPr>
            <w:tcW w:type="dxa" w:w="1728"/>
          </w:tcPr>
          <w:p>
            <w:r/>
            <w:r>
              <w:rPr>
                <w:b/>
                <w:i/>
                <w:strike w:val="0"/>
              </w:rPr>
              <w:t>No — closed</w:t>
            </w:r>
          </w:p>
        </w:tc>
        <w:tc>
          <w:tcPr>
            <w:tcW w:type="dxa" w:w="1728"/>
          </w:tcPr>
          <w:p>
            <w:r/>
            <w:r>
              <w:rPr>
                <w:b/>
                <w:i/>
                <w:strike w:val="0"/>
                <w:color w:val="C00000"/>
              </w:rPr>
              <w:t>RESOLVED Sep 2026: a scoped, expiring link tied to one test and one business unit. No login-bearing business-owner role and no dashboard. See FR-133 as revised.</w:t>
            </w:r>
            <w:r>
              <w:rPr>
                <w:b w:val="0"/>
                <w:i w:val="0"/>
                <w:strike w:val="0"/>
              </w:rPr>
              <w:t xml:space="preserve"> </w:t>
            </w:r>
            <w:r>
              <w:rPr>
                <w:b w:val="0"/>
                <w:i/>
                <w:strike w:val="0"/>
                <w:color w:val="C00000"/>
                <w:sz w:val="16"/>
              </w:rPr>
              <w:t xml:space="preserve"> [Sep 2026 scope decision]</w:t>
            </w:r>
          </w:p>
        </w:tc>
      </w:tr>
      <w:tr>
        <w:tc>
          <w:tcPr>
            <w:tcW w:type="dxa" w:w="1728"/>
          </w:tcPr>
          <w:p>
            <w:r/>
            <w:r>
              <w:rPr>
                <w:b/>
                <w:i/>
                <w:strike w:val="0"/>
              </w:rPr>
              <w:t>EV-04</w:t>
            </w:r>
          </w:p>
        </w:tc>
        <w:tc>
          <w:tcPr>
            <w:tcW w:type="dxa" w:w="1728"/>
          </w:tcPr>
          <w:p>
            <w:r/>
            <w:r>
              <w:rPr>
                <w:b/>
                <w:i/>
                <w:strike w:val="0"/>
              </w:rPr>
              <w:t>Evidence</w:t>
            </w:r>
          </w:p>
        </w:tc>
        <w:tc>
          <w:tcPr>
            <w:tcW w:type="dxa" w:w="1728"/>
          </w:tcPr>
          <w:p>
            <w:r/>
            <w:r>
              <w:rPr>
                <w:b/>
                <w:i/>
                <w:strike w:val="0"/>
              </w:rPr>
              <w:t>Who sets the due date on a request item — platform default per test type, or the CCO at issue?</w:t>
            </w:r>
          </w:p>
        </w:tc>
        <w:tc>
          <w:tcPr>
            <w:tcW w:type="dxa" w:w="1728"/>
          </w:tcPr>
          <w:p>
            <w:r/>
            <w:r>
              <w:rPr>
                <w:b/>
                <w:i/>
                <w:strike w:val="0"/>
              </w:rPr>
              <w:t>No</w:t>
            </w:r>
          </w:p>
        </w:tc>
        <w:tc>
          <w:tcPr>
            <w:tcW w:type="dxa" w:w="1728"/>
          </w:tcPr>
          <w:p>
            <w:r/>
            <w:r>
              <w:rPr>
                <w:b/>
                <w:i/>
                <w:strike w:val="0"/>
                <w:color w:val="008080"/>
              </w:rPr>
              <w:t>RESOLVED 11 Aug 2026 — two-week default, CCO-adjustable, deviations recorded. See Section 7.4, FR-109</w:t>
            </w:r>
            <w:r>
              <w:rPr>
                <w:b w:val="0"/>
                <w:i w:val="0"/>
                <w:strike w:val="0"/>
              </w:rPr>
              <w:t xml:space="preserve"> </w:t>
            </w:r>
            <w:r>
              <w:rPr>
                <w:b w:val="0"/>
                <w:i/>
                <w:strike w:val="0"/>
                <w:color w:val="008080"/>
                <w:sz w:val="16"/>
              </w:rPr>
              <w:t xml:space="preserve"> [11 Aug 2026 MOM]</w:t>
            </w:r>
          </w:p>
        </w:tc>
      </w:tr>
      <w:tr>
        <w:tc>
          <w:tcPr>
            <w:tcW w:type="dxa" w:w="1728"/>
          </w:tcPr>
          <w:p>
            <w:r/>
            <w:r>
              <w:rPr>
                <w:b/>
                <w:i/>
                <w:strike w:val="0"/>
              </w:rPr>
              <w:t>EV-05</w:t>
            </w:r>
          </w:p>
        </w:tc>
        <w:tc>
          <w:tcPr>
            <w:tcW w:type="dxa" w:w="1728"/>
          </w:tcPr>
          <w:p>
            <w:r/>
            <w:r>
              <w:rPr>
                <w:b/>
                <w:i/>
                <w:strike w:val="0"/>
              </w:rPr>
              <w:t>Evidence</w:t>
            </w:r>
          </w:p>
        </w:tc>
        <w:tc>
          <w:tcPr>
            <w:tcW w:type="dxa" w:w="1728"/>
          </w:tcPr>
          <w:p>
            <w:r/>
            <w:r>
              <w:rPr>
                <w:b/>
                <w:i/>
                <w:strike w:val="0"/>
              </w:rPr>
              <w:t>Is the announcement letter a fixed template, per-firm configurable, or free text?</w:t>
            </w:r>
          </w:p>
        </w:tc>
        <w:tc>
          <w:tcPr>
            <w:tcW w:type="dxa" w:w="1728"/>
          </w:tcPr>
          <w:p>
            <w:r/>
            <w:r>
              <w:rPr>
                <w:b/>
                <w:i/>
                <w:strike w:val="0"/>
              </w:rPr>
              <w:t>No</w:t>
            </w:r>
          </w:p>
        </w:tc>
        <w:tc>
          <w:tcPr>
            <w:tcW w:type="dxa" w:w="1728"/>
          </w:tcPr>
          <w:p>
            <w:r/>
            <w:r>
              <w:rPr>
                <w:b/>
                <w:i/>
                <w:strike w:val="0"/>
                <w:color w:val="7030A0"/>
              </w:rPr>
              <w:t>New in v5.0 — see Section 7.4</w:t>
            </w:r>
            <w:r>
              <w:rPr>
                <w:b w:val="0"/>
                <w:i w:val="0"/>
                <w:strike w:val="0"/>
              </w:rPr>
              <w:t xml:space="preserve"> </w:t>
            </w:r>
            <w:r>
              <w:rPr>
                <w:b w:val="0"/>
                <w:i/>
                <w:strike w:val="0"/>
                <w:color w:val="7030A0"/>
                <w:sz w:val="16"/>
              </w:rPr>
              <w:t xml:space="preserve"> [Aug 2026 client MOM]</w:t>
            </w:r>
          </w:p>
        </w:tc>
      </w:tr>
      <w:tr>
        <w:tc>
          <w:tcPr>
            <w:tcW w:type="dxa" w:w="1728"/>
          </w:tcPr>
          <w:p>
            <w:r/>
            <w:r>
              <w:rPr>
                <w:b/>
                <w:i/>
                <w:strike w:val="0"/>
              </w:rPr>
              <w:t>EV-06</w:t>
            </w:r>
          </w:p>
        </w:tc>
        <w:tc>
          <w:tcPr>
            <w:tcW w:type="dxa" w:w="1728"/>
          </w:tcPr>
          <w:p>
            <w:r/>
            <w:r>
              <w:rPr>
                <w:b/>
                <w:i/>
                <w:strike w:val="0"/>
              </w:rPr>
              <w:t>Evidence</w:t>
            </w:r>
          </w:p>
        </w:tc>
        <w:tc>
          <w:tcPr>
            <w:tcW w:type="dxa" w:w="1728"/>
          </w:tcPr>
          <w:p>
            <w:r/>
            <w:r>
              <w:rPr>
                <w:b/>
                <w:i/>
                <w:strike w:val="0"/>
              </w:rPr>
              <w:t>Does persistent evidence-collection delay automatically raise a Finding, or stay a management metric?</w:t>
            </w:r>
          </w:p>
        </w:tc>
        <w:tc>
          <w:tcPr>
            <w:tcW w:type="dxa" w:w="1728"/>
          </w:tcPr>
          <w:p>
            <w:r/>
            <w:r>
              <w:rPr>
                <w:b/>
                <w:i/>
                <w:strike w:val="0"/>
              </w:rPr>
              <w:t>No</w:t>
            </w:r>
          </w:p>
        </w:tc>
        <w:tc>
          <w:tcPr>
            <w:tcW w:type="dxa" w:w="1728"/>
          </w:tcPr>
          <w:p>
            <w:r/>
            <w:r>
              <w:rPr>
                <w:b/>
                <w:i/>
                <w:strike w:val="0"/>
                <w:color w:val="7030A0"/>
              </w:rPr>
              <w:t>New in v5.0 — see Section 7.4</w:t>
            </w:r>
            <w:r>
              <w:rPr>
                <w:b w:val="0"/>
                <w:i w:val="0"/>
                <w:strike w:val="0"/>
              </w:rPr>
              <w:t xml:space="preserve"> </w:t>
            </w:r>
            <w:r>
              <w:rPr>
                <w:b w:val="0"/>
                <w:i/>
                <w:strike w:val="0"/>
                <w:color w:val="7030A0"/>
                <w:sz w:val="16"/>
              </w:rPr>
              <w:t xml:space="preserve"> [Aug 2026 client MOM]</w:t>
            </w:r>
          </w:p>
        </w:tc>
      </w:tr>
      <w:tr>
        <w:tc>
          <w:tcPr>
            <w:tcW w:type="dxa" w:w="1728"/>
          </w:tcPr>
          <w:p>
            <w:r/>
            <w:r>
              <w:rPr>
                <w:b/>
                <w:i/>
                <w:strike w:val="0"/>
              </w:rPr>
              <w:t>TS-05</w:t>
            </w:r>
          </w:p>
        </w:tc>
        <w:tc>
          <w:tcPr>
            <w:tcW w:type="dxa" w:w="1728"/>
          </w:tcPr>
          <w:p>
            <w:r/>
            <w:r>
              <w:rPr>
                <w:b/>
                <w:i/>
                <w:strike w:val="0"/>
              </w:rPr>
              <w:t>Testing</w:t>
            </w:r>
          </w:p>
        </w:tc>
        <w:tc>
          <w:tcPr>
            <w:tcW w:type="dxa" w:w="1728"/>
          </w:tcPr>
          <w:p>
            <w:r/>
            <w:r>
              <w:rPr>
                <w:b/>
                <w:i/>
                <w:strike w:val="0"/>
              </w:rPr>
              <w:t>Under article fan-out, who records the formal test result — a nominated lead among the testers, the CCO, or one result per article rolled up?</w:t>
            </w:r>
          </w:p>
        </w:tc>
        <w:tc>
          <w:tcPr>
            <w:tcW w:type="dxa" w:w="1728"/>
          </w:tcPr>
          <w:p>
            <w:r/>
            <w:r>
              <w:rPr>
                <w:b/>
                <w:i/>
                <w:strike w:val="0"/>
              </w:rPr>
              <w:t>No — closed</w:t>
            </w:r>
          </w:p>
        </w:tc>
        <w:tc>
          <w:tcPr>
            <w:tcW w:type="dxa" w:w="1728"/>
          </w:tcPr>
          <w:p>
            <w:r/>
            <w:r>
              <w:rPr>
                <w:b/>
                <w:i/>
                <w:strike w:val="0"/>
                <w:color w:val="7B3F00"/>
              </w:rPr>
              <w:t>RESOLVED in v11.0: nobody records a test result. Each requirement carries its own result recorded by its own Lead Tester, and the test's result is rolled up from them — any Fail makes the test a Fail, else any Observation an Observation, else a Pass — and confirmed by the CCO at review. See FR-144. Closes GAP-15 with it.</w:t>
            </w:r>
            <w:r>
              <w:rPr>
                <w:b w:val="0"/>
                <w:i w:val="0"/>
                <w:strike w:val="0"/>
              </w:rPr>
              <w:t xml:space="preserve"> </w:t>
            </w:r>
            <w:r>
              <w:rPr>
                <w:b w:val="0"/>
                <w:i/>
                <w:strike w:val="0"/>
                <w:color w:val="7B3F00"/>
                <w:sz w:val="16"/>
              </w:rPr>
              <w:t xml:space="preserve"> [Sep 2026 test model]</w:t>
            </w:r>
          </w:p>
        </w:tc>
      </w:tr>
      <w:tr>
        <w:tc>
          <w:tcPr>
            <w:tcW w:type="dxa" w:w="1728"/>
          </w:tcPr>
          <w:p>
            <w:r/>
            <w:r>
              <w:rPr>
                <w:b/>
                <w:i/>
                <w:strike w:val="0"/>
              </w:rPr>
              <w:t>TS-06</w:t>
            </w:r>
          </w:p>
        </w:tc>
        <w:tc>
          <w:tcPr>
            <w:tcW w:type="dxa" w:w="1728"/>
          </w:tcPr>
          <w:p>
            <w:r/>
            <w:r>
              <w:rPr>
                <w:b/>
                <w:i/>
                <w:strike w:val="0"/>
              </w:rPr>
              <w:t>Testing</w:t>
            </w:r>
          </w:p>
        </w:tc>
        <w:tc>
          <w:tcPr>
            <w:tcW w:type="dxa" w:w="1728"/>
          </w:tcPr>
          <w:p>
            <w:r/>
            <w:r>
              <w:rPr>
                <w:b/>
                <w:i/>
                <w:strike w:val="0"/>
              </w:rPr>
              <w:t>Two testers on adjacent articles of one test each raise a finding — one finding or two? Affects repeat-finding detection and risk rating.</w:t>
            </w:r>
          </w:p>
        </w:tc>
        <w:tc>
          <w:tcPr>
            <w:tcW w:type="dxa" w:w="1728"/>
          </w:tcPr>
          <w:p>
            <w:r/>
            <w:r>
              <w:rPr>
                <w:b/>
                <w:i/>
                <w:strike w:val="0"/>
              </w:rPr>
              <w:t>No — closed</w:t>
            </w:r>
          </w:p>
        </w:tc>
        <w:tc>
          <w:tcPr>
            <w:tcW w:type="dxa" w:w="1728"/>
          </w:tcPr>
          <w:p>
            <w:r/>
            <w:r>
              <w:rPr>
                <w:b/>
                <w:i/>
                <w:strike w:val="0"/>
                <w:color w:val="7B3F00"/>
              </w:rPr>
              <w:t>RESOLVED in v11.0: two. A Finding is raised against the requirement it was found in, and two requirements are two separate obligations separately assessed. Repeat-finding detection (FR-46) is what surfaces a shared root cause; the Findings stay distinct. See FR-39 as revised.</w:t>
            </w:r>
            <w:r>
              <w:rPr>
                <w:b w:val="0"/>
                <w:i w:val="0"/>
                <w:strike w:val="0"/>
              </w:rPr>
              <w:t xml:space="preserve"> </w:t>
            </w:r>
            <w:r>
              <w:rPr>
                <w:b w:val="0"/>
                <w:i/>
                <w:strike w:val="0"/>
                <w:color w:val="7B3F00"/>
                <w:sz w:val="16"/>
              </w:rPr>
              <w:t xml:space="preserve"> [Sep 2026 test model]</w:t>
            </w:r>
          </w:p>
        </w:tc>
      </w:tr>
      <w:tr>
        <w:tc>
          <w:tcPr>
            <w:tcW w:type="dxa" w:w="1728"/>
          </w:tcPr>
          <w:p>
            <w:r/>
            <w:r>
              <w:rPr>
                <w:b/>
                <w:i/>
                <w:strike w:val="0"/>
              </w:rPr>
              <w:t>TS-07</w:t>
            </w:r>
          </w:p>
        </w:tc>
        <w:tc>
          <w:tcPr>
            <w:tcW w:type="dxa" w:w="1728"/>
          </w:tcPr>
          <w:p>
            <w:r/>
            <w:r>
              <w:rPr>
                <w:b/>
                <w:i/>
                <w:strike w:val="0"/>
              </w:rPr>
              <w:t>Testing</w:t>
            </w:r>
          </w:p>
        </w:tc>
        <w:tc>
          <w:tcPr>
            <w:tcW w:type="dxa" w:w="1728"/>
          </w:tcPr>
          <w:p>
            <w:r/>
            <w:r>
              <w:rPr>
                <w:b/>
                <w:i/>
                <w:strike w:val="0"/>
              </w:rPr>
              <w:t>Is every Requirement ID mapped down to its constituent articles? Article scoping and fan-out both depend on it.</w:t>
            </w:r>
          </w:p>
        </w:tc>
        <w:tc>
          <w:tcPr>
            <w:tcW w:type="dxa" w:w="1728"/>
          </w:tcPr>
          <w:p>
            <w:r/>
            <w:r>
              <w:rPr>
                <w:b/>
                <w:i/>
                <w:strike w:val="0"/>
              </w:rPr>
              <w:t>No — closed</w:t>
            </w:r>
          </w:p>
        </w:tc>
        <w:tc>
          <w:tcPr>
            <w:tcW w:type="dxa" w:w="1728"/>
          </w:tcPr>
          <w:p>
            <w:r/>
            <w:r>
              <w:rPr>
                <w:b/>
                <w:i/>
                <w:strike w:val="0"/>
                <w:color w:val="7B3F00"/>
              </w:rPr>
              <w:t>RESOLVED in v11.0 by construction: articles are a mandatory multi-select on the requirement at authoring time (SA-29), tagged to paragraph level, so a requirement cannot exist without its articles. What was a data-readiness question becomes a validation rule. The article tags are also now the only route from a regulatory change to the affected tests, since the central Requirement ID library is retired (SA-03, SA-30) — which is why they are mandatory rather than encouraged.</w:t>
            </w:r>
            <w:r>
              <w:rPr>
                <w:b w:val="0"/>
                <w:i w:val="0"/>
                <w:strike w:val="0"/>
              </w:rPr>
              <w:t xml:space="preserve"> </w:t>
            </w:r>
            <w:r>
              <w:rPr>
                <w:b w:val="0"/>
                <w:i/>
                <w:strike w:val="0"/>
                <w:color w:val="7B3F00"/>
                <w:sz w:val="16"/>
              </w:rPr>
              <w:t xml:space="preserve"> [Sep 2026 test model]</w:t>
            </w:r>
          </w:p>
        </w:tc>
      </w:tr>
      <w:tr>
        <w:tc>
          <w:tcPr>
            <w:tcW w:type="dxa" w:w="1728"/>
          </w:tcPr>
          <w:p>
            <w:r/>
            <w:r>
              <w:rPr>
                <w:b/>
                <w:i/>
                <w:strike w:val="0"/>
              </w:rPr>
              <w:t>EV-07</w:t>
            </w:r>
          </w:p>
        </w:tc>
        <w:tc>
          <w:tcPr>
            <w:tcW w:type="dxa" w:w="1728"/>
          </w:tcPr>
          <w:p>
            <w:r/>
            <w:r>
              <w:rPr>
                <w:b/>
                <w:i/>
                <w:strike w:val="0"/>
              </w:rPr>
              <w:t>Evidence</w:t>
            </w:r>
          </w:p>
        </w:tc>
        <w:tc>
          <w:tcPr>
            <w:tcW w:type="dxa" w:w="1728"/>
          </w:tcPr>
          <w:p>
            <w:r/>
            <w:r>
              <w:rPr>
                <w:b/>
                <w:i/>
                <w:strike w:val="0"/>
              </w:rPr>
              <w:t>Is the follow-up request portal in scope? The client asked for a development-effort assessment before deciding.</w:t>
            </w:r>
          </w:p>
        </w:tc>
        <w:tc>
          <w:tcPr>
            <w:tcW w:type="dxa" w:w="1728"/>
          </w:tcPr>
          <w:p>
            <w:r/>
            <w:r>
              <w:rPr>
                <w:b/>
                <w:i/>
                <w:strike w:val="0"/>
              </w:rPr>
              <w:t>Yes</w:t>
            </w:r>
          </w:p>
        </w:tc>
        <w:tc>
          <w:tcPr>
            <w:tcW w:type="dxa" w:w="1728"/>
          </w:tcPr>
          <w:p>
            <w:r/>
            <w:r>
              <w:rPr>
                <w:b/>
                <w:i/>
                <w:strike w:val="0"/>
                <w:color w:val="008080"/>
              </w:rPr>
              <w:t>New in v6.0 — see Section 7.4, FR-111. Scope decision, not a design question</w:t>
            </w:r>
            <w:r>
              <w:rPr>
                <w:b w:val="0"/>
                <w:i w:val="0"/>
                <w:strike w:val="0"/>
              </w:rPr>
              <w:t xml:space="preserve"> </w:t>
            </w:r>
            <w:r>
              <w:rPr>
                <w:b w:val="0"/>
                <w:i/>
                <w:strike w:val="0"/>
                <w:color w:val="008080"/>
                <w:sz w:val="16"/>
              </w:rPr>
              <w:t xml:space="preserve"> [11 Aug 2026 MOM]</w:t>
            </w:r>
          </w:p>
        </w:tc>
      </w:tr>
      <w:tr>
        <w:tc>
          <w:tcPr>
            <w:tcW w:type="dxa" w:w="1728"/>
          </w:tcPr>
          <w:p>
            <w:r/>
            <w:r>
              <w:rPr>
                <w:b/>
                <w:i/>
                <w:strike w:val="0"/>
              </w:rPr>
              <w:t>EV-08</w:t>
            </w:r>
          </w:p>
        </w:tc>
        <w:tc>
          <w:tcPr>
            <w:tcW w:type="dxa" w:w="1728"/>
          </w:tcPr>
          <w:p>
            <w:r/>
            <w:r>
              <w:rPr>
                <w:b/>
                <w:i/>
                <w:strike w:val="0"/>
              </w:rPr>
              <w:t>Evidence</w:t>
            </w:r>
          </w:p>
        </w:tc>
        <w:tc>
          <w:tcPr>
            <w:tcW w:type="dxa" w:w="1728"/>
          </w:tcPr>
          <w:p>
            <w:r/>
            <w:r>
              <w:rPr>
                <w:b/>
                <w:i/>
                <w:strike w:val="0"/>
              </w:rPr>
              <w:t>What accuracy threshold applies to the FR-112 policy-to-regulation gap identification, and how is it verified at UAT?</w:t>
            </w:r>
          </w:p>
        </w:tc>
        <w:tc>
          <w:tcPr>
            <w:tcW w:type="dxa" w:w="1728"/>
          </w:tcPr>
          <w:p>
            <w:r/>
            <w:r>
              <w:rPr>
                <w:b/>
                <w:i/>
                <w:strike w:val="0"/>
              </w:rPr>
              <w:t>Yes</w:t>
            </w:r>
          </w:p>
        </w:tc>
        <w:tc>
          <w:tcPr>
            <w:tcW w:type="dxa" w:w="1728"/>
          </w:tcPr>
          <w:p>
            <w:r/>
            <w:r>
              <w:rPr>
                <w:b/>
                <w:i/>
                <w:strike w:val="0"/>
                <w:color w:val="008080"/>
              </w:rPr>
              <w:t>New in v6.0 — see Section 7.5. As with EV-01, the Section 6.2 85% figure does not automatically carry over</w:t>
            </w:r>
            <w:r>
              <w:rPr>
                <w:b w:val="0"/>
                <w:i w:val="0"/>
                <w:strike w:val="0"/>
              </w:rPr>
              <w:t xml:space="preserve"> </w:t>
            </w:r>
            <w:r>
              <w:rPr>
                <w:b w:val="0"/>
                <w:i/>
                <w:strike w:val="0"/>
                <w:color w:val="008080"/>
                <w:sz w:val="16"/>
              </w:rPr>
              <w:t xml:space="preserve"> [11 Aug 2026 MOM]</w:t>
            </w:r>
          </w:p>
        </w:tc>
      </w:tr>
      <w:tr>
        <w:tc>
          <w:tcPr>
            <w:tcW w:type="dxa" w:w="1728"/>
          </w:tcPr>
          <w:p>
            <w:r/>
            <w:r>
              <w:rPr>
                <w:b/>
                <w:i/>
                <w:strike w:val="0"/>
              </w:rPr>
              <w:t>UI-01</w:t>
            </w:r>
          </w:p>
        </w:tc>
        <w:tc>
          <w:tcPr>
            <w:tcW w:type="dxa" w:w="1728"/>
          </w:tcPr>
          <w:p>
            <w:r/>
            <w:r>
              <w:rPr>
                <w:b/>
                <w:i/>
                <w:strike w:val="0"/>
              </w:rPr>
              <w:t>Design</w:t>
            </w:r>
          </w:p>
        </w:tc>
        <w:tc>
          <w:tcPr>
            <w:tcW w:type="dxa" w:w="1728"/>
          </w:tcPr>
          <w:p>
            <w:r/>
            <w:r>
              <w:rPr>
                <w:b/>
                <w:i/>
                <w:strike w:val="0"/>
              </w:rPr>
              <w:t>Are the wireframes reviewed on 11 Aug frozen as the design baseline, or still open to revision during UI design?</w:t>
            </w:r>
          </w:p>
        </w:tc>
        <w:tc>
          <w:tcPr>
            <w:tcW w:type="dxa" w:w="1728"/>
          </w:tcPr>
          <w:p>
            <w:r/>
            <w:r>
              <w:rPr>
                <w:b/>
                <w:i/>
                <w:strike w:val="0"/>
              </w:rPr>
              <w:t>No</w:t>
            </w:r>
          </w:p>
        </w:tc>
        <w:tc>
          <w:tcPr>
            <w:tcW w:type="dxa" w:w="1728"/>
          </w:tcPr>
          <w:p>
            <w:r/>
            <w:r>
              <w:rPr>
                <w:b/>
                <w:i/>
                <w:strike w:val="0"/>
                <w:color w:val="008080"/>
              </w:rPr>
              <w:t>New in v6.0 — see Section 9.1</w:t>
            </w:r>
            <w:r>
              <w:rPr>
                <w:b w:val="0"/>
                <w:i w:val="0"/>
                <w:strike w:val="0"/>
              </w:rPr>
              <w:t xml:space="preserve"> </w:t>
            </w:r>
            <w:r>
              <w:rPr>
                <w:b w:val="0"/>
                <w:i/>
                <w:strike w:val="0"/>
                <w:color w:val="008080"/>
                <w:sz w:val="16"/>
              </w:rPr>
              <w:t xml:space="preserve"> [11 Aug 2026 MOM]</w:t>
            </w:r>
          </w:p>
        </w:tc>
      </w:tr>
      <w:tr>
        <w:tc>
          <w:tcPr>
            <w:tcW w:type="dxa" w:w="1728"/>
          </w:tcPr>
          <w:p>
            <w:r/>
            <w:r>
              <w:rPr>
                <w:b/>
                <w:i/>
                <w:strike w:val="0"/>
              </w:rPr>
              <w:t>UI-02</w:t>
            </w:r>
          </w:p>
        </w:tc>
        <w:tc>
          <w:tcPr>
            <w:tcW w:type="dxa" w:w="1728"/>
          </w:tcPr>
          <w:p>
            <w:r/>
            <w:r>
              <w:rPr>
                <w:b/>
                <w:i/>
                <w:strike w:val="0"/>
              </w:rPr>
              <w:t>Design</w:t>
            </w:r>
          </w:p>
        </w:tc>
        <w:tc>
          <w:tcPr>
            <w:tcW w:type="dxa" w:w="1728"/>
          </w:tcPr>
          <w:p>
            <w:r/>
            <w:r>
              <w:rPr>
                <w:b/>
                <w:i/>
                <w:strike w:val="0"/>
              </w:rPr>
              <w:t>Is the calendar view writable (drag to reschedule) or read-only?</w:t>
            </w:r>
          </w:p>
        </w:tc>
        <w:tc>
          <w:tcPr>
            <w:tcW w:type="dxa" w:w="1728"/>
          </w:tcPr>
          <w:p>
            <w:r/>
            <w:r>
              <w:rPr>
                <w:b/>
                <w:i/>
                <w:strike w:val="0"/>
              </w:rPr>
              <w:t>No</w:t>
            </w:r>
          </w:p>
        </w:tc>
        <w:tc>
          <w:tcPr>
            <w:tcW w:type="dxa" w:w="1728"/>
          </w:tcPr>
          <w:p>
            <w:r/>
            <w:r>
              <w:rPr>
                <w:b/>
                <w:i/>
                <w:strike w:val="0"/>
                <w:color w:val="008080"/>
              </w:rPr>
              <w:t>New in v6.0 — see Section 9.1, FR-114</w:t>
            </w:r>
            <w:r>
              <w:rPr>
                <w:b w:val="0"/>
                <w:i w:val="0"/>
                <w:strike w:val="0"/>
              </w:rPr>
              <w:t xml:space="preserve"> </w:t>
            </w:r>
            <w:r>
              <w:rPr>
                <w:b w:val="0"/>
                <w:i/>
                <w:strike w:val="0"/>
                <w:color w:val="008080"/>
                <w:sz w:val="16"/>
              </w:rPr>
              <w:t xml:space="preserve"> [11 Aug 2026 MOM]</w:t>
            </w:r>
          </w:p>
        </w:tc>
      </w:tr>
      <w:tr>
        <w:tc>
          <w:tcPr>
            <w:tcW w:type="dxa" w:w="1728"/>
          </w:tcPr>
          <w:p>
            <w:r/>
            <w:r>
              <w:rPr>
                <w:b/>
                <w:i/>
                <w:strike w:val="0"/>
              </w:rPr>
              <w:t>ON-01</w:t>
            </w:r>
          </w:p>
        </w:tc>
        <w:tc>
          <w:tcPr>
            <w:tcW w:type="dxa" w:w="1728"/>
          </w:tcPr>
          <w:p>
            <w:r/>
            <w:r>
              <w:rPr>
                <w:b/>
                <w:i/>
                <w:strike w:val="0"/>
              </w:rPr>
              <w:t>Onboarding</w:t>
            </w:r>
          </w:p>
        </w:tc>
        <w:tc>
          <w:tcPr>
            <w:tcW w:type="dxa" w:w="1728"/>
          </w:tcPr>
          <w:p>
            <w:r/>
            <w:r>
              <w:rPr>
                <w:b/>
                <w:i/>
                <w:strike w:val="0"/>
              </w:rPr>
              <w:t>Who is the merchant of record when a firm pays through the platform — Synergy or SayOne? Who invoices, handles VAT, and issues refunds? CC-06 makes Synergy the direct biller.</w:t>
            </w:r>
          </w:p>
        </w:tc>
        <w:tc>
          <w:tcPr>
            <w:tcW w:type="dxa" w:w="1728"/>
          </w:tcPr>
          <w:p>
            <w:r/>
            <w:r>
              <w:rPr>
                <w:b/>
                <w:i/>
                <w:strike w:val="0"/>
              </w:rPr>
              <w:t>Yes</w:t>
            </w:r>
          </w:p>
        </w:tc>
        <w:tc>
          <w:tcPr>
            <w:tcW w:type="dxa" w:w="1728"/>
          </w:tcPr>
          <w:p>
            <w:r/>
            <w:r>
              <w:rPr>
                <w:b/>
                <w:i/>
                <w:strike w:val="0"/>
                <w:color w:val="843C0C"/>
              </w:rPr>
              <w:t>New in v7.0 — see Section 5.7 and Section 14, CC-06. Contract question, blocks the payment estimate</w:t>
            </w:r>
            <w:r>
              <w:rPr>
                <w:b w:val="0"/>
                <w:i w:val="0"/>
                <w:strike w:val="0"/>
              </w:rPr>
              <w:t xml:space="preserve"> </w:t>
            </w:r>
            <w:r>
              <w:rPr>
                <w:b w:val="0"/>
                <w:i/>
                <w:strike w:val="0"/>
                <w:color w:val="843C0C"/>
                <w:sz w:val="16"/>
              </w:rPr>
              <w:t xml:space="preserve"> [Aug 2026 onboarding flow]</w:t>
            </w:r>
          </w:p>
        </w:tc>
      </w:tr>
      <w:tr>
        <w:tc>
          <w:tcPr>
            <w:tcW w:type="dxa" w:w="1728"/>
          </w:tcPr>
          <w:p>
            <w:r/>
            <w:r>
              <w:rPr>
                <w:b/>
                <w:i/>
                <w:strike w:val="0"/>
              </w:rPr>
              <w:t>ON-02</w:t>
            </w:r>
          </w:p>
        </w:tc>
        <w:tc>
          <w:tcPr>
            <w:tcW w:type="dxa" w:w="1728"/>
          </w:tcPr>
          <w:p>
            <w:r/>
            <w:r>
              <w:rPr>
                <w:b/>
                <w:i/>
                <w:strike w:val="0"/>
              </w:rPr>
              <w:t>Onboarding</w:t>
            </w:r>
          </w:p>
        </w:tc>
        <w:tc>
          <w:tcPr>
            <w:tcW w:type="dxa" w:w="1728"/>
          </w:tcPr>
          <w:p>
            <w:r/>
            <w:r>
              <w:rPr>
                <w:b/>
                <w:i/>
                <w:strike w:val="0"/>
              </w:rPr>
              <w:t>Is the onboarding payment a one-off unlock or the first instalment of a subscription the platform manages? What happens on a failed renewal — does a regulated firm lose access to its own evidence?</w:t>
            </w:r>
          </w:p>
        </w:tc>
        <w:tc>
          <w:tcPr>
            <w:tcW w:type="dxa" w:w="1728"/>
          </w:tcPr>
          <w:p>
            <w:r/>
            <w:r>
              <w:rPr>
                <w:b/>
                <w:i/>
                <w:strike w:val="0"/>
              </w:rPr>
              <w:t>Yes</w:t>
            </w:r>
          </w:p>
        </w:tc>
        <w:tc>
          <w:tcPr>
            <w:tcW w:type="dxa" w:w="1728"/>
          </w:tcPr>
          <w:p>
            <w:r/>
            <w:r>
              <w:rPr>
                <w:b/>
                <w:i/>
                <w:strike w:val="0"/>
                <w:color w:val="843C0C"/>
              </w:rPr>
              <w:t>New in v7.0 — see Section 5.7</w:t>
            </w:r>
            <w:r>
              <w:rPr>
                <w:b w:val="0"/>
                <w:i w:val="0"/>
                <w:strike w:val="0"/>
              </w:rPr>
              <w:t xml:space="preserve"> </w:t>
            </w:r>
            <w:r>
              <w:rPr>
                <w:b w:val="0"/>
                <w:i/>
                <w:strike w:val="0"/>
                <w:color w:val="843C0C"/>
                <w:sz w:val="16"/>
              </w:rPr>
              <w:t xml:space="preserve"> [Aug 2026 onboarding flow]</w:t>
            </w:r>
          </w:p>
        </w:tc>
      </w:tr>
      <w:tr>
        <w:tc>
          <w:tcPr>
            <w:tcW w:type="dxa" w:w="1728"/>
          </w:tcPr>
          <w:p>
            <w:r/>
            <w:r>
              <w:rPr>
                <w:b/>
                <w:i/>
                <w:strike w:val="0"/>
              </w:rPr>
              <w:t>ON-03</w:t>
            </w:r>
          </w:p>
        </w:tc>
        <w:tc>
          <w:tcPr>
            <w:tcW w:type="dxa" w:w="1728"/>
          </w:tcPr>
          <w:p>
            <w:r/>
            <w:r>
              <w:rPr>
                <w:b/>
                <w:i/>
                <w:strike w:val="0"/>
              </w:rPr>
              <w:t>Onboarding</w:t>
            </w:r>
          </w:p>
        </w:tc>
        <w:tc>
          <w:tcPr>
            <w:tcW w:type="dxa" w:w="1728"/>
          </w:tcPr>
          <w:p>
            <w:r/>
            <w:r>
              <w:rPr>
                <w:b/>
                <w:i/>
                <w:strike w:val="0"/>
              </w:rPr>
              <w:t>Which payment provider and currencies? Card, SEPA transfer, or invoice-and-transfer? An invoice model means no in-platform checkout and a much smaller build.</w:t>
            </w:r>
          </w:p>
        </w:tc>
        <w:tc>
          <w:tcPr>
            <w:tcW w:type="dxa" w:w="1728"/>
          </w:tcPr>
          <w:p>
            <w:r/>
            <w:r>
              <w:rPr>
                <w:b/>
                <w:i/>
                <w:strike w:val="0"/>
              </w:rPr>
              <w:t>Yes</w:t>
            </w:r>
          </w:p>
        </w:tc>
        <w:tc>
          <w:tcPr>
            <w:tcW w:type="dxa" w:w="1728"/>
          </w:tcPr>
          <w:p>
            <w:r/>
            <w:r>
              <w:rPr>
                <w:b/>
                <w:i/>
                <w:strike w:val="0"/>
                <w:color w:val="843C0C"/>
              </w:rPr>
              <w:t>New in v7.0 — see Section 5.7 and NFR-12</w:t>
            </w:r>
            <w:r>
              <w:rPr>
                <w:b w:val="0"/>
                <w:i w:val="0"/>
                <w:strike w:val="0"/>
              </w:rPr>
              <w:t xml:space="preserve"> </w:t>
            </w:r>
            <w:r>
              <w:rPr>
                <w:b w:val="0"/>
                <w:i/>
                <w:strike w:val="0"/>
                <w:color w:val="843C0C"/>
                <w:sz w:val="16"/>
              </w:rPr>
              <w:t xml:space="preserve"> [Aug 2026 onboarding flow]</w:t>
            </w:r>
          </w:p>
        </w:tc>
      </w:tr>
      <w:tr>
        <w:tc>
          <w:tcPr>
            <w:tcW w:type="dxa" w:w="1728"/>
          </w:tcPr>
          <w:p>
            <w:r/>
            <w:r>
              <w:rPr>
                <w:b/>
                <w:i/>
                <w:strike w:val="0"/>
              </w:rPr>
              <w:t>ON-04</w:t>
            </w:r>
          </w:p>
        </w:tc>
        <w:tc>
          <w:tcPr>
            <w:tcW w:type="dxa" w:w="1728"/>
          </w:tcPr>
          <w:p>
            <w:r/>
            <w:r>
              <w:rPr>
                <w:b/>
                <w:i/>
                <w:strike w:val="0"/>
              </w:rPr>
              <w:t>Onboarding</w:t>
            </w:r>
          </w:p>
        </w:tc>
        <w:tc>
          <w:tcPr>
            <w:tcW w:type="dxa" w:w="1728"/>
          </w:tcPr>
          <w:p>
            <w:r/>
            <w:r>
              <w:rPr>
                <w:b/>
                <w:i/>
                <w:strike w:val="0"/>
              </w:rPr>
              <w:t>Default expiry on an onboarding link, and can a lapsed firm be re-invited automatically or only by Sosinna's team?</w:t>
            </w:r>
          </w:p>
        </w:tc>
        <w:tc>
          <w:tcPr>
            <w:tcW w:type="dxa" w:w="1728"/>
          </w:tcPr>
          <w:p>
            <w:r/>
            <w:r>
              <w:rPr>
                <w:b/>
                <w:i/>
                <w:strike w:val="0"/>
              </w:rPr>
              <w:t>No</w:t>
            </w:r>
          </w:p>
        </w:tc>
        <w:tc>
          <w:tcPr>
            <w:tcW w:type="dxa" w:w="1728"/>
          </w:tcPr>
          <w:p>
            <w:r/>
            <w:r>
              <w:rPr>
                <w:b/>
                <w:i/>
                <w:strike w:val="0"/>
                <w:color w:val="843C0C"/>
              </w:rPr>
              <w:t>New in v7.0 — see Section 5.4, SA-21</w:t>
            </w:r>
            <w:r>
              <w:rPr>
                <w:b w:val="0"/>
                <w:i w:val="0"/>
                <w:strike w:val="0"/>
              </w:rPr>
              <w:t xml:space="preserve"> </w:t>
            </w:r>
            <w:r>
              <w:rPr>
                <w:b w:val="0"/>
                <w:i/>
                <w:strike w:val="0"/>
                <w:color w:val="843C0C"/>
                <w:sz w:val="16"/>
              </w:rPr>
              <w:t xml:space="preserve"> [Aug 2026 onboarding flow]</w:t>
            </w:r>
          </w:p>
        </w:tc>
      </w:tr>
      <w:tr>
        <w:tc>
          <w:tcPr>
            <w:tcW w:type="dxa" w:w="1728"/>
          </w:tcPr>
          <w:p>
            <w:r/>
            <w:r>
              <w:rPr>
                <w:b/>
                <w:i/>
                <w:strike w:val="0"/>
              </w:rPr>
              <w:t>ON-05</w:t>
            </w:r>
          </w:p>
        </w:tc>
        <w:tc>
          <w:tcPr>
            <w:tcW w:type="dxa" w:w="1728"/>
          </w:tcPr>
          <w:p>
            <w:r/>
            <w:r>
              <w:rPr>
                <w:b/>
                <w:i/>
                <w:strike w:val="0"/>
              </w:rPr>
              <w:t>Onboarding</w:t>
            </w:r>
          </w:p>
        </w:tc>
        <w:tc>
          <w:tcPr>
            <w:tcW w:type="dxa" w:w="1728"/>
          </w:tcPr>
          <w:p>
            <w:r/>
            <w:r>
              <w:rPr>
                <w:b/>
                <w:i/>
                <w:strike w:val="0"/>
              </w:rPr>
              <w:t>Can a firm complete onboarding with acknowledged call-tree or reporting-manager gaps, or is a complete chain mandatory before payment?</w:t>
            </w:r>
          </w:p>
        </w:tc>
        <w:tc>
          <w:tcPr>
            <w:tcW w:type="dxa" w:w="1728"/>
          </w:tcPr>
          <w:p>
            <w:r/>
            <w:r>
              <w:rPr>
                <w:b/>
                <w:i/>
                <w:strike w:val="0"/>
              </w:rPr>
              <w:t>No</w:t>
            </w:r>
          </w:p>
        </w:tc>
        <w:tc>
          <w:tcPr>
            <w:tcW w:type="dxa" w:w="1728"/>
          </w:tcPr>
          <w:p>
            <w:r/>
            <w:r>
              <w:rPr>
                <w:b/>
                <w:i/>
                <w:strike w:val="0"/>
                <w:color w:val="843C0C"/>
              </w:rPr>
              <w:t>New in v7.0 — see Section 5.6, FR-122</w:t>
            </w:r>
            <w:r>
              <w:rPr>
                <w:b w:val="0"/>
                <w:i w:val="0"/>
                <w:strike w:val="0"/>
              </w:rPr>
              <w:t xml:space="preserve"> </w:t>
            </w:r>
            <w:r>
              <w:rPr>
                <w:b w:val="0"/>
                <w:i/>
                <w:strike w:val="0"/>
                <w:color w:val="843C0C"/>
                <w:sz w:val="16"/>
              </w:rPr>
              <w:t xml:space="preserve"> [Aug 2026 onboarding flow]</w:t>
            </w:r>
          </w:p>
        </w:tc>
      </w:tr>
      <w:tr>
        <w:tc>
          <w:tcPr>
            <w:tcW w:type="dxa" w:w="1728"/>
          </w:tcPr>
          <w:p>
            <w:r/>
            <w:r>
              <w:rPr>
                <w:b/>
                <w:i/>
                <w:strike w:val="0"/>
              </w:rPr>
              <w:t>ON-06</w:t>
            </w:r>
          </w:p>
        </w:tc>
        <w:tc>
          <w:tcPr>
            <w:tcW w:type="dxa" w:w="1728"/>
          </w:tcPr>
          <w:p>
            <w:r/>
            <w:r>
              <w:rPr>
                <w:b/>
                <w:i/>
                <w:strike w:val="0"/>
              </w:rPr>
              <w:t>Onboarding</w:t>
            </w:r>
          </w:p>
        </w:tc>
        <w:tc>
          <w:tcPr>
            <w:tcW w:type="dxa" w:w="1728"/>
          </w:tcPr>
          <w:p>
            <w:r/>
            <w:r>
              <w:rPr>
                <w:b/>
                <w:i/>
                <w:strike w:val="0"/>
              </w:rPr>
              <w:t>Must the firm load its entire headcount before it can pay, or only compliance-relevant staff with the rest added later?</w:t>
            </w:r>
          </w:p>
        </w:tc>
        <w:tc>
          <w:tcPr>
            <w:tcW w:type="dxa" w:w="1728"/>
          </w:tcPr>
          <w:p>
            <w:r/>
            <w:r>
              <w:rPr>
                <w:b/>
                <w:i/>
                <w:strike w:val="0"/>
              </w:rPr>
              <w:t>No</w:t>
            </w:r>
          </w:p>
        </w:tc>
        <w:tc>
          <w:tcPr>
            <w:tcW w:type="dxa" w:w="1728"/>
          </w:tcPr>
          <w:p>
            <w:r/>
            <w:r>
              <w:rPr>
                <w:b/>
                <w:i/>
                <w:strike w:val="0"/>
                <w:color w:val="843C0C"/>
              </w:rPr>
              <w:t>New in v7.0 — see Section 5.6</w:t>
            </w:r>
            <w:r>
              <w:rPr>
                <w:b w:val="0"/>
                <w:i w:val="0"/>
                <w:strike w:val="0"/>
              </w:rPr>
              <w:t xml:space="preserve"> </w:t>
            </w:r>
            <w:r>
              <w:rPr>
                <w:b w:val="0"/>
                <w:i/>
                <w:strike w:val="0"/>
                <w:color w:val="843C0C"/>
                <w:sz w:val="16"/>
              </w:rPr>
              <w:t xml:space="preserve"> [Aug 2026 onboarding flow]</w:t>
            </w:r>
          </w:p>
        </w:tc>
      </w:tr>
      <w:tr>
        <w:tc>
          <w:tcPr>
            <w:tcW w:type="dxa" w:w="1728"/>
          </w:tcPr>
          <w:p>
            <w:r/>
            <w:r>
              <w:rPr>
                <w:b/>
                <w:i/>
                <w:strike w:val="0"/>
              </w:rPr>
              <w:t>ON-07</w:t>
            </w:r>
          </w:p>
        </w:tc>
        <w:tc>
          <w:tcPr>
            <w:tcW w:type="dxa" w:w="1728"/>
          </w:tcPr>
          <w:p>
            <w:r/>
            <w:r>
              <w:rPr>
                <w:b/>
                <w:i/>
                <w:strike w:val="0"/>
              </w:rPr>
              <w:t>Onboarding</w:t>
            </w:r>
          </w:p>
        </w:tc>
        <w:tc>
          <w:tcPr>
            <w:tcW w:type="dxa" w:w="1728"/>
          </w:tcPr>
          <w:p>
            <w:r/>
            <w:r>
              <w:rPr>
                <w:b/>
                <w:i/>
                <w:strike w:val="0"/>
              </w:rPr>
              <w:t>Does the marketing site post enquiries into the platform through an API, or does Sosinna's team re-key them? Depends on MKT-04.</w:t>
            </w:r>
          </w:p>
        </w:tc>
        <w:tc>
          <w:tcPr>
            <w:tcW w:type="dxa" w:w="1728"/>
          </w:tcPr>
          <w:p>
            <w:r/>
            <w:r>
              <w:rPr>
                <w:b/>
                <w:i/>
                <w:strike w:val="0"/>
              </w:rPr>
              <w:t>No</w:t>
            </w:r>
          </w:p>
        </w:tc>
        <w:tc>
          <w:tcPr>
            <w:tcW w:type="dxa" w:w="1728"/>
          </w:tcPr>
          <w:p>
            <w:r/>
            <w:r>
              <w:rPr>
                <w:b/>
                <w:i/>
                <w:strike w:val="0"/>
                <w:color w:val="843C0C"/>
              </w:rPr>
              <w:t>New in v7.0 — see Section 5.2, SA-16</w:t>
            </w:r>
            <w:r>
              <w:rPr>
                <w:b w:val="0"/>
                <w:i w:val="0"/>
                <w:strike w:val="0"/>
              </w:rPr>
              <w:t xml:space="preserve"> </w:t>
            </w:r>
            <w:r>
              <w:rPr>
                <w:b w:val="0"/>
                <w:i/>
                <w:strike w:val="0"/>
                <w:color w:val="843C0C"/>
                <w:sz w:val="16"/>
              </w:rPr>
              <w:t xml:space="preserve"> [Aug 2026 onboarding flow]</w:t>
            </w:r>
          </w:p>
        </w:tc>
      </w:tr>
      <w:tr>
        <w:tc>
          <w:tcPr>
            <w:tcW w:type="dxa" w:w="1728"/>
          </w:tcPr>
          <w:p>
            <w:r/>
            <w:r>
              <w:rPr>
                <w:b/>
                <w:i/>
                <w:strike w:val="0"/>
              </w:rPr>
              <w:t>ON-08</w:t>
            </w:r>
          </w:p>
        </w:tc>
        <w:tc>
          <w:tcPr>
            <w:tcW w:type="dxa" w:w="1728"/>
          </w:tcPr>
          <w:p>
            <w:r/>
            <w:r>
              <w:rPr>
                <w:b/>
                <w:i/>
                <w:strike w:val="0"/>
              </w:rPr>
              <w:t>Onboarding</w:t>
            </w:r>
          </w:p>
        </w:tc>
        <w:tc>
          <w:tcPr>
            <w:tcW w:type="dxa" w:w="1728"/>
          </w:tcPr>
          <w:p>
            <w:r/>
            <w:r>
              <w:rPr>
                <w:b/>
                <w:i/>
                <w:strike w:val="0"/>
              </w:rPr>
              <w:t>What is the retention rule for dead enquiries and abandoned onboardings? They hold licence numbers, financial reports and staff names for firms that never became clients.</w:t>
            </w:r>
          </w:p>
        </w:tc>
        <w:tc>
          <w:tcPr>
            <w:tcW w:type="dxa" w:w="1728"/>
          </w:tcPr>
          <w:p>
            <w:r/>
            <w:r>
              <w:rPr>
                <w:b/>
                <w:i/>
                <w:strike w:val="0"/>
              </w:rPr>
              <w:t>No</w:t>
            </w:r>
          </w:p>
        </w:tc>
        <w:tc>
          <w:tcPr>
            <w:tcW w:type="dxa" w:w="1728"/>
          </w:tcPr>
          <w:p>
            <w:r/>
            <w:r>
              <w:rPr>
                <w:b/>
                <w:i/>
                <w:strike w:val="0"/>
                <w:color w:val="843C0C"/>
              </w:rPr>
              <w:t>New in v7.0 — see Section 2 and Section 5.8. GDPR minimisation pulls against the never-delete rule</w:t>
            </w:r>
            <w:r>
              <w:rPr>
                <w:b w:val="0"/>
                <w:i w:val="0"/>
                <w:strike w:val="0"/>
              </w:rPr>
              <w:t xml:space="preserve"> </w:t>
            </w:r>
            <w:r>
              <w:rPr>
                <w:b w:val="0"/>
                <w:i/>
                <w:strike w:val="0"/>
                <w:color w:val="843C0C"/>
                <w:sz w:val="16"/>
              </w:rPr>
              <w:t xml:space="preserve"> [Aug 2026 onboarding flow]</w:t>
            </w:r>
          </w:p>
        </w:tc>
      </w:tr>
      <w:tr>
        <w:tc>
          <w:tcPr>
            <w:tcW w:type="dxa" w:w="1728"/>
          </w:tcPr>
          <w:p>
            <w:r/>
            <w:r>
              <w:rPr>
                <w:b/>
                <w:i/>
                <w:strike w:val="0"/>
              </w:rPr>
              <w:t>UM-01</w:t>
            </w:r>
          </w:p>
        </w:tc>
        <w:tc>
          <w:tcPr>
            <w:tcW w:type="dxa" w:w="1728"/>
          </w:tcPr>
          <w:p>
            <w:r/>
            <w:r>
              <w:rPr>
                <w:b/>
                <w:i/>
                <w:strike w:val="0"/>
              </w:rPr>
              <w:t>Roles</w:t>
            </w:r>
          </w:p>
        </w:tc>
        <w:tc>
          <w:tcPr>
            <w:tcW w:type="dxa" w:w="1728"/>
          </w:tcPr>
          <w:p>
            <w:r/>
            <w:r>
              <w:rPr>
                <w:b/>
                <w:i/>
                <w:strike w:val="0"/>
              </w:rPr>
              <w:t>Is the "Firm Admin" role required for org chart changes the existing Firm Super Admin system role under another name, or a distinct ninth system role?</w:t>
            </w:r>
          </w:p>
        </w:tc>
        <w:tc>
          <w:tcPr>
            <w:tcW w:type="dxa" w:w="1728"/>
          </w:tcPr>
          <w:p>
            <w:r/>
            <w:r>
              <w:rPr>
                <w:b/>
                <w:i/>
                <w:strike w:val="0"/>
              </w:rPr>
              <w:t>No — closed</w:t>
            </w:r>
          </w:p>
        </w:tc>
        <w:tc>
          <w:tcPr>
            <w:tcW w:type="dxa" w:w="1728"/>
          </w:tcPr>
          <w:p>
            <w:r/>
            <w:r>
              <w:rPr>
                <w:b/>
                <w:i/>
                <w:strike w:val="0"/>
                <w:color w:val="C00000"/>
              </w:rPr>
              <w:t>RESOLVED Sep 2026: it is the Firm Super Admin under the client's own name, with no new role created. Separately, the IT / Systems Admin role is withdrawn in the same revision, taking the system-role count from eight to seven.</w:t>
            </w:r>
            <w:r>
              <w:rPr>
                <w:b w:val="0"/>
                <w:i w:val="0"/>
                <w:strike w:val="0"/>
              </w:rPr>
              <w:t xml:space="preserve"> </w:t>
            </w:r>
            <w:r>
              <w:rPr>
                <w:b w:val="0"/>
                <w:i/>
                <w:strike w:val="0"/>
                <w:color w:val="C00000"/>
                <w:sz w:val="16"/>
              </w:rPr>
              <w:t xml:space="preserve"> [Sep 2026 scope decision]</w:t>
            </w:r>
          </w:p>
        </w:tc>
      </w:tr>
      <w:tr>
        <w:tc>
          <w:tcPr>
            <w:tcW w:type="dxa" w:w="1728"/>
          </w:tcPr>
          <w:p>
            <w:r/>
            <w:r>
              <w:rPr>
                <w:b/>
                <w:i/>
                <w:strike w:val="0"/>
              </w:rPr>
              <w:t>BR-01</w:t>
            </w:r>
          </w:p>
        </w:tc>
        <w:tc>
          <w:tcPr>
            <w:tcW w:type="dxa" w:w="1728"/>
          </w:tcPr>
          <w:p>
            <w:r/>
            <w:r>
              <w:rPr>
                <w:b/>
                <w:i/>
                <w:strike w:val="0"/>
              </w:rPr>
              <w:t>Branding</w:t>
            </w:r>
          </w:p>
        </w:tc>
        <w:tc>
          <w:tcPr>
            <w:tcW w:type="dxa" w:w="1728"/>
          </w:tcPr>
          <w:p>
            <w:r/>
            <w:r>
              <w:rPr>
                <w:b/>
                <w:i/>
                <w:strike w:val="0"/>
              </w:rPr>
              <w:t>Exact colour codes for the blue and white logo and website — to be finalised in the next discussion.</w:t>
            </w:r>
          </w:p>
        </w:tc>
        <w:tc>
          <w:tcPr>
            <w:tcW w:type="dxa" w:w="1728"/>
          </w:tcPr>
          <w:p>
            <w:r/>
            <w:r>
              <w:rPr>
                <w:b/>
                <w:i/>
                <w:strike w:val="0"/>
              </w:rPr>
              <w:t>No</w:t>
            </w:r>
          </w:p>
        </w:tc>
        <w:tc>
          <w:tcPr>
            <w:tcW w:type="dxa" w:w="1728"/>
          </w:tcPr>
          <w:p>
            <w:r/>
            <w:r>
              <w:rPr>
                <w:b/>
                <w:i/>
                <w:strike w:val="0"/>
                <w:color w:val="CC00CC"/>
              </w:rPr>
              <w:t>New in v8.0 — see Section 14, CC-02. Palette decided, values pending</w:t>
            </w:r>
            <w:r>
              <w:rPr>
                <w:b w:val="0"/>
                <w:i w:val="0"/>
                <w:strike w:val="0"/>
              </w:rPr>
              <w:t xml:space="preserve"> </w:t>
            </w:r>
            <w:r>
              <w:rPr>
                <w:b w:val="0"/>
                <w:i/>
                <w:strike w:val="0"/>
                <w:color w:val="CC00CC"/>
                <w:sz w:val="16"/>
              </w:rPr>
              <w:t xml:space="preserve"> [14 Aug 2026 MOM]</w:t>
            </w:r>
          </w:p>
        </w:tc>
      </w:tr>
      <w:tr>
        <w:tc>
          <w:tcPr>
            <w:tcW w:type="dxa" w:w="1728"/>
          </w:tcPr>
          <w:p>
            <w:r/>
            <w:r>
              <w:rPr>
                <w:b/>
                <w:i/>
                <w:strike w:val="0"/>
              </w:rPr>
              <w:t>NF-01</w:t>
            </w:r>
          </w:p>
        </w:tc>
        <w:tc>
          <w:tcPr>
            <w:tcW w:type="dxa" w:w="1728"/>
          </w:tcPr>
          <w:p>
            <w:r/>
            <w:r>
              <w:rPr>
                <w:b/>
                <w:i/>
                <w:strike w:val="0"/>
              </w:rPr>
              <w:t>News feed</w:t>
            </w:r>
          </w:p>
        </w:tc>
        <w:tc>
          <w:tcPr>
            <w:tcW w:type="dxa" w:w="1728"/>
          </w:tcPr>
          <w:p>
            <w:r/>
            <w:r>
              <w:rPr>
                <w:b/>
                <w:i/>
                <w:strike w:val="0"/>
              </w:rPr>
              <w:t>Do vendor AML sources such as NICE Actimize offer an RSS feed or licensed API, and does their content licensing permit redisplay? The MVP constraint forbids HTML scraping.</w:t>
            </w:r>
          </w:p>
        </w:tc>
        <w:tc>
          <w:tcPr>
            <w:tcW w:type="dxa" w:w="1728"/>
          </w:tcPr>
          <w:p>
            <w:r/>
            <w:r>
              <w:rPr>
                <w:b/>
                <w:i/>
                <w:strike w:val="0"/>
              </w:rPr>
              <w:t>No</w:t>
            </w:r>
          </w:p>
        </w:tc>
        <w:tc>
          <w:tcPr>
            <w:tcW w:type="dxa" w:w="1728"/>
          </w:tcPr>
          <w:p>
            <w:r/>
            <w:r>
              <w:rPr>
                <w:b/>
                <w:i/>
                <w:strike w:val="0"/>
                <w:color w:val="CC00CC"/>
              </w:rPr>
              <w:t>New in v8.0 — see Section 9.1, FR-138. Resolve with RE-05</w:t>
            </w:r>
            <w:r>
              <w:rPr>
                <w:b w:val="0"/>
                <w:i w:val="0"/>
                <w:strike w:val="0"/>
              </w:rPr>
              <w:t xml:space="preserve"> </w:t>
            </w:r>
            <w:r>
              <w:rPr>
                <w:b w:val="0"/>
                <w:i/>
                <w:strike w:val="0"/>
                <w:color w:val="CC00CC"/>
                <w:sz w:val="16"/>
              </w:rPr>
              <w:t xml:space="preserve"> [14 Aug 2026 MOM]</w:t>
            </w:r>
          </w:p>
        </w:tc>
      </w:tr>
      <w:tr>
        <w:tc>
          <w:tcPr>
            <w:tcW w:type="dxa" w:w="1728"/>
          </w:tcPr>
          <w:p>
            <w:r/>
            <w:r>
              <w:rPr>
                <w:b/>
                <w:i/>
                <w:strike w:val="0"/>
              </w:rPr>
              <w:t>AD-01</w:t>
            </w:r>
          </w:p>
        </w:tc>
        <w:tc>
          <w:tcPr>
            <w:tcW w:type="dxa" w:w="1728"/>
          </w:tcPr>
          <w:p>
            <w:r/>
            <w:r>
              <w:rPr>
                <w:b/>
                <w:i/>
                <w:strike w:val="0"/>
              </w:rPr>
              <w:t>Portal</w:t>
            </w:r>
          </w:p>
        </w:tc>
        <w:tc>
          <w:tcPr>
            <w:tcW w:type="dxa" w:w="1728"/>
          </w:tcPr>
          <w:p>
            <w:r/>
            <w:r>
              <w:rPr>
                <w:b/>
                <w:i/>
                <w:strike w:val="0"/>
              </w:rPr>
              <w:t>Which associate-admin actions require Sosinna's final confirmation — every publish and qualification, or only designated gates?</w:t>
            </w:r>
          </w:p>
        </w:tc>
        <w:tc>
          <w:tcPr>
            <w:tcW w:type="dxa" w:w="1728"/>
          </w:tcPr>
          <w:p>
            <w:r/>
            <w:r>
              <w:rPr>
                <w:b/>
                <w:i/>
                <w:strike w:val="0"/>
              </w:rPr>
              <w:t>No</w:t>
            </w:r>
          </w:p>
        </w:tc>
        <w:tc>
          <w:tcPr>
            <w:tcW w:type="dxa" w:w="1728"/>
          </w:tcPr>
          <w:p>
            <w:r/>
            <w:r>
              <w:rPr>
                <w:b/>
                <w:i/>
                <w:strike w:val="0"/>
                <w:color w:val="CC00CC"/>
              </w:rPr>
              <w:t>New in v8.0 — see Section 4.6, SA-24</w:t>
            </w:r>
            <w:r>
              <w:rPr>
                <w:b w:val="0"/>
                <w:i w:val="0"/>
                <w:strike w:val="0"/>
              </w:rPr>
              <w:t xml:space="preserve"> </w:t>
            </w:r>
            <w:r>
              <w:rPr>
                <w:b w:val="0"/>
                <w:i/>
                <w:strike w:val="0"/>
                <w:color w:val="CC00CC"/>
                <w:sz w:val="16"/>
              </w:rPr>
              <w:t xml:space="preserve"> [14 Aug 2026 MOM]</w:t>
            </w:r>
          </w:p>
        </w:tc>
      </w:tr>
      <w:tr>
        <w:tc>
          <w:tcPr>
            <w:tcW w:type="dxa" w:w="1728"/>
          </w:tcPr>
          <w:p>
            <w:r/>
            <w:r>
              <w:rPr>
                <w:b/>
                <w:i/>
                <w:strike w:val="0"/>
              </w:rPr>
              <w:t>TS-08</w:t>
            </w:r>
          </w:p>
        </w:tc>
        <w:tc>
          <w:tcPr>
            <w:tcW w:type="dxa" w:w="1728"/>
          </w:tcPr>
          <w:p>
            <w:r/>
            <w:r>
              <w:rPr>
                <w:b/>
                <w:i/>
                <w:strike w:val="0"/>
              </w:rPr>
              <w:t>Testing</w:t>
            </w:r>
          </w:p>
        </w:tc>
        <w:tc>
          <w:tcPr>
            <w:tcW w:type="dxa" w:w="1728"/>
          </w:tcPr>
          <w:p>
            <w:r/>
            <w:r>
              <w:rPr>
                <w:b/>
                <w:i/>
                <w:strike w:val="0"/>
              </w:rPr>
              <w:t>Should a test contain multiple Requirement IDs — each carrying its own tagged articles and its own steps — with the CCO assigning a tester per requirement? The client stated this in September 2026. SA-01 currently models one Requirement ID per test, and assignment below test level exists only by article (FR-106).</w:t>
            </w:r>
          </w:p>
        </w:tc>
        <w:tc>
          <w:tcPr>
            <w:tcW w:type="dxa" w:w="1728"/>
          </w:tcPr>
          <w:p>
            <w:r/>
            <w:r>
              <w:rPr>
                <w:b/>
                <w:i/>
                <w:strike w:val="0"/>
              </w:rPr>
              <w:t>No — closed</w:t>
            </w:r>
          </w:p>
        </w:tc>
        <w:tc>
          <w:tcPr>
            <w:tcW w:type="dxa" w:w="1728"/>
          </w:tcPr>
          <w:p>
            <w:r/>
            <w:r>
              <w:rPr>
                <w:b/>
                <w:i/>
                <w:strike w:val="0"/>
                <w:color w:val="7B3F00"/>
              </w:rPr>
              <w:t>RESOLVED in v11.0 and incorporated in full, against the client's Create-test screen of September 2026. The hierarchy is Regulation → Rule → Test → Requirement → Article; the requirement carries its own ID, name, articles, service lines, notified business unit, schedule, steps, request list, scope and guidance documents; and the CCO assigns per requirement. See SA-01, SA-28 to SA-30, SA-32, FR-143 to FR-146. Deferred at v10.0, built at v11.0 — and as predicted it closed TS-05, TS-06, TS-07 and GAP-15 with it. It is net-new scope and must be priced; see Section 18</w:t>
            </w:r>
            <w:r>
              <w:rPr>
                <w:b w:val="0"/>
                <w:i w:val="0"/>
                <w:strike w:val="0"/>
              </w:rPr>
              <w:t xml:space="preserve"> </w:t>
            </w:r>
            <w:r>
              <w:rPr>
                <w:b w:val="0"/>
                <w:i/>
                <w:strike w:val="0"/>
                <w:color w:val="7B3F00"/>
                <w:sz w:val="16"/>
              </w:rPr>
              <w:t xml:space="preserve"> [Sep 2026 test model]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Pr>
                <w:b/>
                <w:color w:val="FFFFFF"/>
              </w:rPr>
            </w:r>
            <w:r>
              <w:rPr>
                <w:b/>
                <w:i/>
                <w:strike w:val="0"/>
                <w:color w:val="FFFFFF"/>
              </w:rPr>
              <w:t>TS-09</w:t>
            </w:r>
          </w:p>
        </w:tc>
        <w:tc>
          <w:tcPr>
            <w:tcW w:type="dxa" w:w="1728"/>
            <w:shd w:val="clear" w:fill="1F4E79"/>
          </w:tcPr>
          <w:p>
            <w:r>
              <w:rPr>
                <w:b/>
                <w:color w:val="FFFFFF"/>
              </w:rPr>
            </w:r>
            <w:r>
              <w:rPr>
                <w:b/>
                <w:i/>
                <w:strike w:val="0"/>
                <w:color w:val="FFFFFF"/>
              </w:rPr>
              <w:t>Testing</w:t>
            </w:r>
          </w:p>
        </w:tc>
        <w:tc>
          <w:tcPr>
            <w:tcW w:type="dxa" w:w="1728"/>
            <w:shd w:val="clear" w:fill="1F4E79"/>
          </w:tcPr>
          <w:p>
            <w:r>
              <w:rPr>
                <w:b/>
                <w:color w:val="FFFFFF"/>
              </w:rPr>
            </w:r>
            <w:r>
              <w:rPr>
                <w:b/>
                <w:i/>
                <w:strike w:val="0"/>
                <w:color w:val="FFFFFF"/>
              </w:rPr>
              <w:t>Can a test be submitted for CCO review while some of its requirements are still open, or must every requirement in the test complete first? FR-144 settles how the result is computed but not when the test becomes reviewable. Bears directly on a test whose requirements have different schedules (FR-146) — a quarterly requirement and an annual one in the same test will rarely finish together.</w:t>
            </w:r>
          </w:p>
        </w:tc>
        <w:tc>
          <w:tcPr>
            <w:tcW w:type="dxa" w:w="1728"/>
            <w:shd w:val="clear" w:fill="1F4E79"/>
          </w:tcPr>
          <w:p>
            <w:r>
              <w:rPr>
                <w:b/>
                <w:color w:val="FFFFFF"/>
              </w:rPr>
            </w:r>
            <w:r>
              <w:rPr>
                <w:b/>
                <w:i/>
                <w:strike w:val="0"/>
                <w:color w:val="FFFFFF"/>
              </w:rPr>
              <w:t>Yes</w:t>
            </w:r>
          </w:p>
        </w:tc>
        <w:tc>
          <w:tcPr>
            <w:tcW w:type="dxa" w:w="1728"/>
            <w:shd w:val="clear" w:fill="1F4E79"/>
          </w:tcPr>
          <w:p>
            <w:r>
              <w:rPr>
                <w:b/>
                <w:color w:val="FFFFFF"/>
              </w:rPr>
            </w:r>
            <w:r>
              <w:rPr>
                <w:b/>
                <w:i/>
                <w:strike w:val="0"/>
                <w:color w:val="FFFFFF"/>
              </w:rPr>
              <w:t>New in v11.0 — see Section 7.1 step 10 and FR-144</w:t>
            </w:r>
            <w:r>
              <w:rPr>
                <w:b/>
                <w:i w:val="0"/>
                <w:strike w:val="0"/>
                <w:color w:val="FFFFFF"/>
              </w:rPr>
              <w:t xml:space="preserve"> </w:t>
            </w:r>
            <w:r>
              <w:rPr>
                <w:b/>
                <w:i/>
                <w:strike w:val="0"/>
                <w:color w:val="FFFFFF"/>
                <w:sz w:val="16"/>
              </w:rPr>
              <w:t xml:space="preserve"> [Sep 2026 test model]</w:t>
            </w:r>
          </w:p>
        </w:tc>
      </w:tr>
      <w:tr>
        <w:tc>
          <w:tcPr>
            <w:tcW w:type="dxa" w:w="1728"/>
          </w:tcPr>
          <w:p>
            <w:r/>
            <w:r>
              <w:rPr>
                <w:b/>
                <w:i/>
                <w:strike w:val="0"/>
              </w:rPr>
              <w:t>TS-10</w:t>
            </w:r>
          </w:p>
        </w:tc>
        <w:tc>
          <w:tcPr>
            <w:tcW w:type="dxa" w:w="1728"/>
          </w:tcPr>
          <w:p>
            <w:r/>
            <w:r>
              <w:rPr>
                <w:b/>
                <w:i/>
                <w:strike w:val="0"/>
              </w:rPr>
              <w:t>Portal</w:t>
            </w:r>
          </w:p>
        </w:tc>
        <w:tc>
          <w:tcPr>
            <w:tcW w:type="dxa" w:w="1728"/>
          </w:tcPr>
          <w:p>
            <w:r/>
            <w:r>
              <w:rPr>
                <w:b/>
                <w:i/>
                <w:strike w:val="0"/>
              </w:rPr>
              <w:t>Is "rule" a managed entity or a label? The Create-test screen has the author type it as free text ("ICT Risk Governance &amp; Management"). If it is only a label, two tests can name the same rule differently and nothing groups them. If it is an entity, it needs its own Portal list, uniqueness, and a decision on whether reports and the pool group by it.</w:t>
            </w:r>
          </w:p>
        </w:tc>
        <w:tc>
          <w:tcPr>
            <w:tcW w:type="dxa" w:w="1728"/>
          </w:tcPr>
          <w:p>
            <w:r/>
            <w:r>
              <w:rPr>
                <w:b/>
                <w:i/>
                <w:strike w:val="0"/>
              </w:rPr>
              <w:t>No</w:t>
            </w:r>
          </w:p>
        </w:tc>
        <w:tc>
          <w:tcPr>
            <w:tcW w:type="dxa" w:w="1728"/>
          </w:tcPr>
          <w:p>
            <w:r/>
            <w:r>
              <w:rPr>
                <w:b/>
                <w:i/>
                <w:strike w:val="0"/>
                <w:color w:val="7B3F00"/>
              </w:rPr>
              <w:t>New in v11.0 — see Section 4.1, SA-28</w:t>
            </w:r>
            <w:r>
              <w:rPr>
                <w:b w:val="0"/>
                <w:i w:val="0"/>
                <w:strike w:val="0"/>
              </w:rPr>
              <w:t xml:space="preserve"> </w:t>
            </w:r>
            <w:r>
              <w:rPr>
                <w:b w:val="0"/>
                <w:i/>
                <w:strike w:val="0"/>
                <w:color w:val="7B3F00"/>
                <w:sz w:val="16"/>
              </w:rPr>
              <w:t xml:space="preserve"> [Sep 2026 test model]</w:t>
            </w:r>
          </w:p>
        </w:tc>
      </w:tr>
    </w:tbl>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w:t>
            </w:r>
          </w:p>
          <w:p>
            <w:r>
              <w:rPr>
                <w:b/>
                <w:i w:val="0"/>
                <w:strike w:val="0"/>
              </w:rPr>
              <w:t>📌 Note</w:t>
            </w:r>
          </w:p>
          <w:p>
            <w:pPr>
              <w:pStyle w:val="ListBullet"/>
            </w:pPr>
            <w:r>
              <w:rPr>
                <w:b w:val="0"/>
                <w:i w:val="0"/>
                <w:strike w:val="0"/>
              </w:rPr>
              <w:t>Four of the six original 'needed before estimation' items are still open after the July round: RE-01, RE-04, TI-02, and (with only partial movement) TI-05 / TI-06 / RE-05. CC-01's model is confirmed but the number isn't — worth deciding whether that's enough to estimate against or whether it still blocks a final number.</w:t>
            </w:r>
          </w:p>
          <w:p>
            <w:pPr>
              <w:pStyle w:val="ListBullet"/>
            </w:pPr>
            <w:r>
              <w:rPr>
                <w:b/>
                <w:i/>
                <w:strike w:val="0"/>
                <w:color w:val="7030A0"/>
              </w:rPr>
              <w:t>v5.0 adds six new estimation-blocking items: FO-09, PR-03, TS-01, EV-01, EV-02, EV-03. Five of the six sit in the two features the August meeting introduced — the records-request workflow and the AI document check. Both are new scope, so this is expected, but it means the estimate cannot be finalised on the v4.0 answers alone. Recommend a single working session covering FO-09 + the EV block, and folding TS-01 into the GAP-01 scheduler session.</w:t>
            </w:r>
            <w:r>
              <w:rPr>
                <w:b w:val="0"/>
                <w:i w:val="0"/>
                <w:strike w:val="0"/>
              </w:rPr>
              <w:t xml:space="preserve"> </w:t>
            </w:r>
            <w:r>
              <w:rPr>
                <w:b w:val="0"/>
                <w:i/>
                <w:strike w:val="0"/>
                <w:color w:val="7030A0"/>
                <w:sz w:val="16"/>
              </w:rPr>
              <w:t xml:space="preserve"> [Aug 2026 client MOM]</w:t>
            </w:r>
          </w:p>
          <w:p>
            <w:pPr>
              <w:pStyle w:val="ListBullet"/>
            </w:pPr>
            <w:r>
              <w:rPr>
                <w:b/>
                <w:i/>
                <w:strike w:val="0"/>
                <w:color w:val="008080"/>
              </w:rPr>
              <w:t>v6.0 adds four more estimation blockers — TS-05, TS-07, EV-07, EV-08 — and closes one (EV-04). Running total of open estimation blockers: RE-01, RE-04, RE-05, TI-02, TI-05, TI-06, FO-09, PR-03, TS-01, TS-05, TS-07, EV-01, EV-02, EV-03, EV-07, EV-08.</w:t>
            </w:r>
            <w:r>
              <w:rPr>
                <w:b w:val="0"/>
                <w:i w:val="0"/>
                <w:strike w:val="0"/>
              </w:rPr>
              <w:t xml:space="preserve"> </w:t>
            </w:r>
            <w:r>
              <w:rPr>
                <w:b w:val="0"/>
                <w:i/>
                <w:strike w:val="0"/>
                <w:color w:val="008080"/>
                <w:sz w:val="16"/>
              </w:rPr>
              <w:t xml:space="preserve"> [11 Aug 2026 MOM]</w:t>
            </w:r>
          </w:p>
          <w:p>
            <w:pPr>
              <w:pStyle w:val="ListBullet"/>
            </w:pPr>
            <w:r>
              <w:rPr>
                <w:b/>
                <w:i/>
                <w:strike w:val="0"/>
                <w:color w:val="008080"/>
              </w:rPr>
              <w:t>EV-07 is different in kind from the rest: it is not a question the client owes SayOne an answer to, it is an effort assessment SayOne owes the client. It should be produced and returned rather than waited on.</w:t>
            </w:r>
            <w:r>
              <w:rPr>
                <w:b w:val="0"/>
                <w:i w:val="0"/>
                <w:strike w:val="0"/>
              </w:rPr>
              <w:t xml:space="preserve"> </w:t>
            </w:r>
            <w:r>
              <w:rPr>
                <w:b w:val="0"/>
                <w:i/>
                <w:strike w:val="0"/>
                <w:color w:val="008080"/>
                <w:sz w:val="16"/>
              </w:rPr>
              <w:t xml:space="preserve"> [11 Aug 2026 MOM]</w:t>
            </w:r>
          </w:p>
          <w:p>
            <w:pPr>
              <w:pStyle w:val="ListBullet"/>
            </w:pPr>
            <w:r>
              <w:rPr>
                <w:b/>
                <w:i/>
                <w:strike w:val="0"/>
                <w:color w:val="008080"/>
              </w:rPr>
              <w:t>TS-07 is the cheapest to close and the most structural — article-level decomposition of every Requirement ID underpins FR-105, FR-106 and FR-112. Answer it first; it may make TS-05 and TS-06 easier to decide.</w:t>
            </w:r>
            <w:r>
              <w:rPr>
                <w:b w:val="0"/>
                <w:i w:val="0"/>
                <w:strike w:val="0"/>
              </w:rPr>
              <w:t xml:space="preserve"> </w:t>
            </w:r>
            <w:r>
              <w:rPr>
                <w:b w:val="0"/>
                <w:i/>
                <w:strike w:val="0"/>
                <w:color w:val="008080"/>
                <w:sz w:val="16"/>
              </w:rPr>
              <w:t xml:space="preserve"> [11 Aug 2026 MOM]</w:t>
            </w:r>
          </w:p>
          <w:p>
            <w:pPr>
              <w:pStyle w:val="ListBullet"/>
            </w:pPr>
            <w:r>
              <w:rPr>
                <w:b/>
                <w:i/>
                <w:strike w:val="0"/>
                <w:color w:val="843C0C"/>
              </w:rPr>
              <w:t>v7.0 adds three more estimation blockers, all in the payment step: ON-01, ON-02 and ON-03. They are a single conversation, not three — decide the commercial model (who collects, whether it recurs, by what instrument) and all three close together. Until they do, Section 5.7 cannot be estimated at all, because an invoice-and-bank-transfer model and a recurring card subscription differ by an order of magnitude in build. Everything else in the onboarding flow — enquiries, the link, the wizard, the call tree review — is estimable today.</w:t>
            </w:r>
            <w:r>
              <w:rPr>
                <w:b w:val="0"/>
                <w:i w:val="0"/>
                <w:strike w:val="0"/>
              </w:rPr>
              <w:t xml:space="preserve"> </w:t>
            </w:r>
            <w:r>
              <w:rPr>
                <w:b w:val="0"/>
                <w:i/>
                <w:strike w:val="0"/>
                <w:color w:val="843C0C"/>
                <w:sz w:val="16"/>
              </w:rPr>
              <w:t xml:space="preserve"> [Aug 2026 onboarding flow]</w:t>
            </w:r>
          </w:p>
          <w:p>
            <w:pPr>
              <w:pStyle w:val="ListBullet"/>
            </w:pPr>
            <w:r>
              <w:rPr>
                <w:b/>
                <w:i/>
                <w:strike w:val="0"/>
                <w:color w:val="CC00CC"/>
              </w:rPr>
              <w:t>v8.0 adds four open questions (UM-01, BR-01, NF-01, AD-01) — none of them estimation blockers — and closes TS-04. EV-03 moves to partial: the business owner's surface is now defined, the authentication is not.</w:t>
            </w:r>
            <w:r>
              <w:rPr>
                <w:b w:val="0"/>
                <w:i w:val="0"/>
                <w:strike w:val="0"/>
              </w:rPr>
              <w:t xml:space="preserve"> </w:t>
            </w:r>
            <w:r>
              <w:rPr>
                <w:b w:val="0"/>
                <w:i/>
                <w:strike w:val="0"/>
                <w:color w:val="CC00CC"/>
                <w:sz w:val="16"/>
              </w:rPr>
              <w:t xml:space="preserve"> [14 Aug 2026 MOM]</w:t>
            </w:r>
          </w:p>
          <w:p>
            <w:pPr>
              <w:pStyle w:val="ListBullet"/>
            </w:pPr>
            <w:r>
              <w:rPr>
                <w:b/>
                <w:i/>
                <w:strike w:val="0"/>
                <w:color w:val="C00000"/>
              </w:rPr>
              <w:t>v9.0 adds no open questions and closes two outright: EV-03 (a scoped expiring link) and UM-01 (the Firm Admin is the Firm Super Admin). EV-02 narrows to a single candidate mechanism because FR-72 is retired. Section 11's withdrawal closes no question because none was ever open against it.</w:t>
            </w:r>
            <w:r>
              <w:rPr>
                <w:b w:val="0"/>
                <w:i w:val="0"/>
                <w:strike w:val="0"/>
              </w:rPr>
              <w:t xml:space="preserve"> </w:t>
            </w:r>
            <w:r>
              <w:rPr>
                <w:b w:val="0"/>
                <w:i/>
                <w:strike w:val="0"/>
                <w:color w:val="C00000"/>
                <w:sz w:val="16"/>
              </w:rPr>
              <w:t xml:space="preserve"> [Sep 2026 scope decision]</w:t>
            </w:r>
          </w:p>
          <w:p>
            <w:pPr>
              <w:pStyle w:val="ListBullet"/>
            </w:pPr>
            <w:r>
              <w:rPr>
                <w:b/>
                <w:i/>
                <w:strike w:val="0"/>
                <w:color w:val="2E7D32"/>
              </w:rPr>
              <w:t>v10.0 adds one open question and closes none: TS-08, the deferred test-contains-many-requirements change. It is an estimation blocker and it is unlike every other item in this table — it is not a question the client owes an answer to, it is a decision the client has already taken and SayOne has deferred. What is owed is a scoping session and a price, not a clarification. Running it together with TS-05, TS-06, TS-07 and GAP-15 closes the largest remaining cluster in the testing module in a single sitting. Note that the two changes v10.0 does make raised no questions at all: service line selection and per-step sampling are both fully specified here.</w:t>
            </w:r>
            <w:r>
              <w:rPr>
                <w:b w:val="0"/>
                <w:i w:val="0"/>
                <w:strike w:val="0"/>
              </w:rPr>
              <w:t xml:space="preserve"> </w:t>
            </w:r>
            <w:r>
              <w:rPr>
                <w:b w:val="0"/>
                <w:i/>
                <w:strike w:val="0"/>
                <w:color w:val="2E7D32"/>
                <w:sz w:val="16"/>
              </w:rPr>
              <w:t xml:space="preserve"> [Sep 2026 model revision]</w:t>
            </w:r>
          </w:p>
          <w:p>
            <w:pPr>
              <w:pStyle w:val="ListBullet"/>
            </w:pPr>
            <w:r>
              <w:rPr>
                <w:b/>
                <w:i/>
                <w:strike w:val="0"/>
                <w:color w:val="7B3F00"/>
              </w:rPr>
              <w:t>v11.0 is the largest single movement in this table's history: it closes four — TS-05, TS-06, TS-07 and TS-08 — and adds two, TS-09 and TS-10, of which only TS-09 blocks estimation. Three of the four closures are consequences of the fourth: settling that a test contains requirements and that assignment is per requirement dissolved the questions about who owns the result, whether two testers raise one finding or two, and whether requirements are mapped to articles. That is what the v10.0 note predicted would happen, and it is the argument for answering structural questions before the questions that sit on top of them.</w:t>
            </w:r>
            <w:r>
              <w:rPr>
                <w:b w:val="0"/>
                <w:i w:val="0"/>
                <w:strike w:val="0"/>
              </w:rPr>
              <w:t xml:space="preserve"> </w:t>
            </w:r>
            <w:r>
              <w:rPr>
                <w:b w:val="0"/>
                <w:i/>
                <w:strike w:val="0"/>
                <w:color w:val="7B3F00"/>
                <w:sz w:val="16"/>
              </w:rPr>
              <w:t xml:space="preserve"> [Sep 2026 test model]</w:t>
            </w:r>
          </w:p>
        </w:tc>
      </w:tr>
    </w:tbl>
    <w:p>
      <w:pPr>
        <w:pStyle w:val="Heading1"/>
      </w:pPr>
      <w:r>
        <w:t>16. Gaps to Resolve Before Project Execution</w:t>
      </w:r>
    </w:p>
    <w:p>
      <w:r>
        <w:rPr>
          <w:b w:val="0"/>
          <w:i w:val="0"/>
          <w:strike w:val="0"/>
        </w:rPr>
        <w:t>The items below are not open questions about whether a feature is needed — all of them are features the platform will build. They are workflow design gaps: points in the product where we know what the outcome should be, but the exact sequence of steps, the exact rules, or the exact user experience has not yet been fully defined. They were identified through a cross-document audit of the RED v2.0, Narrative v3, and PRD v3.0.</w:t>
      </w:r>
    </w:p>
    <w:p>
      <w:r>
        <w:rPr>
          <w:b w:val="0"/>
          <w:i w:val="0"/>
          <w:strike w:val="0"/>
        </w:rPr>
        <w:t>None of these are blockers for producing a project estimate — the estimator can size these features based on their known complexity. However, every item in this list must be resolved and documented before the development sprint that covers the relevant feature begins.</w:t>
      </w:r>
    </w:p>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w:t>
            </w:r>
          </w:p>
          <w:p>
            <w:r>
              <w:rPr>
                <w:b/>
                <w:i w:val="0"/>
                <w:strike w:val="0"/>
              </w:rPr>
              <w:t>📌 Note</w:t>
            </w:r>
          </w:p>
          <w:p>
            <w:pPr>
              <w:pStyle w:val="ListBullet"/>
            </w:pPr>
            <w:r>
              <w:rPr>
                <w:b w:val="0"/>
                <w:i w:val="0"/>
                <w:strike w:val="0"/>
              </w:rPr>
              <w:t>Items marked with ⚠ have a direct impact on a workflow that touches multiple roles or multiple modules. These should be prioritised for resolution.</w:t>
            </w:r>
          </w:p>
          <w:p>
            <w:pPr>
              <w:pStyle w:val="ListBullet"/>
            </w:pPr>
            <w:r>
              <w:rPr>
                <w:b w:val="0"/>
                <w:i w:val="0"/>
                <w:strike w:val="0"/>
              </w:rPr>
              <w:t>Items marked with ✏ are smaller UX or edge-case decisions that can be resolved in a short working session.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4E79"/>
          </w:tcPr>
          <w:p>
            <w:r>
              <w:rPr>
                <w:b/>
                <w:color w:val="FFFFFF"/>
              </w:rPr>
            </w:r>
            <w:r>
              <w:rPr>
                <w:b/>
                <w:i w:val="0"/>
                <w:strike w:val="0"/>
                <w:color w:val="FFFFFF"/>
              </w:rPr>
              <w:t>Ref</w:t>
            </w:r>
          </w:p>
        </w:tc>
        <w:tc>
          <w:tcPr>
            <w:tcW w:type="dxa" w:w="2160"/>
            <w:shd w:val="clear" w:fill="1F4E79"/>
          </w:tcPr>
          <w:p>
            <w:r>
              <w:rPr>
                <w:b/>
                <w:color w:val="FFFFFF"/>
              </w:rPr>
            </w:r>
            <w:r>
              <w:rPr>
                <w:b/>
                <w:i w:val="0"/>
                <w:strike w:val="0"/>
                <w:color w:val="FFFFFF"/>
              </w:rPr>
              <w:t>Module</w:t>
            </w:r>
          </w:p>
        </w:tc>
        <w:tc>
          <w:tcPr>
            <w:tcW w:type="dxa" w:w="2160"/>
            <w:shd w:val="clear" w:fill="1F4E79"/>
          </w:tcPr>
          <w:p>
            <w:r>
              <w:rPr>
                <w:b/>
                <w:color w:val="FFFFFF"/>
              </w:rPr>
            </w:r>
            <w:r>
              <w:rPr>
                <w:b/>
                <w:i w:val="0"/>
                <w:strike w:val="0"/>
                <w:color w:val="FFFFFF"/>
              </w:rPr>
              <w:t>Gap</w:t>
            </w:r>
          </w:p>
        </w:tc>
        <w:tc>
          <w:tcPr>
            <w:tcW w:type="dxa" w:w="2160"/>
            <w:shd w:val="clear" w:fill="1F4E79"/>
          </w:tcPr>
          <w:p>
            <w:r>
              <w:rPr>
                <w:b/>
                <w:color w:val="FFFFFF"/>
              </w:rPr>
            </w:r>
            <w:r>
              <w:rPr>
                <w:b/>
                <w:i w:val="0"/>
                <w:strike w:val="0"/>
                <w:color w:val="FFFFFF"/>
              </w:rPr>
              <w:t>Status (updated 12 Aug 2026)</w:t>
            </w:r>
          </w:p>
        </w:tc>
      </w:tr>
      <w:tr>
        <w:tc>
          <w:tcPr>
            <w:tcW w:type="dxa" w:w="2160"/>
          </w:tcPr>
          <w:p>
            <w:r/>
            <w:r>
              <w:rPr>
                <w:b w:val="0"/>
                <w:i w:val="0"/>
                <w:strike w:val="0"/>
              </w:rPr>
              <w:t>GAP-01</w:t>
            </w:r>
          </w:p>
        </w:tc>
        <w:tc>
          <w:tcPr>
            <w:tcW w:type="dxa" w:w="2160"/>
          </w:tcPr>
          <w:p>
            <w:r/>
            <w:r>
              <w:rPr>
                <w:b w:val="0"/>
                <w:i w:val="0"/>
                <w:strike w:val="0"/>
              </w:rPr>
              <w:t>Testing — Scheduling</w:t>
            </w:r>
          </w:p>
        </w:tc>
        <w:tc>
          <w:tcPr>
            <w:tcW w:type="dxa" w:w="2160"/>
          </w:tcPr>
          <w:p>
            <w:r/>
            <w:r>
              <w:rPr>
                <w:b w:val="0"/>
                <w:i w:val="0"/>
                <w:strike w:val="0"/>
              </w:rPr>
              <w:t xml:space="preserve">⚠ The calendar shows when tests are due, but the exact anchor-date logic (calendar quarter vs. 90 days from onboarding; mid-quarter onboarding handling; missed-test shifting) is not yet defined. </w:t>
            </w:r>
            <w:r>
              <w:br/>
            </w:r>
            <w:r>
              <w:rPr>
                <w:b w:val="0"/>
                <w:i w:val="0"/>
                <w:strike w:val="0"/>
              </w:rPr>
              <w:t xml:space="preserve"> </w:t>
            </w:r>
            <w:r>
              <w:rPr>
                <w:b/>
                <w:i w:val="0"/>
                <w:strike w:val="0"/>
              </w:rPr>
              <w:t>💬 Partial answer:</w:t>
            </w:r>
            <w:r>
              <w:rPr>
                <w:b w:val="0"/>
                <w:i w:val="0"/>
                <w:strike w:val="0"/>
              </w:rPr>
              <w:t xml:space="preserve"> </w:t>
            </w:r>
            <w:r>
              <w:rPr>
                <w:b w:val="0"/>
                <w:i/>
                <w:strike w:val="0"/>
                <w:color w:val="C55A11"/>
              </w:rPr>
              <w:t>Sosinna's guidance is that each test area should be covered within the year, with firms free to prioritise sequencing based on their own risk controls. The specific anchor-date mechanics are still undefined.</w:t>
            </w:r>
            <w:r>
              <w:rPr>
                <w:b w:val="0"/>
                <w:i w:val="0"/>
                <w:strike w:val="0"/>
              </w:rPr>
              <w:t xml:space="preserve"> </w:t>
            </w:r>
            <w:r>
              <w:rPr>
                <w:b w:val="0"/>
                <w:i/>
                <w:strike w:val="0"/>
                <w:color w:val="C55A11"/>
                <w:sz w:val="16"/>
              </w:rPr>
              <w:t xml:space="preserve"> [Sosinna's Drive comment]</w:t>
            </w:r>
            <w:r>
              <w:rPr>
                <w:b w:val="0"/>
                <w:i w:val="0"/>
                <w:strike w:val="0"/>
              </w:rPr>
              <w:t xml:space="preserve"> </w:t>
            </w:r>
            <w:r>
              <w:br/>
            </w:r>
            <w:r>
              <w:rPr>
                <w:b w:val="0"/>
                <w:i w:val="0"/>
                <w:strike w:val="0"/>
              </w:rPr>
              <w:t xml:space="preserve"> </w:t>
            </w:r>
            <w:r>
              <w:rPr>
                <w:b/>
                <w:i/>
                <w:strike w:val="0"/>
                <w:color w:val="7030A0"/>
              </w:rPr>
              <w:t xml:space="preserve">v5.0 update: the pool model (FR-78) removes most of this gap. There is no auto-generated dated entry to anchor, so calendar-quarter vs. 90-days-from-onboarding no longer needs deciding — the CCO sets dates at assignment via the FR-80 scope period. What remains is the period an item is </w:t>
            </w:r>
            <w:r>
              <w:rPr>
                <w:b/>
                <w:i/>
                <w:strike w:val="0"/>
                <w:color w:val="7030A0"/>
              </w:rPr>
              <w:t>owed</w:t>
            </w:r>
            <w:r>
              <w:rPr>
                <w:b/>
                <w:i/>
                <w:strike w:val="0"/>
                <w:color w:val="7030A0"/>
              </w:rPr>
              <w:t xml:space="preserve"> for, which is what TS-01 asks about.</w:t>
            </w:r>
            <w:r>
              <w:rPr>
                <w:b w:val="0"/>
                <w:i w:val="0"/>
                <w:strike w:val="0"/>
              </w:rPr>
              <w:t xml:space="preserve"> </w:t>
            </w:r>
            <w:r>
              <w:rPr>
                <w:b w:val="0"/>
                <w:i/>
                <w:strike w:val="0"/>
                <w:color w:val="7030A0"/>
                <w:sz w:val="16"/>
              </w:rPr>
              <w:t xml:space="preserve"> [Aug 2026 client MOM]</w:t>
            </w:r>
          </w:p>
        </w:tc>
        <w:tc>
          <w:tcPr>
            <w:tcW w:type="dxa" w:w="2160"/>
          </w:tcPr>
          <w:p>
            <w:r/>
            <w:r>
              <w:rPr>
                <w:b/>
                <w:i/>
                <w:strike w:val="0"/>
                <w:color w:val="7030A0"/>
              </w:rPr>
              <w:t>Largely superseded by the pool model — residual question is TS-01</w:t>
            </w:r>
            <w:r>
              <w:rPr>
                <w:b w:val="0"/>
                <w:i w:val="0"/>
                <w:strike w:val="0"/>
              </w:rPr>
              <w:t xml:space="preserve"> </w:t>
            </w:r>
            <w:r>
              <w:rPr>
                <w:b w:val="0"/>
                <w:i/>
                <w:strike w:val="0"/>
                <w:color w:val="7030A0"/>
                <w:sz w:val="16"/>
              </w:rPr>
              <w:t xml:space="preserve"> [Aug 2026 client MOM]</w:t>
            </w:r>
          </w:p>
        </w:tc>
      </w:tr>
      <w:tr>
        <w:tc>
          <w:tcPr>
            <w:tcW w:type="dxa" w:w="2160"/>
          </w:tcPr>
          <w:p>
            <w:r/>
            <w:r>
              <w:rPr>
                <w:b w:val="0"/>
                <w:i w:val="0"/>
                <w:strike w:val="0"/>
              </w:rPr>
              <w:t>GAP-02</w:t>
            </w:r>
          </w:p>
        </w:tc>
        <w:tc>
          <w:tcPr>
            <w:tcW w:type="dxa" w:w="2160"/>
          </w:tcPr>
          <w:p>
            <w:r/>
            <w:r>
              <w:rPr>
                <w:b w:val="0"/>
                <w:i w:val="0"/>
                <w:strike w:val="0"/>
              </w:rPr>
              <w:t>Testing — Scheduling</w:t>
            </w:r>
          </w:p>
        </w:tc>
        <w:tc>
          <w:tcPr>
            <w:tcW w:type="dxa" w:w="2160"/>
          </w:tcPr>
          <w:p>
            <w:r/>
            <w:r>
              <w:rPr>
                <w:b w:val="0"/>
                <w:i w:val="0"/>
                <w:strike w:val="0"/>
              </w:rPr>
              <w:t xml:space="preserve">✏ RES-01 (annual pen test + quarterly vulnerability scan) and BCP-01 (annual BCP drill + semi-annual DR failover) have split frequencies — one ID, two obligations. </w:t>
            </w:r>
            <w:r>
              <w:br/>
            </w:r>
            <w:r>
              <w:rPr>
                <w:b w:val="0"/>
                <w:i w:val="0"/>
                <w:strike w:val="0"/>
              </w:rPr>
              <w:t xml:space="preserve"> </w:t>
            </w:r>
            <w:r>
              <w:rPr>
                <w:b/>
                <w:i w:val="0"/>
                <w:strike w:val="0"/>
              </w:rPr>
              <w:t>💬 RESOLVED:</w:t>
            </w:r>
            <w:r>
              <w:rPr>
                <w:b w:val="0"/>
                <w:i w:val="0"/>
                <w:strike w:val="0"/>
              </w:rPr>
              <w:t xml:space="preserve"> </w:t>
            </w:r>
            <w:r>
              <w:rPr>
                <w:b w:val="0"/>
                <w:i/>
                <w:strike w:val="0"/>
                <w:color w:val="C55A11"/>
              </w:rPr>
              <w:t>treat as different/separate test entries, grouped by ID family (RES-xx = resilience, BCP-xx = business continuity, AML-xx = anti-money laundering, etc.). The scheduler tells the tester which recurrence (annual vs. quarterly) is currently due.</w:t>
            </w:r>
            <w:r>
              <w:rPr>
                <w:b w:val="0"/>
                <w:i w:val="0"/>
                <w:strike w:val="0"/>
              </w:rPr>
              <w:t xml:space="preserve"> </w:t>
            </w:r>
            <w:r>
              <w:rPr>
                <w:b w:val="0"/>
                <w:i/>
                <w:strike w:val="0"/>
                <w:color w:val="C55A11"/>
                <w:sz w:val="16"/>
              </w:rPr>
              <w:t xml:space="preserve"> [Sosinna's Drive comment]</w:t>
            </w:r>
          </w:p>
        </w:tc>
        <w:tc>
          <w:tcPr>
            <w:tcW w:type="dxa" w:w="2160"/>
          </w:tcPr>
          <w:p>
            <w:r/>
            <w:r>
              <w:rPr>
                <w:b w:val="0"/>
                <w:i w:val="0"/>
                <w:strike w:val="0"/>
              </w:rPr>
              <w:t>Resolved</w:t>
            </w:r>
          </w:p>
        </w:tc>
      </w:tr>
      <w:tr>
        <w:tc>
          <w:tcPr>
            <w:tcW w:type="dxa" w:w="2160"/>
          </w:tcPr>
          <w:p>
            <w:r/>
            <w:r>
              <w:rPr>
                <w:b w:val="0"/>
                <w:i w:val="0"/>
                <w:strike w:val="0"/>
              </w:rPr>
              <w:t>GAP-03</w:t>
            </w:r>
          </w:p>
        </w:tc>
        <w:tc>
          <w:tcPr>
            <w:tcW w:type="dxa" w:w="2160"/>
          </w:tcPr>
          <w:p>
            <w:r/>
            <w:r>
              <w:rPr>
                <w:b w:val="0"/>
                <w:i w:val="0"/>
                <w:strike w:val="0"/>
              </w:rPr>
              <w:t>Testing — Scheduling</w:t>
            </w:r>
          </w:p>
        </w:tc>
        <w:tc>
          <w:tcPr>
            <w:tcW w:type="dxa" w:w="2160"/>
          </w:tcPr>
          <w:p>
            <w:r/>
            <w:r>
              <w:rPr>
                <w:b w:val="0"/>
                <w:i w:val="0"/>
                <w:strike w:val="0"/>
              </w:rPr>
              <w:t>✏ RES-02 (advanced resilience testing) applies only to 'significant firms' under DORA. How is significance determined — manual Super Admin flag, or platform-calculated?</w:t>
            </w:r>
          </w:p>
        </w:tc>
        <w:tc>
          <w:tcPr>
            <w:tcW w:type="dxa" w:w="2160"/>
          </w:tcPr>
          <w:p>
            <w:r/>
            <w:r>
              <w:rPr>
                <w:b w:val="0"/>
                <w:i w:val="0"/>
                <w:strike w:val="0"/>
              </w:rPr>
              <w:t>Still open</w:t>
            </w:r>
          </w:p>
        </w:tc>
      </w:tr>
      <w:tr>
        <w:tc>
          <w:tcPr>
            <w:tcW w:type="dxa" w:w="2160"/>
          </w:tcPr>
          <w:p>
            <w:r/>
            <w:r>
              <w:rPr>
                <w:b w:val="0"/>
                <w:i w:val="0"/>
                <w:strike w:val="0"/>
              </w:rPr>
              <w:t>GAP-04</w:t>
            </w:r>
          </w:p>
        </w:tc>
        <w:tc>
          <w:tcPr>
            <w:tcW w:type="dxa" w:w="2160"/>
          </w:tcPr>
          <w:p>
            <w:r/>
            <w:r>
              <w:rPr>
                <w:b w:val="0"/>
                <w:i w:val="0"/>
                <w:strike w:val="0"/>
              </w:rPr>
              <w:t>Testing — Execution</w:t>
            </w:r>
          </w:p>
        </w:tc>
        <w:tc>
          <w:tcPr>
            <w:tcW w:type="dxa" w:w="2160"/>
          </w:tcPr>
          <w:p>
            <w:r/>
            <w:r>
              <w:rPr>
                <w:b w:val="0"/>
                <w:i w:val="0"/>
                <w:strike w:val="0"/>
              </w:rPr>
              <w:t xml:space="preserve">⚠ Does a due test auto-move to 'Ongoing', or does the CCO manually open each testing period? </w:t>
            </w:r>
            <w:r>
              <w:br/>
            </w:r>
            <w:r>
              <w:rPr>
                <w:b w:val="0"/>
                <w:i w:val="0"/>
                <w:strike w:val="0"/>
              </w:rPr>
              <w:t xml:space="preserve"> </w:t>
            </w:r>
            <w:r>
              <w:rPr>
                <w:b/>
                <w:i w:val="0"/>
                <w:strike w:val="0"/>
              </w:rPr>
              <w:t>💬 Mostly resolved:</w:t>
            </w:r>
            <w:r>
              <w:rPr>
                <w:b w:val="0"/>
                <w:i w:val="0"/>
                <w:strike w:val="0"/>
              </w:rPr>
              <w:t xml:space="preserve"> </w:t>
            </w:r>
            <w:r>
              <w:rPr>
                <w:b w:val="0"/>
                <w:i/>
                <w:strike w:val="0"/>
                <w:color w:val="C55A11"/>
              </w:rPr>
              <w:t>there should be a CCO-facing calendar to schedule tests manually — supports the manual-trigger side. New: if a required test isn't scheduled at all, the platform should alert (added to Section 12).</w:t>
            </w:r>
            <w:r>
              <w:rPr>
                <w:b w:val="0"/>
                <w:i w:val="0"/>
                <w:strike w:val="0"/>
              </w:rPr>
              <w:t xml:space="preserve"> </w:t>
            </w:r>
            <w:r>
              <w:rPr>
                <w:b w:val="0"/>
                <w:i/>
                <w:strike w:val="0"/>
                <w:color w:val="C55A11"/>
                <w:sz w:val="16"/>
              </w:rPr>
              <w:t xml:space="preserve"> [Sosinna's Drive comment]</w:t>
            </w:r>
            <w:r>
              <w:rPr>
                <w:b w:val="0"/>
                <w:i w:val="0"/>
                <w:strike w:val="0"/>
              </w:rPr>
              <w:t xml:space="preserve"> </w:t>
            </w:r>
            <w:r>
              <w:br/>
            </w:r>
            <w:r>
              <w:rPr>
                <w:b w:val="0"/>
                <w:i w:val="0"/>
                <w:strike w:val="0"/>
              </w:rPr>
              <w:t xml:space="preserve"> </w:t>
            </w:r>
            <w:r>
              <w:rPr>
                <w:b/>
                <w:i/>
                <w:strike w:val="0"/>
                <w:color w:val="7030A0"/>
              </w:rPr>
              <w:t>v5.0 RESOLVED: nothing auto-moves to Ongoing. An item leaves the pool only when the CCO assigns it to a tester with a scope period (FR-78, FR-79, FR-80). The unassigned-pool alert in Section 12 covers the neglect case.</w:t>
            </w:r>
            <w:r>
              <w:rPr>
                <w:b w:val="0"/>
                <w:i w:val="0"/>
                <w:strike w:val="0"/>
              </w:rPr>
              <w:t xml:space="preserve"> </w:t>
            </w:r>
            <w:r>
              <w:rPr>
                <w:b w:val="0"/>
                <w:i/>
                <w:strike w:val="0"/>
                <w:color w:val="7030A0"/>
                <w:sz w:val="16"/>
              </w:rPr>
              <w:t xml:space="preserve"> [Aug 2026 client MOM]</w:t>
            </w:r>
          </w:p>
        </w:tc>
        <w:tc>
          <w:tcPr>
            <w:tcW w:type="dxa" w:w="2160"/>
          </w:tcPr>
          <w:p>
            <w:r/>
            <w:r>
              <w:rPr>
                <w:b/>
                <w:i/>
                <w:strike w:val="0"/>
                <w:color w:val="7030A0"/>
              </w:rPr>
              <w:t>Resolved</w:t>
            </w:r>
            <w:r>
              <w:rPr>
                <w:b w:val="0"/>
                <w:i w:val="0"/>
                <w:strike w:val="0"/>
              </w:rPr>
              <w:t xml:space="preserve"> </w:t>
            </w:r>
            <w:r>
              <w:rPr>
                <w:b w:val="0"/>
                <w:i/>
                <w:strike w:val="0"/>
                <w:color w:val="7030A0"/>
                <w:sz w:val="16"/>
              </w:rPr>
              <w:t xml:space="preserve"> [Aug 2026 client MOM]</w:t>
            </w:r>
          </w:p>
        </w:tc>
      </w:tr>
      <w:tr>
        <w:tc>
          <w:tcPr>
            <w:tcW w:type="dxa" w:w="2160"/>
          </w:tcPr>
          <w:p>
            <w:r/>
            <w:r>
              <w:rPr>
                <w:b w:val="0"/>
                <w:i w:val="0"/>
                <w:strike w:val="0"/>
              </w:rPr>
              <w:t>GAP-05</w:t>
            </w:r>
          </w:p>
        </w:tc>
        <w:tc>
          <w:tcPr>
            <w:tcW w:type="dxa" w:w="2160"/>
          </w:tcPr>
          <w:p>
            <w:r/>
            <w:r>
              <w:rPr>
                <w:b w:val="0"/>
                <w:i w:val="0"/>
                <w:strike w:val="0"/>
              </w:rPr>
              <w:t>Testing — Execution</w:t>
            </w:r>
          </w:p>
        </w:tc>
        <w:tc>
          <w:tcPr>
            <w:tcW w:type="dxa" w:w="2160"/>
          </w:tcPr>
          <w:p>
            <w:r/>
            <w:r>
              <w:rPr>
                <w:b w:val="0"/>
                <w:i w:val="0"/>
                <w:strike w:val="0"/>
              </w:rPr>
              <w:t xml:space="preserve">✏ Can other team members see an in-progress test, or is it locked to the Lead Tester until submitted? </w:t>
            </w:r>
            <w:r>
              <w:br/>
            </w:r>
            <w:r>
              <w:rPr>
                <w:b w:val="0"/>
                <w:i w:val="0"/>
                <w:strike w:val="0"/>
              </w:rPr>
              <w:t xml:space="preserve"> </w:t>
            </w:r>
            <w:r>
              <w:rPr>
                <w:b/>
                <w:i w:val="0"/>
                <w:strike w:val="0"/>
              </w:rPr>
              <w:t>💬 RESOLVED:</w:t>
            </w:r>
            <w:r>
              <w:rPr>
                <w:b w:val="0"/>
                <w:i w:val="0"/>
                <w:strike w:val="0"/>
              </w:rPr>
              <w:t xml:space="preserve"> </w:t>
            </w:r>
            <w:r>
              <w:rPr>
                <w:b w:val="0"/>
                <w:i/>
                <w:strike w:val="0"/>
                <w:color w:val="C55A11"/>
              </w:rPr>
              <w:t>accessible to those assigned; each new contribution versions the record and is tagged to the contributor. Non-assigned users get view-only, and only senior personnel with entitlements can view at all.</w:t>
            </w:r>
            <w:r>
              <w:rPr>
                <w:b w:val="0"/>
                <w:i w:val="0"/>
                <w:strike w:val="0"/>
              </w:rPr>
              <w:t xml:space="preserve"> </w:t>
            </w:r>
            <w:r>
              <w:rPr>
                <w:b w:val="0"/>
                <w:i/>
                <w:strike w:val="0"/>
                <w:color w:val="C55A11"/>
                <w:sz w:val="16"/>
              </w:rPr>
              <w:t xml:space="preserve"> [Sosinna's Drive comment]</w:t>
            </w:r>
          </w:p>
        </w:tc>
        <w:tc>
          <w:tcPr>
            <w:tcW w:type="dxa" w:w="2160"/>
          </w:tcPr>
          <w:p>
            <w:r/>
            <w:r>
              <w:rPr>
                <w:b w:val="0"/>
                <w:i w:val="0"/>
                <w:strike w:val="0"/>
              </w:rPr>
              <w:t>Resolved</w:t>
            </w:r>
          </w:p>
        </w:tc>
      </w:tr>
      <w:tr>
        <w:tc>
          <w:tcPr>
            <w:tcW w:type="dxa" w:w="2160"/>
          </w:tcPr>
          <w:p>
            <w:r/>
            <w:r>
              <w:rPr>
                <w:b w:val="0"/>
                <w:i w:val="0"/>
                <w:strike w:val="0"/>
              </w:rPr>
              <w:t>GAP-06</w:t>
            </w:r>
          </w:p>
        </w:tc>
        <w:tc>
          <w:tcPr>
            <w:tcW w:type="dxa" w:w="2160"/>
          </w:tcPr>
          <w:p>
            <w:r/>
            <w:r>
              <w:rPr>
                <w:b w:val="0"/>
                <w:i w:val="0"/>
                <w:strike w:val="0"/>
              </w:rPr>
              <w:t>Testing — Remediation</w:t>
            </w:r>
          </w:p>
        </w:tc>
        <w:tc>
          <w:tcPr>
            <w:tcW w:type="dxa" w:w="2160"/>
          </w:tcPr>
          <w:p>
            <w:r/>
            <w:r>
              <w:rPr>
                <w:b w:val="0"/>
                <w:i w:val="0"/>
                <w:strike w:val="0"/>
              </w:rPr>
              <w:t xml:space="preserve">⚠ Who drafts the remediation plan (Lead Tester or CCO)? Can a Remediation Owner be assigned before CCO approval? Can the CCO edit the plan during review? </w:t>
            </w:r>
            <w:r>
              <w:br/>
            </w:r>
            <w:r>
              <w:rPr>
                <w:b w:val="0"/>
                <w:i w:val="0"/>
                <w:strike w:val="0"/>
              </w:rPr>
              <w:t xml:space="preserve"> </w:t>
            </w:r>
            <w:r>
              <w:rPr>
                <w:b/>
                <w:i w:val="0"/>
                <w:strike w:val="0"/>
              </w:rPr>
              <w:t>💬 Mostly resolved:</w:t>
            </w:r>
            <w:r>
              <w:rPr>
                <w:b w:val="0"/>
                <w:i w:val="0"/>
                <w:strike w:val="0"/>
              </w:rPr>
              <w:t xml:space="preserve"> </w:t>
            </w:r>
            <w:r>
              <w:rPr>
                <w:b w:val="0"/>
                <w:i/>
                <w:strike w:val="0"/>
                <w:color w:val="C55A11"/>
              </w:rPr>
              <w:t>findings are communicated to control owners and management first; once consensus is reached, the plan is documented with a timeline. An owner and approver are assigned — the firm can assign a responsible group, and the CCO plus one or two others must approve. Still open: whether a Remediation Owner can be assigned pre-CCO-approval, and what happens to that assignment if the CCO rejects the test.</w:t>
            </w:r>
            <w:r>
              <w:rPr>
                <w:b w:val="0"/>
                <w:i w:val="0"/>
                <w:strike w:val="0"/>
              </w:rPr>
              <w:t xml:space="preserve"> </w:t>
            </w:r>
            <w:r>
              <w:rPr>
                <w:b w:val="0"/>
                <w:i/>
                <w:strike w:val="0"/>
                <w:color w:val="C55A11"/>
                <w:sz w:val="16"/>
              </w:rPr>
              <w:t xml:space="preserve"> [Sosinna's Drive comment]</w:t>
            </w:r>
            <w:r>
              <w:rPr>
                <w:b w:val="0"/>
                <w:i w:val="0"/>
                <w:strike w:val="0"/>
              </w:rPr>
              <w:t xml:space="preserve"> </w:t>
            </w:r>
            <w:r>
              <w:br/>
            </w:r>
            <w:r>
              <w:rPr>
                <w:b w:val="0"/>
                <w:i w:val="0"/>
                <w:strike w:val="0"/>
              </w:rPr>
              <w:t xml:space="preserve"> </w:t>
            </w:r>
            <w:r>
              <w:rPr>
                <w:b/>
                <w:i/>
                <w:strike w:val="0"/>
                <w:color w:val="CC00CC"/>
              </w:rPr>
              <w:t>v8.0 update: FR-136 answers the "who assigns" part — only the CCO can assign a remediation owner, and assignment is one of the CCO's three review outcomes, which also settles the pre-approval question (assignment happens at review, not before). What FR-136 opens instead is the test-level vs. per-milestone ownership model — see GAP-21.</w:t>
            </w:r>
            <w:r>
              <w:rPr>
                <w:b w:val="0"/>
                <w:i w:val="0"/>
                <w:strike w:val="0"/>
              </w:rPr>
              <w:t xml:space="preserve"> </w:t>
            </w:r>
            <w:r>
              <w:rPr>
                <w:b w:val="0"/>
                <w:i/>
                <w:strike w:val="0"/>
                <w:color w:val="CC00CC"/>
                <w:sz w:val="16"/>
              </w:rPr>
              <w:t xml:space="preserve"> [14 Aug 2026 MOM]</w:t>
            </w:r>
          </w:p>
        </w:tc>
        <w:tc>
          <w:tcPr>
            <w:tcW w:type="dxa" w:w="2160"/>
          </w:tcPr>
          <w:p>
            <w:r/>
            <w:r>
              <w:rPr>
                <w:b/>
                <w:i/>
                <w:strike w:val="0"/>
                <w:color w:val="CC00CC"/>
              </w:rPr>
              <w:t>Mostly resolved — remainder folded into GAP-21</w:t>
            </w:r>
            <w:r>
              <w:rPr>
                <w:b w:val="0"/>
                <w:i w:val="0"/>
                <w:strike w:val="0"/>
              </w:rPr>
              <w:t xml:space="preserve"> </w:t>
            </w:r>
            <w:r>
              <w:rPr>
                <w:b w:val="0"/>
                <w:i/>
                <w:strike w:val="0"/>
                <w:color w:val="CC00CC"/>
                <w:sz w:val="16"/>
              </w:rPr>
              <w:t xml:space="preserve"> [14 Aug 2026 MOM]</w:t>
            </w:r>
          </w:p>
        </w:tc>
      </w:tr>
      <w:tr>
        <w:tc>
          <w:tcPr>
            <w:tcW w:type="dxa" w:w="2160"/>
          </w:tcPr>
          <w:p>
            <w:r/>
            <w:r>
              <w:rPr>
                <w:b w:val="0"/>
                <w:i w:val="0"/>
                <w:strike w:val="0"/>
              </w:rPr>
              <w:t>GAP-07</w:t>
            </w:r>
          </w:p>
        </w:tc>
        <w:tc>
          <w:tcPr>
            <w:tcW w:type="dxa" w:w="2160"/>
          </w:tcPr>
          <w:p>
            <w:r/>
            <w:r>
              <w:rPr>
                <w:b w:val="0"/>
                <w:i w:val="0"/>
                <w:strike w:val="0"/>
              </w:rPr>
              <w:t>Testing — Remediation</w:t>
            </w:r>
          </w:p>
        </w:tc>
        <w:tc>
          <w:tcPr>
            <w:tcW w:type="dxa" w:w="2160"/>
          </w:tcPr>
          <w:p>
            <w:r/>
            <w:r>
              <w:rPr>
                <w:b w:val="0"/>
                <w:i w:val="0"/>
                <w:strike w:val="0"/>
              </w:rPr>
              <w:t xml:space="preserve">✏ Does the Remediation Owner see the full Finding and risk rating, or only their own task? </w:t>
            </w:r>
            <w:r>
              <w:br/>
            </w:r>
            <w:r>
              <w:rPr>
                <w:b w:val="0"/>
                <w:i w:val="0"/>
                <w:strike w:val="0"/>
              </w:rPr>
              <w:t xml:space="preserve"> </w:t>
            </w:r>
            <w:r>
              <w:rPr>
                <w:b/>
                <w:i w:val="0"/>
                <w:strike w:val="0"/>
              </w:rPr>
              <w:t>💬 RESOLVED (widens FR-52 — see flag in Section 9.1):</w:t>
            </w:r>
            <w:r>
              <w:rPr>
                <w:b w:val="0"/>
                <w:i w:val="0"/>
                <w:strike w:val="0"/>
              </w:rPr>
              <w:t xml:space="preserve"> </w:t>
            </w:r>
            <w:r>
              <w:rPr>
                <w:b w:val="0"/>
                <w:i/>
                <w:strike w:val="0"/>
                <w:color w:val="C55A11"/>
              </w:rPr>
              <w:t>view access to everything, not just their own item. Audit trail maintained in case records are deleted. Evidence of completion must be provided back to testers for validation.</w:t>
            </w:r>
            <w:r>
              <w:rPr>
                <w:b w:val="0"/>
                <w:i w:val="0"/>
                <w:strike w:val="0"/>
              </w:rPr>
              <w:t xml:space="preserve"> </w:t>
            </w:r>
            <w:r>
              <w:rPr>
                <w:b w:val="0"/>
                <w:i/>
                <w:strike w:val="0"/>
                <w:color w:val="C55A11"/>
                <w:sz w:val="16"/>
              </w:rPr>
              <w:t xml:space="preserve"> [Sosinna's Drive comment]</w:t>
            </w:r>
          </w:p>
        </w:tc>
        <w:tc>
          <w:tcPr>
            <w:tcW w:type="dxa" w:w="2160"/>
          </w:tcPr>
          <w:p>
            <w:r/>
            <w:r>
              <w:rPr>
                <w:b w:val="0"/>
                <w:i w:val="0"/>
                <w:strike w:val="0"/>
              </w:rPr>
              <w:t>Resolved — but creates a contradiction, see Section 9.1</w:t>
            </w:r>
          </w:p>
        </w:tc>
      </w:tr>
      <w:tr>
        <w:tc>
          <w:tcPr>
            <w:tcW w:type="dxa" w:w="2160"/>
          </w:tcPr>
          <w:p>
            <w:r/>
            <w:r>
              <w:rPr>
                <w:b w:val="0"/>
                <w:i w:val="0"/>
                <w:strike w:val="0"/>
              </w:rPr>
              <w:t>GAP-08</w:t>
            </w:r>
          </w:p>
        </w:tc>
        <w:tc>
          <w:tcPr>
            <w:tcW w:type="dxa" w:w="2160"/>
          </w:tcPr>
          <w:p>
            <w:r/>
            <w:r>
              <w:rPr>
                <w:b w:val="0"/>
                <w:i w:val="0"/>
                <w:strike w:val="0"/>
              </w:rPr>
              <w:t>Testing — Remediation</w:t>
            </w:r>
          </w:p>
        </w:tc>
        <w:tc>
          <w:tcPr>
            <w:tcW w:type="dxa" w:w="2160"/>
          </w:tcPr>
          <w:p>
            <w:r/>
            <w:r>
              <w:rPr>
                <w:b w:val="0"/>
                <w:i w:val="0"/>
                <w:strike w:val="0"/>
              </w:rPr>
              <w:t xml:space="preserve">✏ Is there a formal extension request flow for missed deadlines, and what happens if a Remediation Owner is deactivated mid-task? </w:t>
            </w:r>
            <w:r>
              <w:br/>
            </w:r>
            <w:r>
              <w:rPr>
                <w:b w:val="0"/>
                <w:i w:val="0"/>
                <w:strike w:val="0"/>
              </w:rPr>
              <w:t xml:space="preserve"> </w:t>
            </w:r>
            <w:r>
              <w:rPr>
                <w:b/>
                <w:i w:val="0"/>
                <w:strike w:val="0"/>
              </w:rPr>
              <w:t>💬 RESOLVED:</w:t>
            </w:r>
            <w:r>
              <w:rPr>
                <w:b w:val="0"/>
                <w:i w:val="0"/>
                <w:strike w:val="0"/>
              </w:rPr>
              <w:t xml:space="preserve"> </w:t>
            </w:r>
            <w:r>
              <w:rPr>
                <w:b w:val="0"/>
                <w:i/>
                <w:strike w:val="0"/>
                <w:color w:val="C55A11"/>
              </w:rPr>
              <w:t>missed deadline requires documentation and can be manually extended by the CCO or one other Senior role, with a forced written justification field. Missed deadlines trigger reassignment of the owner/task.</w:t>
            </w:r>
            <w:r>
              <w:rPr>
                <w:b w:val="0"/>
                <w:i w:val="0"/>
                <w:strike w:val="0"/>
              </w:rPr>
              <w:t xml:space="preserve"> </w:t>
            </w:r>
            <w:r>
              <w:rPr>
                <w:b w:val="0"/>
                <w:i/>
                <w:strike w:val="0"/>
                <w:color w:val="C55A11"/>
                <w:sz w:val="16"/>
              </w:rPr>
              <w:t xml:space="preserve"> [Sosinna's Drive comment]</w:t>
            </w:r>
          </w:p>
        </w:tc>
        <w:tc>
          <w:tcPr>
            <w:tcW w:type="dxa" w:w="2160"/>
          </w:tcPr>
          <w:p>
            <w:r/>
            <w:r>
              <w:rPr>
                <w:b w:val="0"/>
                <w:i w:val="0"/>
                <w:strike w:val="0"/>
              </w:rPr>
              <w:t>Resolved</w:t>
            </w:r>
          </w:p>
        </w:tc>
      </w:tr>
      <w:tr>
        <w:tc>
          <w:tcPr>
            <w:tcW w:type="dxa" w:w="2160"/>
          </w:tcPr>
          <w:p>
            <w:r/>
            <w:r>
              <w:rPr>
                <w:b w:val="0"/>
                <w:i w:val="0"/>
                <w:strike w:val="0"/>
              </w:rPr>
              <w:t>GAP-09</w:t>
            </w:r>
          </w:p>
        </w:tc>
        <w:tc>
          <w:tcPr>
            <w:tcW w:type="dxa" w:w="2160"/>
          </w:tcPr>
          <w:p>
            <w:r/>
            <w:r>
              <w:rPr>
                <w:b w:val="0"/>
                <w:i w:val="0"/>
                <w:strike w:val="0"/>
              </w:rPr>
              <w:t>WSP</w:t>
            </w:r>
          </w:p>
        </w:tc>
        <w:tc>
          <w:tcPr>
            <w:tcW w:type="dxa" w:w="2160"/>
          </w:tcPr>
          <w:p>
            <w:r/>
            <w:r>
              <w:rPr>
                <w:b w:val="0"/>
                <w:i w:val="0"/>
                <w:strike w:val="0"/>
              </w:rPr>
              <w:t xml:space="preserve">✏ Who can initiate a mapping override — CCO only, or any Compliance Officer with CCO approval? </w:t>
            </w:r>
            <w:r>
              <w:br/>
            </w:r>
            <w:r>
              <w:rPr>
                <w:b w:val="0"/>
                <w:i w:val="0"/>
                <w:strike w:val="0"/>
              </w:rPr>
              <w:t xml:space="preserve"> </w:t>
            </w:r>
            <w:r>
              <w:rPr>
                <w:b/>
                <w:i w:val="0"/>
                <w:strike w:val="0"/>
              </w:rPr>
              <w:t>💬 Partial answer:</w:t>
            </w:r>
            <w:r>
              <w:rPr>
                <w:b w:val="0"/>
                <w:i w:val="0"/>
                <w:strike w:val="0"/>
              </w:rPr>
              <w:t xml:space="preserve"> </w:t>
            </w:r>
            <w:r>
              <w:rPr>
                <w:b w:val="0"/>
                <w:i/>
                <w:strike w:val="0"/>
                <w:color w:val="C55A11"/>
              </w:rPr>
              <w:t>mapping should re-run automatically on a new WSP upload; manual overrides are allowed but must carry a visible manual-change tag. Doesn't specify who is allowed to initiate an override.</w:t>
            </w:r>
            <w:r>
              <w:rPr>
                <w:b w:val="0"/>
                <w:i w:val="0"/>
                <w:strike w:val="0"/>
              </w:rPr>
              <w:t xml:space="preserve"> </w:t>
            </w:r>
            <w:r>
              <w:rPr>
                <w:b w:val="0"/>
                <w:i/>
                <w:strike w:val="0"/>
                <w:color w:val="C55A11"/>
                <w:sz w:val="16"/>
              </w:rPr>
              <w:t xml:space="preserve"> [Sosinna's Drive comment]</w:t>
            </w:r>
          </w:p>
        </w:tc>
        <w:tc>
          <w:tcPr>
            <w:tcW w:type="dxa" w:w="2160"/>
          </w:tcPr>
          <w:p>
            <w:r/>
            <w:r>
              <w:rPr>
                <w:b w:val="0"/>
                <w:i w:val="0"/>
                <w:strike w:val="0"/>
              </w:rPr>
              <w:t>Still partially open</w:t>
            </w:r>
          </w:p>
        </w:tc>
      </w:tr>
      <w:tr>
        <w:tc>
          <w:tcPr>
            <w:tcW w:type="dxa" w:w="2160"/>
          </w:tcPr>
          <w:p>
            <w:r/>
            <w:r>
              <w:rPr>
                <w:b w:val="0"/>
                <w:i w:val="0"/>
                <w:strike w:val="0"/>
              </w:rPr>
              <w:t>GAP-10</w:t>
            </w:r>
          </w:p>
        </w:tc>
        <w:tc>
          <w:tcPr>
            <w:tcW w:type="dxa" w:w="2160"/>
          </w:tcPr>
          <w:p>
            <w:r/>
            <w:r>
              <w:rPr>
                <w:b w:val="0"/>
                <w:i w:val="0"/>
                <w:strike w:val="0"/>
              </w:rPr>
              <w:t>Regulatory Updates</w:t>
            </w:r>
          </w:p>
        </w:tc>
        <w:tc>
          <w:tcPr>
            <w:tcW w:type="dxa" w:w="2160"/>
          </w:tcPr>
          <w:p>
            <w:r/>
            <w:r>
              <w:rPr>
                <w:b w:val="0"/>
                <w:i w:val="0"/>
                <w:strike w:val="0"/>
              </w:rPr>
              <w:t>✏ When a regulation update is published mid-test, does the Lead Tester see a dismissable banner or a persistent notice? Does the system record which rule version the test was run under?</w:t>
            </w:r>
          </w:p>
        </w:tc>
        <w:tc>
          <w:tcPr>
            <w:tcW w:type="dxa" w:w="2160"/>
          </w:tcPr>
          <w:p>
            <w:r/>
            <w:r>
              <w:rPr>
                <w:b w:val="0"/>
                <w:i w:val="0"/>
                <w:strike w:val="0"/>
              </w:rPr>
              <w:t>Still open</w:t>
            </w:r>
          </w:p>
        </w:tc>
      </w:tr>
      <w:tr>
        <w:tc>
          <w:tcPr>
            <w:tcW w:type="dxa" w:w="2160"/>
          </w:tcPr>
          <w:p>
            <w:r/>
            <w:r>
              <w:rPr>
                <w:b w:val="0"/>
                <w:i w:val="0"/>
                <w:strike w:val="0"/>
              </w:rPr>
              <w:t>GAP-11</w:t>
            </w:r>
          </w:p>
        </w:tc>
        <w:tc>
          <w:tcPr>
            <w:tcW w:type="dxa" w:w="2160"/>
          </w:tcPr>
          <w:p>
            <w:r/>
            <w:r>
              <w:rPr>
                <w:b w:val="0"/>
                <w:i w:val="0"/>
                <w:strike w:val="0"/>
              </w:rPr>
              <w:t>User Management</w:t>
            </w:r>
          </w:p>
        </w:tc>
        <w:tc>
          <w:tcPr>
            <w:tcW w:type="dxa" w:w="2160"/>
          </w:tcPr>
          <w:p>
            <w:r/>
            <w:r>
              <w:rPr>
                <w:b w:val="0"/>
                <w:i w:val="0"/>
                <w:strike w:val="0"/>
              </w:rPr>
              <w:t xml:space="preserve">✏ When a user is deactivated, does the platform prompt the CCO to reassign their open items, or leave reassignment as a manual task? </w:t>
            </w:r>
            <w:r>
              <w:br/>
            </w:r>
            <w:r>
              <w:rPr>
                <w:b w:val="0"/>
                <w:i w:val="0"/>
                <w:strike w:val="0"/>
              </w:rPr>
              <w:t xml:space="preserve"> </w:t>
            </w:r>
            <w:r>
              <w:rPr>
                <w:b/>
                <w:i w:val="0"/>
                <w:strike w:val="0"/>
              </w:rPr>
              <w:t>💬 Partial answer:</w:t>
            </w:r>
            <w:r>
              <w:rPr>
                <w:b w:val="0"/>
                <w:i w:val="0"/>
                <w:strike w:val="0"/>
              </w:rPr>
              <w:t xml:space="preserve"> </w:t>
            </w:r>
            <w:r>
              <w:rPr>
                <w:b w:val="0"/>
                <w:i/>
                <w:strike w:val="0"/>
                <w:color w:val="C55A11"/>
              </w:rPr>
              <w:t>any reassignment must be documented with reasoning (e.g. termination, transfer) and kept in an immutable audit trail. Doesn't specify whether the platform force-prompts reassignment or leaves it manual.</w:t>
            </w:r>
            <w:r>
              <w:rPr>
                <w:b w:val="0"/>
                <w:i w:val="0"/>
                <w:strike w:val="0"/>
              </w:rPr>
              <w:t xml:space="preserve"> </w:t>
            </w:r>
            <w:r>
              <w:rPr>
                <w:b w:val="0"/>
                <w:i/>
                <w:strike w:val="0"/>
                <w:color w:val="C55A11"/>
                <w:sz w:val="16"/>
              </w:rPr>
              <w:t xml:space="preserve"> [Sosinna's Drive comment]</w:t>
            </w:r>
          </w:p>
        </w:tc>
        <w:tc>
          <w:tcPr>
            <w:tcW w:type="dxa" w:w="2160"/>
          </w:tcPr>
          <w:p>
            <w:r/>
            <w:r>
              <w:rPr>
                <w:b w:val="0"/>
                <w:i w:val="0"/>
                <w:strike w:val="0"/>
              </w:rPr>
              <w:t>Still partially open</w:t>
            </w:r>
          </w:p>
        </w:tc>
      </w:tr>
      <w:tr>
        <w:tc>
          <w:tcPr>
            <w:tcW w:type="dxa" w:w="2160"/>
          </w:tcPr>
          <w:p>
            <w:r/>
            <w:r>
              <w:rPr>
                <w:b/>
                <w:i/>
                <w:strike w:val="0"/>
              </w:rPr>
              <w:t>GAP-12</w:t>
            </w:r>
          </w:p>
        </w:tc>
        <w:tc>
          <w:tcPr>
            <w:tcW w:type="dxa" w:w="2160"/>
          </w:tcPr>
          <w:p>
            <w:r/>
            <w:r>
              <w:rPr>
                <w:b/>
                <w:i/>
                <w:strike w:val="0"/>
              </w:rPr>
              <w:t>Testing — Evidence</w:t>
            </w:r>
          </w:p>
        </w:tc>
        <w:tc>
          <w:tcPr>
            <w:tcW w:type="dxa" w:w="2160"/>
          </w:tcPr>
          <w:p>
            <w:r/>
            <w:r>
              <w:rPr>
                <w:b/>
                <w:i/>
                <w:strike w:val="0"/>
                <w:color w:val="7030A0"/>
              </w:rPr>
              <w:t>⚠ FR-25 already provides an exportable document checklist the Lead Tester shares with IT, Finance, or Legal. The v5.0 request register (Section 7.4) covers the same ground with dates, statuses, and verification. It is not defined whether the register replaces that checklist or whether the checklist survives as the offline/PDF form of the register. Building both as separate features would be duplicated scope.</w:t>
            </w:r>
            <w:r>
              <w:rPr>
                <w:b w:val="0"/>
                <w:i w:val="0"/>
                <w:strike w:val="0"/>
              </w:rPr>
              <w:t xml:space="preserve"> </w:t>
            </w:r>
            <w:r>
              <w:rPr>
                <w:b w:val="0"/>
                <w:i/>
                <w:strike w:val="0"/>
                <w:color w:val="7030A0"/>
                <w:sz w:val="16"/>
              </w:rPr>
              <w:t xml:space="preserve"> [Aug 2026 client MOM]</w:t>
            </w:r>
          </w:p>
        </w:tc>
        <w:tc>
          <w:tcPr>
            <w:tcW w:type="dxa" w:w="2160"/>
          </w:tcPr>
          <w:p>
            <w:r/>
            <w:r>
              <w:rPr>
                <w:b/>
                <w:i/>
                <w:strike w:val="0"/>
              </w:rPr>
              <w:t>New in v5.0 — open</w:t>
            </w:r>
          </w:p>
        </w:tc>
      </w:tr>
      <w:tr>
        <w:tc>
          <w:tcPr>
            <w:tcW w:type="dxa" w:w="2160"/>
          </w:tcPr>
          <w:p>
            <w:r/>
            <w:r>
              <w:rPr>
                <w:b/>
                <w:i/>
                <w:strike w:val="0"/>
              </w:rPr>
              <w:t>GAP-13</w:t>
            </w:r>
          </w:p>
        </w:tc>
        <w:tc>
          <w:tcPr>
            <w:tcW w:type="dxa" w:w="2160"/>
          </w:tcPr>
          <w:p>
            <w:r/>
            <w:r>
              <w:rPr>
                <w:b/>
                <w:i/>
                <w:strike w:val="0"/>
              </w:rPr>
              <w:t>Testing — Evidence</w:t>
            </w:r>
          </w:p>
        </w:tc>
        <w:tc>
          <w:tcPr>
            <w:tcW w:type="dxa" w:w="2160"/>
          </w:tcPr>
          <w:p>
            <w:r/>
            <w:r>
              <w:rPr>
                <w:b/>
                <w:i/>
                <w:strike w:val="0"/>
                <w:color w:val="7030A0"/>
              </w:rPr>
              <w:t>⚠ Business-side uploads enter the platform before a tester has looked at them (FR-88 to FR-91). GAP-05 established that non-assigned users get view-only and that only entitled senior personnel can view a test at all. It is not defined who can see a business-side upload between receipt and verification, or whether an unverified upload appears on the test record at all. Touches the request workflow, the test record, and the audit trail.</w:t>
            </w:r>
            <w:r>
              <w:rPr>
                <w:b w:val="0"/>
                <w:i w:val="0"/>
                <w:strike w:val="0"/>
              </w:rPr>
              <w:t xml:space="preserve"> </w:t>
            </w:r>
            <w:r>
              <w:rPr>
                <w:b w:val="0"/>
                <w:i/>
                <w:strike w:val="0"/>
                <w:color w:val="7030A0"/>
                <w:sz w:val="16"/>
              </w:rPr>
              <w:t xml:space="preserve"> [Aug 2026 client MOM]</w:t>
            </w:r>
          </w:p>
        </w:tc>
        <w:tc>
          <w:tcPr>
            <w:tcW w:type="dxa" w:w="2160"/>
          </w:tcPr>
          <w:p>
            <w:r/>
            <w:r>
              <w:rPr>
                <w:b/>
                <w:i/>
                <w:strike w:val="0"/>
              </w:rPr>
              <w:t>New in v5.0 — open</w:t>
            </w:r>
          </w:p>
        </w:tc>
      </w:tr>
      <w:tr>
        <w:tc>
          <w:tcPr>
            <w:tcW w:type="dxa" w:w="2160"/>
          </w:tcPr>
          <w:p>
            <w:r/>
            <w:r>
              <w:rPr>
                <w:b/>
                <w:i/>
                <w:strike w:val="0"/>
              </w:rPr>
              <w:t>GAP-14</w:t>
            </w:r>
          </w:p>
        </w:tc>
        <w:tc>
          <w:tcPr>
            <w:tcW w:type="dxa" w:w="2160"/>
          </w:tcPr>
          <w:p>
            <w:r/>
            <w:r>
              <w:rPr>
                <w:b/>
                <w:i/>
                <w:strike w:val="0"/>
              </w:rPr>
              <w:t>Testing — Scheduling</w:t>
            </w:r>
          </w:p>
        </w:tc>
        <w:tc>
          <w:tcPr>
            <w:tcW w:type="dxa" w:w="2160"/>
          </w:tcPr>
          <w:p>
            <w:r/>
            <w:r>
              <w:rPr>
                <w:b/>
                <w:i/>
                <w:strike w:val="0"/>
                <w:color w:val="7030A0"/>
              </w:rPr>
              <w:t>✏ Under the pool model the CCO assigns items one at a time. For a firm with a large test set that is a lot of manual work each period. It is not defined whether bulk assignment, saved assignment patterns, or carry-forward of the previous period's tester allocation is in scope — the stated goal was reducing UI clutter, not increasing CCO clicks.</w:t>
            </w:r>
            <w:r>
              <w:rPr>
                <w:b w:val="0"/>
                <w:i w:val="0"/>
                <w:strike w:val="0"/>
              </w:rPr>
              <w:t xml:space="preserve"> </w:t>
            </w:r>
            <w:r>
              <w:rPr>
                <w:b w:val="0"/>
                <w:i/>
                <w:strike w:val="0"/>
                <w:color w:val="7030A0"/>
                <w:sz w:val="16"/>
              </w:rPr>
              <w:t xml:space="preserve"> [Aug 2026 client MOM]</w:t>
            </w:r>
            <w:r>
              <w:rPr>
                <w:b w:val="0"/>
                <w:i w:val="0"/>
                <w:strike w:val="0"/>
              </w:rPr>
              <w:t xml:space="preserve"> </w:t>
            </w:r>
            <w:r>
              <w:br/>
            </w:r>
            <w:r>
              <w:rPr>
                <w:b w:val="0"/>
                <w:i w:val="0"/>
                <w:strike w:val="0"/>
              </w:rPr>
              <w:t xml:space="preserve"> </w:t>
            </w:r>
            <w:r>
              <w:rPr>
                <w:b/>
                <w:i/>
                <w:strike w:val="0"/>
                <w:color w:val="008080"/>
              </w:rPr>
              <w:t>v6.0 note: FR-106 fan-out makes this worse, not better — splitting one test across four testers multiplies the assignment actions. Resolve GAP-14 and GAP-15 together.</w:t>
            </w:r>
            <w:r>
              <w:rPr>
                <w:b w:val="0"/>
                <w:i w:val="0"/>
                <w:strike w:val="0"/>
              </w:rPr>
              <w:t xml:space="preserve"> </w:t>
            </w:r>
            <w:r>
              <w:rPr>
                <w:b w:val="0"/>
                <w:i/>
                <w:strike w:val="0"/>
                <w:color w:val="008080"/>
                <w:sz w:val="16"/>
              </w:rPr>
              <w:t xml:space="preserve"> [11 Aug 2026 MOM]</w:t>
            </w:r>
          </w:p>
        </w:tc>
        <w:tc>
          <w:tcPr>
            <w:tcW w:type="dxa" w:w="2160"/>
          </w:tcPr>
          <w:p>
            <w:r/>
            <w:r>
              <w:rPr>
                <w:b/>
                <w:i/>
                <w:strike w:val="0"/>
                <w:color w:val="7B3F00"/>
              </w:rPr>
              <w:t>New in v5.0 — open, widened in v6.0, widened again in v11.0.</w:t>
            </w:r>
            <w:r>
              <w:rPr>
                <w:b w:val="0"/>
                <w:i w:val="0"/>
                <w:strike w:val="0"/>
              </w:rPr>
              <w:t xml:space="preserve"> </w:t>
            </w:r>
            <w:r>
              <w:rPr>
                <w:b/>
                <w:i/>
                <w:strike w:val="0"/>
                <w:color w:val="7B3F00"/>
              </w:rPr>
              <w:t>Under FR-79 the pool holds requirements, so a firm with a large test set faces more pool items than it did when the pool held tests. Bulk assignment, saved allocation patterns or carry-forward of the previous period's tester now matter more, not less. The counter-argument is that requirements carry their own business unit (FR-82) and schedule (FR-146), so the platform has enough information to propose an assignment rather than ask for one from scratch — that proposal is the obvious shape of the answer and should be scoped with this gap.</w:t>
            </w:r>
            <w:r>
              <w:rPr>
                <w:b w:val="0"/>
                <w:i w:val="0"/>
                <w:strike w:val="0"/>
              </w:rPr>
              <w:t xml:space="preserve"> </w:t>
            </w:r>
            <w:r>
              <w:rPr>
                <w:b w:val="0"/>
                <w:i/>
                <w:strike w:val="0"/>
                <w:color w:val="7B3F00"/>
                <w:sz w:val="16"/>
              </w:rPr>
              <w:t xml:space="preserve"> [Sep 2026 test model]</w:t>
            </w:r>
          </w:p>
        </w:tc>
      </w:tr>
      <w:tr>
        <w:tc>
          <w:tcPr>
            <w:tcW w:type="dxa" w:w="2160"/>
          </w:tcPr>
          <w:p>
            <w:r/>
            <w:r>
              <w:rPr>
                <w:b/>
                <w:i/>
                <w:strike w:val="0"/>
              </w:rPr>
              <w:t>GAP-15</w:t>
            </w:r>
          </w:p>
        </w:tc>
        <w:tc>
          <w:tcPr>
            <w:tcW w:type="dxa" w:w="2160"/>
          </w:tcPr>
          <w:p>
            <w:r/>
            <w:r>
              <w:rPr>
                <w:b/>
                <w:i/>
                <w:strike w:val="0"/>
              </w:rPr>
              <w:t>Testing — Execution</w:t>
            </w:r>
          </w:p>
        </w:tc>
        <w:tc>
          <w:tcPr>
            <w:tcW w:type="dxa" w:w="2160"/>
          </w:tcPr>
          <w:p>
            <w:r/>
            <w:r>
              <w:rPr>
                <w:b/>
                <w:i/>
                <w:strike w:val="0"/>
                <w:color w:val="008080"/>
              </w:rPr>
              <w:t>⚠ FR-106 lets the CCO split one test across several testers by article. FR-21 says each test has exactly one Lead Tester who owns the formal result, and step 7 of Section 7.1 has that person record a single Pass / Fail / Observation. These cannot both hold. The workflow needs defining end to end: who records the result, what happens when one tester finishes their articles and another has not, whether a partially-complete test can be submitted, and how the AML sign-off in step 11 works when the AML-relevant articles were only one tester's share. Touches the test data model, the approval chain and the report.</w:t>
            </w:r>
            <w:r>
              <w:rPr>
                <w:b w:val="0"/>
                <w:i w:val="0"/>
                <w:strike w:val="0"/>
              </w:rPr>
              <w:t xml:space="preserve"> </w:t>
            </w:r>
            <w:r>
              <w:rPr>
                <w:b w:val="0"/>
                <w:i/>
                <w:strike w:val="0"/>
                <w:color w:val="008080"/>
                <w:sz w:val="16"/>
              </w:rPr>
              <w:t xml:space="preserve"> [11 Aug 2026 MOM]</w:t>
            </w:r>
          </w:p>
        </w:tc>
        <w:tc>
          <w:tcPr>
            <w:tcW w:type="dxa" w:w="2160"/>
          </w:tcPr>
          <w:p>
            <w:r/>
            <w:r>
              <w:rPr>
                <w:b/>
                <w:i/>
                <w:strike w:val="0"/>
                <w:color w:val="7B3F00"/>
              </w:rPr>
              <w:t>RESOLVED in v11.0.</w:t>
            </w:r>
            <w:r>
              <w:rPr>
                <w:b w:val="0"/>
                <w:i w:val="0"/>
                <w:strike w:val="0"/>
              </w:rPr>
              <w:t xml:space="preserve"> </w:t>
            </w:r>
            <w:r>
              <w:rPr>
                <w:b/>
                <w:i/>
                <w:strike w:val="0"/>
                <w:color w:val="7B3F00"/>
              </w:rPr>
              <w:t>FR-21 now gives each requirement one Lead Tester, and FR-144 rolls the requirement results up into the test result, which the CCO confirms. The contradiction is gone because the two statements no longer describe the same object: a Lead Tester owns a requirement, and nobody owns the test result. The residue — whether a test can be submitted with requirements still open — is carried forward as TS-09 rather than left inside this gap.</w:t>
            </w:r>
            <w:r>
              <w:rPr>
                <w:b w:val="0"/>
                <w:i w:val="0"/>
                <w:strike w:val="0"/>
              </w:rPr>
              <w:t xml:space="preserve"> </w:t>
            </w:r>
            <w:r>
              <w:rPr>
                <w:b w:val="0"/>
                <w:i/>
                <w:strike w:val="0"/>
                <w:color w:val="7B3F00"/>
                <w:sz w:val="16"/>
              </w:rPr>
              <w:t xml:space="preserve"> [Sep 2026 test model]</w:t>
            </w:r>
          </w:p>
        </w:tc>
      </w:tr>
      <w:tr>
        <w:tc>
          <w:tcPr>
            <w:tcW w:type="dxa" w:w="2160"/>
          </w:tcPr>
          <w:p>
            <w:r/>
            <w:r>
              <w:rPr>
                <w:b/>
                <w:i/>
                <w:strike w:val="0"/>
              </w:rPr>
              <w:t>GAP-16</w:t>
            </w:r>
          </w:p>
        </w:tc>
        <w:tc>
          <w:tcPr>
            <w:tcW w:type="dxa" w:w="2160"/>
          </w:tcPr>
          <w:p>
            <w:r/>
            <w:r>
              <w:rPr>
                <w:b/>
                <w:i/>
                <w:strike w:val="0"/>
              </w:rPr>
              <w:t>Testing — Evidence</w:t>
            </w:r>
          </w:p>
        </w:tc>
        <w:tc>
          <w:tcPr>
            <w:tcW w:type="dxa" w:w="2160"/>
          </w:tcPr>
          <w:p>
            <w:r/>
            <w:r>
              <w:rPr>
                <w:b/>
                <w:i/>
                <w:strike w:val="0"/>
                <w:color w:val="008080"/>
              </w:rPr>
              <w:t>⚠ The FR-111 request portal overlaps the FR-89 mismatch notification, the FR-84 supplementary request, and the EV-03 upload surface. Before the effort assessment the client asked for can be produced, it has to be decided what the portal is: a comment thread on an existing request item, or a separate destination with its own identity and inbox. The answer depends on EV-03 — a business owner with no login cannot hold a conversation in a place they cannot reach.</w:t>
            </w:r>
            <w:r>
              <w:rPr>
                <w:b w:val="0"/>
                <w:i w:val="0"/>
                <w:strike w:val="0"/>
              </w:rPr>
              <w:t xml:space="preserve"> </w:t>
            </w:r>
            <w:r>
              <w:rPr>
                <w:b w:val="0"/>
                <w:i/>
                <w:strike w:val="0"/>
                <w:color w:val="008080"/>
                <w:sz w:val="16"/>
              </w:rPr>
              <w:t xml:space="preserve"> [11 Aug 2026 MOM]</w:t>
            </w:r>
          </w:p>
        </w:tc>
        <w:tc>
          <w:tcPr>
            <w:tcW w:type="dxa" w:w="2160"/>
          </w:tcPr>
          <w:p>
            <w:r/>
            <w:r>
              <w:rPr>
                <w:b/>
                <w:i/>
                <w:strike w:val="0"/>
                <w:color w:val="C00000"/>
              </w:rPr>
              <w:t>New in v6.0 — open, blocks the EV-07 estimate</w:t>
            </w:r>
            <w:r>
              <w:rPr>
                <w:b w:val="0"/>
                <w:i w:val="0"/>
                <w:strike w:val="0"/>
              </w:rPr>
              <w:t xml:space="preserve"> </w:t>
            </w:r>
            <w:r>
              <w:rPr>
                <w:b/>
                <w:i/>
                <w:strike w:val="0"/>
                <w:color w:val="C00000"/>
              </w:rPr>
              <w:t>v9.0: the EV-03 leg of this overlap is settled — the upload surface is a scoped expiring link. GAP-16 now turns only on whether FR-111 is in scope at all.</w:t>
            </w:r>
            <w:r>
              <w:rPr>
                <w:b w:val="0"/>
                <w:i w:val="0"/>
                <w:strike w:val="0"/>
              </w:rPr>
              <w:t xml:space="preserve"> </w:t>
            </w:r>
            <w:r>
              <w:rPr>
                <w:b w:val="0"/>
                <w:i/>
                <w:strike w:val="0"/>
                <w:color w:val="C00000"/>
                <w:sz w:val="16"/>
              </w:rPr>
              <w:t xml:space="preserve"> [Sep 2026 scope decision]</w:t>
            </w:r>
          </w:p>
        </w:tc>
      </w:tr>
      <w:tr>
        <w:tc>
          <w:tcPr>
            <w:tcW w:type="dxa" w:w="2160"/>
          </w:tcPr>
          <w:p>
            <w:r/>
            <w:r>
              <w:rPr>
                <w:b/>
                <w:i/>
                <w:strike w:val="0"/>
              </w:rPr>
              <w:t>GAP-17</w:t>
            </w:r>
          </w:p>
        </w:tc>
        <w:tc>
          <w:tcPr>
            <w:tcW w:type="dxa" w:w="2160"/>
          </w:tcPr>
          <w:p>
            <w:r/>
            <w:r>
              <w:rPr>
                <w:b/>
                <w:i/>
                <w:strike w:val="0"/>
              </w:rPr>
              <w:t>Testing / WSP</w:t>
            </w:r>
          </w:p>
        </w:tc>
        <w:tc>
          <w:tcPr>
            <w:tcW w:type="dxa" w:w="2160"/>
          </w:tcPr>
          <w:p>
            <w:r/>
            <w:r>
              <w:rPr>
                <w:b/>
                <w:i/>
                <w:strike w:val="0"/>
                <w:color w:val="008080"/>
              </w:rPr>
              <w:t>✏ FR-112 (gap identification against evidence, per test) and FR-34 (gap analysis of the WSP against Requirement IDs) both answer "where does this firm not meet the rules" and both rely on an article-to-policy mapping. It is not defined whether they share one mapping and one gap register with two views, or are built as two features. Building two is duplicated scope; merging them naively loses the distinction between a documentation gap and an evidence gap, which matters to the tester.</w:t>
            </w:r>
            <w:r>
              <w:rPr>
                <w:b w:val="0"/>
                <w:i w:val="0"/>
                <w:strike w:val="0"/>
              </w:rPr>
              <w:t xml:space="preserve"> </w:t>
            </w:r>
            <w:r>
              <w:rPr>
                <w:b w:val="0"/>
                <w:i/>
                <w:strike w:val="0"/>
                <w:color w:val="008080"/>
                <w:sz w:val="16"/>
              </w:rPr>
              <w:t xml:space="preserve"> [11 Aug 2026 MOM]</w:t>
            </w:r>
          </w:p>
        </w:tc>
        <w:tc>
          <w:tcPr>
            <w:tcW w:type="dxa" w:w="2160"/>
          </w:tcPr>
          <w:p>
            <w:r/>
            <w:r>
              <w:rPr>
                <w:b/>
                <w:i/>
                <w:strike w:val="0"/>
              </w:rPr>
              <w:t>New in v6.0 — open</w:t>
            </w:r>
          </w:p>
        </w:tc>
      </w:tr>
      <w:tr>
        <w:tc>
          <w:tcPr>
            <w:tcW w:type="dxa" w:w="2160"/>
          </w:tcPr>
          <w:p>
            <w:r/>
            <w:r>
              <w:rPr>
                <w:b/>
                <w:i/>
                <w:strike w:val="0"/>
              </w:rPr>
              <w:t>GAP-18</w:t>
            </w:r>
          </w:p>
        </w:tc>
        <w:tc>
          <w:tcPr>
            <w:tcW w:type="dxa" w:w="2160"/>
          </w:tcPr>
          <w:p>
            <w:r/>
            <w:r>
              <w:rPr>
                <w:b/>
                <w:i/>
                <w:strike w:val="0"/>
              </w:rPr>
              <w:t>Onboarding — Commercial</w:t>
            </w:r>
          </w:p>
        </w:tc>
        <w:tc>
          <w:tcPr>
            <w:tcW w:type="dxa" w:w="2160"/>
          </w:tcPr>
          <w:p>
            <w:r/>
            <w:r>
              <w:rPr>
                <w:b/>
                <w:i/>
                <w:strike w:val="0"/>
                <w:color w:val="843C0C"/>
              </w:rPr>
              <w:t>⚠ MKT-02 states the platform has no self-serve checkout and does not process payment; FR-123 has the firm paying in-platform before first login. These are reconcilable — the price is agreed offline and merely collected on screen — but the document must say so in one voice before it is signed as a baseline, because "no checkout" and "a checkout" are what a fixed-fee dispute is made of. Needs a single agreed statement of what is and is not self-serve.</w:t>
            </w:r>
            <w:r>
              <w:rPr>
                <w:b w:val="0"/>
                <w:i w:val="0"/>
                <w:strike w:val="0"/>
              </w:rPr>
              <w:t xml:space="preserve"> </w:t>
            </w:r>
            <w:r>
              <w:rPr>
                <w:b w:val="0"/>
                <w:i/>
                <w:strike w:val="0"/>
                <w:color w:val="843C0C"/>
                <w:sz w:val="16"/>
              </w:rPr>
              <w:t xml:space="preserve"> [Aug 2026 onboarding flow]</w:t>
            </w:r>
          </w:p>
        </w:tc>
        <w:tc>
          <w:tcPr>
            <w:tcW w:type="dxa" w:w="2160"/>
          </w:tcPr>
          <w:p>
            <w:r/>
            <w:r>
              <w:rPr>
                <w:b/>
                <w:i/>
                <w:strike w:val="0"/>
              </w:rPr>
              <w:t>New in v7.0 — open, resolve before signature</w:t>
            </w:r>
          </w:p>
        </w:tc>
      </w:tr>
      <w:tr>
        <w:tc>
          <w:tcPr>
            <w:tcW w:type="dxa" w:w="2160"/>
          </w:tcPr>
          <w:p>
            <w:r/>
            <w:r>
              <w:rPr>
                <w:b/>
                <w:i/>
                <w:strike w:val="0"/>
              </w:rPr>
              <w:t>GAP-19</w:t>
            </w:r>
          </w:p>
        </w:tc>
        <w:tc>
          <w:tcPr>
            <w:tcW w:type="dxa" w:w="2160"/>
          </w:tcPr>
          <w:p>
            <w:r/>
            <w:r>
              <w:rPr>
                <w:b/>
                <w:i/>
                <w:strike w:val="0"/>
              </w:rPr>
              <w:t>Onboarding — Commercial</w:t>
            </w:r>
          </w:p>
        </w:tc>
        <w:tc>
          <w:tcPr>
            <w:tcW w:type="dxa" w:w="2160"/>
          </w:tcPr>
          <w:p>
            <w:r/>
            <w:r>
              <w:rPr>
                <w:b/>
                <w:i/>
                <w:strike w:val="0"/>
                <w:color w:val="843C0C"/>
              </w:rPr>
              <w:t>⚠ CC-06 makes Synergy the reseller billing firms directly, while FR-123 collects payment through the platform. Undefined: whose merchant account receives the money, whose name is on the receipt, who issues the VAT invoice, who handles refunds and chargebacks, and who the firm contacts when payment fails. Each answer changes what gets built. Blocks the Section 5.7 estimate together with ON-01.</w:t>
            </w:r>
            <w:r>
              <w:rPr>
                <w:b w:val="0"/>
                <w:i w:val="0"/>
                <w:strike w:val="0"/>
              </w:rPr>
              <w:t xml:space="preserve"> </w:t>
            </w:r>
            <w:r>
              <w:rPr>
                <w:b w:val="0"/>
                <w:i/>
                <w:strike w:val="0"/>
                <w:color w:val="843C0C"/>
                <w:sz w:val="16"/>
              </w:rPr>
              <w:t xml:space="preserve"> [Aug 2026 onboarding flow]</w:t>
            </w:r>
          </w:p>
        </w:tc>
        <w:tc>
          <w:tcPr>
            <w:tcW w:type="dxa" w:w="2160"/>
          </w:tcPr>
          <w:p>
            <w:r/>
            <w:r>
              <w:rPr>
                <w:b/>
                <w:i/>
                <w:strike w:val="0"/>
              </w:rPr>
              <w:t>New in v7.0 — open, estimation blocker</w:t>
            </w:r>
          </w:p>
        </w:tc>
      </w:tr>
      <w:tr>
        <w:tc>
          <w:tcPr>
            <w:tcW w:type="dxa" w:w="2160"/>
          </w:tcPr>
          <w:p>
            <w:r/>
            <w:r>
              <w:rPr>
                <w:b/>
                <w:i/>
                <w:strike w:val="0"/>
              </w:rPr>
              <w:t>GAP-20</w:t>
            </w:r>
          </w:p>
        </w:tc>
        <w:tc>
          <w:tcPr>
            <w:tcW w:type="dxa" w:w="2160"/>
          </w:tcPr>
          <w:p>
            <w:r/>
            <w:r>
              <w:rPr>
                <w:b/>
                <w:i/>
                <w:strike w:val="0"/>
              </w:rPr>
              <w:t>Onboarding — Data</w:t>
            </w:r>
          </w:p>
        </w:tc>
        <w:tc>
          <w:tcPr>
            <w:tcW w:type="dxa" w:w="2160"/>
          </w:tcPr>
          <w:p>
            <w:r/>
            <w:r>
              <w:rPr>
                <w:b/>
                <w:i/>
                <w:strike w:val="0"/>
                <w:color w:val="843C0C"/>
              </w:rPr>
              <w:t>✏ An abandoned onboarding leaves real firm data in the platform — licence number, financial reports, staff names and reporting lines — for a firm that never became a client and never paid. Section 2 says the platform does not delete; GDPR data minimisation says do not keep what you do not need. Neither position was written with prospects in mind. Needs a retention and deletion rule specific to enquiries and incomplete onboardings, plus a decision on what a firm can ask to have erased. Tracked as ON-08.</w:t>
            </w:r>
            <w:r>
              <w:rPr>
                <w:b w:val="0"/>
                <w:i w:val="0"/>
                <w:strike w:val="0"/>
              </w:rPr>
              <w:t xml:space="preserve"> </w:t>
            </w:r>
            <w:r>
              <w:rPr>
                <w:b w:val="0"/>
                <w:i/>
                <w:strike w:val="0"/>
                <w:color w:val="843C0C"/>
                <w:sz w:val="16"/>
              </w:rPr>
              <w:t xml:space="preserve"> [Aug 2026 onboarding flow]</w:t>
            </w:r>
          </w:p>
        </w:tc>
        <w:tc>
          <w:tcPr>
            <w:tcW w:type="dxa" w:w="2160"/>
          </w:tcPr>
          <w:p>
            <w:r/>
            <w:r>
              <w:rPr>
                <w:b/>
                <w:i/>
                <w:strike w:val="0"/>
              </w:rPr>
              <w:t>New in v7.0 — open</w:t>
            </w:r>
          </w:p>
        </w:tc>
      </w:tr>
      <w:tr>
        <w:tc>
          <w:tcPr>
            <w:tcW w:type="dxa" w:w="2160"/>
          </w:tcPr>
          <w:p>
            <w:r/>
            <w:r>
              <w:rPr>
                <w:b/>
                <w:i/>
                <w:strike w:val="0"/>
              </w:rPr>
              <w:t>GAP-21</w:t>
            </w:r>
          </w:p>
        </w:tc>
        <w:tc>
          <w:tcPr>
            <w:tcW w:type="dxa" w:w="2160"/>
          </w:tcPr>
          <w:p>
            <w:r/>
            <w:r>
              <w:rPr>
                <w:b/>
                <w:i/>
                <w:strike w:val="0"/>
              </w:rPr>
              <w:t>Testing — Remediation</w:t>
            </w:r>
          </w:p>
        </w:tc>
        <w:tc>
          <w:tcPr>
            <w:tcW w:type="dxa" w:w="2160"/>
          </w:tcPr>
          <w:p>
            <w:r/>
            <w:r>
              <w:rPr>
                <w:b/>
                <w:i/>
                <w:strike w:val="0"/>
                <w:color w:val="CC00CC"/>
              </w:rPr>
              <w:t xml:space="preserve">⚠ FR-136 has the CCO assigning a remediation owner </w:t>
            </w:r>
            <w:r>
              <w:rPr>
                <w:b/>
                <w:i/>
                <w:strike w:val="0"/>
                <w:color w:val="CC00CC"/>
              </w:rPr>
              <w:t>to a test</w:t>
            </w:r>
            <w:r>
              <w:rPr>
                <w:b/>
                <w:i/>
                <w:strike w:val="0"/>
                <w:color w:val="CC00CC"/>
              </w:rPr>
              <w:t xml:space="preserve"> as a review outcome; FR-41 assigns owners per remediation milestone, per Finding, and step 9 of Section 7.1 has the plan drafted by the Lead Tester or CCO with owners notified immediately. These models must be reconciled before the remediation data model is built: is the test-level owner a single accountable owner above per-milestone owners, or a replacement for them? What happens to a test with multiple Findings whose fixes belong to different people? And when the CCO chooses "assign a remediation owner" instead of "mark completed", what state is the test in — completed-with-remediation, or held open until remediation closes? Resolve together with the remainder of GAP-06.</w:t>
            </w:r>
            <w:r>
              <w:rPr>
                <w:b w:val="0"/>
                <w:i w:val="0"/>
                <w:strike w:val="0"/>
              </w:rPr>
              <w:t xml:space="preserve"> </w:t>
            </w:r>
            <w:r>
              <w:rPr>
                <w:b w:val="0"/>
                <w:i/>
                <w:strike w:val="0"/>
                <w:color w:val="CC00CC"/>
                <w:sz w:val="16"/>
              </w:rPr>
              <w:t xml:space="preserve"> [14 Aug 2026 MOM]</w:t>
            </w:r>
          </w:p>
        </w:tc>
        <w:tc>
          <w:tcPr>
            <w:tcW w:type="dxa" w:w="2160"/>
          </w:tcPr>
          <w:p>
            <w:r/>
            <w:r>
              <w:rPr>
                <w:b/>
                <w:i/>
                <w:strike w:val="0"/>
              </w:rPr>
              <w:t>New in v8.0 — open</w:t>
            </w:r>
          </w:p>
        </w:tc>
      </w:tr>
      <w:tr>
        <w:tc>
          <w:tcPr>
            <w:tcW w:type="dxa" w:w="2160"/>
          </w:tcPr>
          <w:p>
            <w:r/>
            <w:r>
              <w:rPr>
                <w:b/>
                <w:i/>
                <w:strike w:val="0"/>
              </w:rPr>
              <w:t>GAP-22</w:t>
            </w:r>
          </w:p>
        </w:tc>
        <w:tc>
          <w:tcPr>
            <w:tcW w:type="dxa" w:w="2160"/>
          </w:tcPr>
          <w:p>
            <w:r/>
            <w:r>
              <w:rPr>
                <w:b/>
                <w:i/>
                <w:strike w:val="0"/>
              </w:rPr>
              <w:t>Testing — Sampling</w:t>
            </w:r>
          </w:p>
        </w:tc>
        <w:tc>
          <w:tcPr>
            <w:tcW w:type="dxa" w:w="2160"/>
          </w:tcPr>
          <w:p>
            <w:r/>
            <w:r>
              <w:rPr>
                <w:b/>
                <w:i/>
                <w:strike w:val="0"/>
                <w:color w:val="2E7D32"/>
              </w:rPr>
              <w:t xml:space="preserve">✏ The per-step sampling applicability flag (SA-27, FR-142) is not yet reflected in the tech-spec set. </w:t>
            </w:r>
            <w:r>
              <w:rPr>
                <w:rFonts w:ascii="Consolas" w:hAnsi="Consolas"/>
                <w:b/>
                <w:i/>
                <w:strike w:val="0"/>
                <w:color w:val="2E7D32"/>
                <w:sz w:val="18"/>
              </w:rPr>
              <w:t>Database_Architecture.md</w:t>
            </w:r>
            <w:r>
              <w:rPr>
                <w:b/>
                <w:i/>
                <w:strike w:val="0"/>
                <w:color w:val="2E7D32"/>
              </w:rPr>
              <w:t xml:space="preserve"> already carries </w:t>
            </w:r>
            <w:r>
              <w:rPr>
                <w:rFonts w:ascii="Consolas" w:hAnsi="Consolas"/>
                <w:b/>
                <w:i/>
                <w:strike w:val="0"/>
                <w:color w:val="2E7D32"/>
                <w:sz w:val="18"/>
              </w:rPr>
              <w:t>test_step_template.min_sample_size</w:t>
            </w:r>
            <w:r>
              <w:rPr>
                <w:b/>
                <w:i/>
                <w:strike w:val="0"/>
                <w:color w:val="2E7D32"/>
              </w:rPr>
              <w:t xml:space="preserve"> as nullable, so the flag itself is a small addition there, but </w:t>
            </w:r>
            <w:r>
              <w:rPr>
                <w:rFonts w:ascii="Consolas" w:hAnsi="Consolas"/>
                <w:b/>
                <w:i/>
                <w:strike w:val="0"/>
                <w:color w:val="2E7D32"/>
                <w:sz w:val="18"/>
              </w:rPr>
              <w:t>sampling_record</w:t>
            </w:r>
            <w:r>
              <w:rPr>
                <w:b/>
                <w:i/>
                <w:strike w:val="0"/>
                <w:color w:val="2E7D32"/>
              </w:rPr>
              <w:t xml:space="preserve"> binds a sample to the test execution rather than to a step, and the report generator reads it at test level (FR-56). Decide before the testing sprint whether a sampling record gains a step reference or whether per-step samples become a distinct record — and confirm that a test whose every step requires no sampling produces no sampling record at all rather than an empty one.</w:t>
            </w:r>
            <w:r>
              <w:rPr>
                <w:b w:val="0"/>
                <w:i w:val="0"/>
                <w:strike w:val="0"/>
              </w:rPr>
              <w:t xml:space="preserve"> </w:t>
            </w:r>
            <w:r>
              <w:rPr>
                <w:b w:val="0"/>
                <w:i/>
                <w:strike w:val="0"/>
                <w:color w:val="2E7D32"/>
                <w:sz w:val="16"/>
              </w:rPr>
              <w:t xml:space="preserve"> [Sep 2026 model revision]</w:t>
            </w:r>
          </w:p>
        </w:tc>
        <w:tc>
          <w:tcPr>
            <w:tcW w:type="dxa" w:w="2160"/>
          </w:tcPr>
          <w:p>
            <w:r/>
            <w:r>
              <w:rPr>
                <w:b/>
                <w:i/>
                <w:strike w:val="0"/>
              </w:rPr>
              <w:t>New in v10.0 — open, resolve before the testing sprint</w:t>
            </w:r>
          </w:p>
        </w:tc>
      </w:tr>
      <w:tr>
        <w:tc>
          <w:tcPr>
            <w:tcW w:type="dxa" w:w="2160"/>
          </w:tcPr>
          <w:p>
            <w:r/>
            <w:r>
              <w:rPr>
                <w:b/>
                <w:i/>
                <w:strike w:val="0"/>
              </w:rPr>
              <w:t>GAP-23</w:t>
            </w:r>
          </w:p>
        </w:tc>
        <w:tc>
          <w:tcPr>
            <w:tcW w:type="dxa" w:w="2160"/>
          </w:tcPr>
          <w:p>
            <w:r/>
            <w:r>
              <w:rPr>
                <w:b/>
                <w:i/>
                <w:strike w:val="0"/>
              </w:rPr>
              <w:t>Testing — Execution</w:t>
            </w:r>
          </w:p>
        </w:tc>
        <w:tc>
          <w:tcPr>
            <w:tcW w:type="dxa" w:w="2160"/>
          </w:tcPr>
          <w:p>
            <w:r/>
            <w:r>
              <w:rPr>
                <w:b/>
                <w:i/>
                <w:strike w:val="0"/>
                <w:color w:val="7B3F00"/>
              </w:rPr>
              <w:t>⚠ Step 11 of Section 7.1 has the AML Officer separately agreeing the Findings of a test involving AML obligations. Under the v11.0 model a test's AML-relevant obligations may sit in one requirement out of several, tested by one person among several. Undefined: does the AML Officer sign the whole test, or only the requirements whose articles carry AML obligations — and what marks a requirement as AML-relevant, since the DORA/MiCA article tag is the only signal the platform holds. Touches the approval chain and the report.</w:t>
            </w:r>
            <w:r>
              <w:rPr>
                <w:b w:val="0"/>
                <w:i w:val="0"/>
                <w:strike w:val="0"/>
              </w:rPr>
              <w:t xml:space="preserve"> </w:t>
            </w:r>
            <w:r>
              <w:rPr>
                <w:b w:val="0"/>
                <w:i/>
                <w:strike w:val="0"/>
                <w:color w:val="7B3F00"/>
                <w:sz w:val="16"/>
              </w:rPr>
              <w:t xml:space="preserve"> [Sep 2026 test model]</w:t>
            </w:r>
          </w:p>
        </w:tc>
        <w:tc>
          <w:tcPr>
            <w:tcW w:type="dxa" w:w="2160"/>
          </w:tcPr>
          <w:p>
            <w:r/>
            <w:r>
              <w:rPr>
                <w:b/>
                <w:i/>
                <w:strike w:val="0"/>
              </w:rPr>
              <w:t>New in v11.0 — open, resolve before the approval-chain sprint</w:t>
            </w:r>
          </w:p>
        </w:tc>
      </w:tr>
      <w:tr>
        <w:tc>
          <w:tcPr>
            <w:tcW w:type="dxa" w:w="2160"/>
          </w:tcPr>
          <w:p>
            <w:r/>
            <w:r>
              <w:rPr>
                <w:b/>
                <w:i/>
                <w:strike w:val="0"/>
              </w:rPr>
              <w:t>GAP-24</w:t>
            </w:r>
          </w:p>
        </w:tc>
        <w:tc>
          <w:tcPr>
            <w:tcW w:type="dxa" w:w="2160"/>
          </w:tcPr>
          <w:p>
            <w:r/>
            <w:r>
              <w:rPr>
                <w:b/>
                <w:i/>
                <w:strike w:val="0"/>
              </w:rPr>
              <w:t>Testing — Data model</w:t>
            </w:r>
          </w:p>
        </w:tc>
        <w:tc>
          <w:tcPr>
            <w:tcW w:type="dxa" w:w="2160"/>
          </w:tcPr>
          <w:p>
            <w:r/>
            <w:r>
              <w:rPr>
                <w:b/>
                <w:i/>
                <w:strike w:val="0"/>
                <w:color w:val="7B3F00"/>
              </w:rPr>
              <w:t xml:space="preserve">⚠ The tech-spec set encodes the pre-v11.0 hierarchy and must be re-issued before the data-model sprint. </w:t>
            </w:r>
            <w:r>
              <w:rPr>
                <w:rFonts w:ascii="Consolas" w:hAnsi="Consolas"/>
                <w:b/>
                <w:i/>
                <w:strike w:val="0"/>
                <w:color w:val="7B3F00"/>
                <w:sz w:val="18"/>
              </w:rPr>
              <w:t>Domain_Model_Ubiquitous_Language.md</w:t>
            </w:r>
            <w:r>
              <w:rPr>
                <w:b/>
                <w:i/>
                <w:strike w:val="0"/>
                <w:color w:val="7B3F00"/>
              </w:rPr>
              <w:t xml:space="preserve"> has </w:t>
            </w:r>
            <w:r>
              <w:rPr>
                <w:rFonts w:ascii="Consolas" w:hAnsi="Consolas"/>
                <w:b/>
                <w:i/>
                <w:strike w:val="0"/>
                <w:color w:val="7B3F00"/>
                <w:sz w:val="18"/>
              </w:rPr>
              <w:t>Requirement / maps to Tests</w:t>
            </w:r>
            <w:r>
              <w:rPr>
                <w:b/>
                <w:i/>
                <w:strike w:val="0"/>
                <w:color w:val="7B3F00"/>
              </w:rPr>
              <w:t xml:space="preserve"> and </w:t>
            </w:r>
            <w:r>
              <w:rPr>
                <w:rFonts w:ascii="Consolas" w:hAnsi="Consolas"/>
                <w:b/>
                <w:i/>
                <w:strike w:val="0"/>
                <w:color w:val="7B3F00"/>
                <w:sz w:val="18"/>
              </w:rPr>
              <w:t>Test / Contains: Steps</w:t>
            </w:r>
            <w:r>
              <w:rPr>
                <w:b/>
                <w:i/>
                <w:strike w:val="0"/>
                <w:color w:val="7B3F00"/>
              </w:rPr>
              <w:t xml:space="preserve">; </w:t>
            </w:r>
            <w:r>
              <w:rPr>
                <w:rFonts w:ascii="Consolas" w:hAnsi="Consolas"/>
                <w:b/>
                <w:i/>
                <w:strike w:val="0"/>
                <w:color w:val="7B3F00"/>
                <w:sz w:val="18"/>
              </w:rPr>
              <w:t>Database_Architecture.md</w:t>
            </w:r>
            <w:r>
              <w:rPr>
                <w:b/>
                <w:i/>
                <w:strike w:val="0"/>
                <w:color w:val="7B3F00"/>
              </w:rPr>
              <w:t xml:space="preserve"> has </w:t>
            </w:r>
            <w:r>
              <w:rPr>
                <w:rFonts w:ascii="Consolas" w:hAnsi="Consolas"/>
                <w:b/>
                <w:i/>
                <w:strike w:val="0"/>
                <w:color w:val="7B3F00"/>
                <w:sz w:val="18"/>
              </w:rPr>
              <w:t>test_definition.requirement_id</w:t>
            </w:r>
            <w:r>
              <w:rPr>
                <w:b/>
                <w:i/>
                <w:strike w:val="0"/>
                <w:color w:val="7B3F00"/>
              </w:rPr>
              <w:t xml:space="preserve"> as a foreign key and parents </w:t>
            </w:r>
            <w:r>
              <w:rPr>
                <w:rFonts w:ascii="Consolas" w:hAnsi="Consolas"/>
                <w:b/>
                <w:i/>
                <w:strike w:val="0"/>
                <w:color w:val="7B3F00"/>
                <w:sz w:val="18"/>
              </w:rPr>
              <w:t>test_step_template</w:t>
            </w:r>
            <w:r>
              <w:rPr>
                <w:b/>
                <w:i/>
                <w:strike w:val="0"/>
                <w:color w:val="7B3F00"/>
              </w:rPr>
              <w:t xml:space="preserve"> to the test. Under v11.0 a test holds many requirements, steps parent to the requirement, and service lines, schedule, business unit, request list, scope and guidance documents all become requirement-level. </w:t>
            </w:r>
            <w:r>
              <w:rPr>
                <w:rFonts w:ascii="Consolas" w:hAnsi="Consolas"/>
                <w:b/>
                <w:i/>
                <w:strike w:val="0"/>
                <w:color w:val="7B3F00"/>
                <w:sz w:val="18"/>
              </w:rPr>
              <w:t>Cross_Document_Traceability_Matrix.md</w:t>
            </w:r>
            <w:r>
              <w:rPr>
                <w:b/>
                <w:i/>
                <w:strike w:val="0"/>
                <w:color w:val="7B3F00"/>
              </w:rPr>
              <w:t xml:space="preserve"> needs rows for SA-28 to SA-32 and FR-143 to FR-146. This supersedes the narrower GAP-22, which described the same re-issue for the sampling flag alone — resolve them together.</w:t>
            </w:r>
            <w:r>
              <w:rPr>
                <w:b w:val="0"/>
                <w:i w:val="0"/>
                <w:strike w:val="0"/>
              </w:rPr>
              <w:t xml:space="preserve"> </w:t>
            </w:r>
            <w:r>
              <w:rPr>
                <w:b w:val="0"/>
                <w:i/>
                <w:strike w:val="0"/>
                <w:color w:val="7B3F00"/>
                <w:sz w:val="16"/>
              </w:rPr>
              <w:t xml:space="preserve"> [Sep 2026 test model]</w:t>
            </w:r>
          </w:p>
        </w:tc>
        <w:tc>
          <w:tcPr>
            <w:tcW w:type="dxa" w:w="2160"/>
          </w:tcPr>
          <w:p>
            <w:r/>
            <w:r>
              <w:rPr>
                <w:b/>
                <w:i/>
                <w:strike w:val="0"/>
              </w:rPr>
              <w:t>New in v11.0 — open, blocks the data-model sprint</w:t>
            </w:r>
          </w:p>
        </w:tc>
      </w:tr>
    </w:tbl>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w:t>
            </w:r>
          </w:p>
          <w:p>
            <w:r>
              <w:rPr>
                <w:b/>
                <w:i w:val="0"/>
                <w:strike w:val="0"/>
              </w:rPr>
              <w:t>📌 Note</w:t>
            </w:r>
          </w:p>
          <w:p>
            <w:pPr>
              <w:pStyle w:val="ListBullet"/>
            </w:pPr>
            <w:r>
              <w:rPr>
                <w:b w:val="0"/>
                <w:i w:val="0"/>
                <w:strike w:val="0"/>
              </w:rPr>
              <w:t>GAP-01 and GAP-02 should be resolved together in a single session — they are both about how the scheduler works.</w:t>
            </w:r>
          </w:p>
          <w:p>
            <w:pPr>
              <w:pStyle w:val="ListBullet"/>
            </w:pPr>
            <w:r>
              <w:rPr>
                <w:b w:val="0"/>
                <w:i w:val="0"/>
                <w:strike w:val="0"/>
              </w:rPr>
              <w:t>GAP-06, GAP-07, and GAP-08 should be resolved together — they are all about the remediation ownership flow.</w:t>
            </w:r>
          </w:p>
          <w:p>
            <w:pPr>
              <w:pStyle w:val="ListBullet"/>
            </w:pPr>
            <w:r>
              <w:rPr>
                <w:b w:val="0"/>
                <w:i w:val="0"/>
                <w:strike w:val="0"/>
              </w:rPr>
              <w:t>GAP-10 is the smallest gap here and can likely be resolved by the UI designer without a client session.</w:t>
            </w:r>
          </w:p>
          <w:p>
            <w:pPr>
              <w:pStyle w:val="ListBullet"/>
            </w:pPr>
            <w:r>
              <w:rPr>
                <w:b/>
                <w:i/>
                <w:strike w:val="0"/>
                <w:color w:val="1155CC"/>
              </w:rPr>
              <w:t>6 of 11 gaps are now resolved or mostly resolved. GAP-03, GAP-10, and the remaining pieces of GAP-01/09/11 are what's left before Section 16 can be closed out entirely.</w:t>
            </w:r>
            <w:r>
              <w:rPr>
                <w:b w:val="0"/>
                <w:i w:val="0"/>
                <w:strike w:val="0"/>
              </w:rPr>
              <w:t xml:space="preserve"> </w:t>
            </w:r>
            <w:r>
              <w:rPr>
                <w:b w:val="0"/>
                <w:i/>
                <w:strike w:val="0"/>
                <w:color w:val="1155CC"/>
                <w:sz w:val="16"/>
              </w:rPr>
              <w:t xml:space="preserve"> [25 Jun FRD call]</w:t>
            </w:r>
          </w:p>
          <w:p>
            <w:pPr>
              <w:pStyle w:val="ListBullet"/>
            </w:pPr>
            <w:r>
              <w:rPr>
                <w:b/>
                <w:i/>
                <w:strike w:val="0"/>
                <w:color w:val="7030A0"/>
              </w:rPr>
              <w:t>v5.0 tally: the August meeting closed GAP-04 outright and largely superseded GAP-01 with the pool model, but added three: GAP-12, GAP-13, and GAP-14. Net 14 gaps, 7 resolved or mostly resolved. GAP-12, GAP-13, and GAP-14 all sit in the records-request workflow and should be resolved in one session together with the EV block in Section 15.</w:t>
            </w:r>
            <w:r>
              <w:rPr>
                <w:b w:val="0"/>
                <w:i w:val="0"/>
                <w:strike w:val="0"/>
              </w:rPr>
              <w:t xml:space="preserve"> </w:t>
            </w:r>
            <w:r>
              <w:rPr>
                <w:b w:val="0"/>
                <w:i/>
                <w:strike w:val="0"/>
                <w:color w:val="7030A0"/>
                <w:sz w:val="16"/>
              </w:rPr>
              <w:t xml:space="preserve"> [Aug 2026 client MOM]</w:t>
            </w:r>
          </w:p>
          <w:p>
            <w:pPr>
              <w:pStyle w:val="ListBullet"/>
            </w:pPr>
            <w:r>
              <w:rPr>
                <w:b/>
                <w:i/>
                <w:strike w:val="0"/>
                <w:color w:val="008080"/>
              </w:rPr>
              <w:t>v6.0 tally: the 11 Aug meeting closed none and added three — GAP-15, GAP-16, GAP-17. Net 17 gaps, 7 resolved or mostly resolved. Recommended grouping: GAP-14 + GAP-15 in one session (both are about how assignment works once a test can be split); GAP-12, GAP-13 and GAP-16 in a second (all records-request, and GAP-16 blocks an estimate); GAP-17 with the WSP module owner alone.</w:t>
            </w:r>
            <w:r>
              <w:rPr>
                <w:b w:val="0"/>
                <w:i w:val="0"/>
                <w:strike w:val="0"/>
              </w:rPr>
              <w:t xml:space="preserve"> </w:t>
            </w:r>
            <w:r>
              <w:rPr>
                <w:b w:val="0"/>
                <w:i/>
                <w:strike w:val="0"/>
                <w:color w:val="008080"/>
                <w:sz w:val="16"/>
              </w:rPr>
              <w:t xml:space="preserve"> [11 Aug 2026 MOM]</w:t>
            </w:r>
          </w:p>
          <w:p>
            <w:pPr>
              <w:pStyle w:val="ListBullet"/>
            </w:pPr>
            <w:r>
              <w:rPr>
                <w:b/>
                <w:i/>
                <w:strike w:val="0"/>
                <w:color w:val="843C0C"/>
              </w:rPr>
              <w:t>v7.0 tally: the onboarding flow closed none and added three — GAP-18, GAP-19, GAP-20. Net 20 gaps, 7 resolved or mostly resolved. GAP-18 and GAP-19 are commercial, not technical: they belong in a conversation between Jomin and Sosinna, not in a design session, and both must close before Section 18 is signed. GAP-20 needs a data protection view alongside the product one.</w:t>
            </w:r>
            <w:r>
              <w:rPr>
                <w:b w:val="0"/>
                <w:i w:val="0"/>
                <w:strike w:val="0"/>
              </w:rPr>
              <w:t xml:space="preserve"> </w:t>
            </w:r>
            <w:r>
              <w:rPr>
                <w:b w:val="0"/>
                <w:i/>
                <w:strike w:val="0"/>
                <w:color w:val="843C0C"/>
                <w:sz w:val="16"/>
              </w:rPr>
              <w:t xml:space="preserve"> [Aug 2026 onboarding flow]</w:t>
            </w:r>
          </w:p>
          <w:p>
            <w:pPr>
              <w:pStyle w:val="ListBullet"/>
            </w:pPr>
            <w:r>
              <w:rPr>
                <w:b/>
                <w:i/>
                <w:strike w:val="0"/>
                <w:color w:val="CC00CC"/>
              </w:rPr>
              <w:t>v8.0 tally: the 14 Aug meeting largely closed GAP-06 (only the CCO assigns a remediation owner, at review time) and added one — GAP-21, the test-level vs. per-milestone remediation ownership clash.</w:t>
            </w:r>
            <w:r>
              <w:rPr>
                <w:b w:val="0"/>
                <w:i w:val="0"/>
                <w:strike w:val="0"/>
              </w:rPr>
              <w:t xml:space="preserve"> </w:t>
            </w:r>
            <w:r>
              <w:rPr>
                <w:b w:val="0"/>
                <w:i/>
                <w:strike w:val="0"/>
                <w:color w:val="CC00CC"/>
                <w:sz w:val="16"/>
              </w:rPr>
              <w:t xml:space="preserve"> [14 Aug 2026 MOM]</w:t>
            </w:r>
          </w:p>
          <w:p>
            <w:pPr>
              <w:pStyle w:val="ListBullet"/>
            </w:pPr>
            <w:r>
              <w:rPr>
                <w:b/>
                <w:i/>
                <w:strike w:val="0"/>
                <w:color w:val="C00000"/>
              </w:rPr>
              <w:t>v9.0 tally: no gaps added, none closed outright, one narrowed (GAP-16). The withdrawal of Section 11 removes no gap because none was ever logged against it — worth noting in itself, since the section survived twelve versions without a single design question being raised about it.</w:t>
            </w:r>
            <w:r>
              <w:rPr>
                <w:b w:val="0"/>
                <w:i w:val="0"/>
                <w:strike w:val="0"/>
              </w:rPr>
              <w:t xml:space="preserve"> </w:t>
            </w:r>
            <w:r>
              <w:rPr>
                <w:b w:val="0"/>
                <w:i/>
                <w:strike w:val="0"/>
                <w:color w:val="C00000"/>
                <w:sz w:val="16"/>
              </w:rPr>
              <w:t xml:space="preserve"> [Sep 2026 scope decision]</w:t>
            </w:r>
          </w:p>
          <w:p>
            <w:pPr>
              <w:pStyle w:val="ListBullet"/>
            </w:pPr>
            <w:r>
              <w:rPr>
                <w:b/>
                <w:i/>
                <w:strike w:val="0"/>
                <w:color w:val="2E7D32"/>
              </w:rPr>
              <w:t>v10.0 tally: one gap added — GAP-22, the data-model consequence of per-step sampling — and none closed. GAP-15 is annotated rather than changed: it now waits on TS-08. Net 22 gaps. The service line change closes no gap and opens none, because the contradiction it fixes was never logged as one: it sat in plain sight across L564, L567 and the agreed box, and three versions of this document carried it.</w:t>
            </w:r>
            <w:r>
              <w:rPr>
                <w:b w:val="0"/>
                <w:i w:val="0"/>
                <w:strike w:val="0"/>
              </w:rPr>
              <w:t xml:space="preserve"> </w:t>
            </w:r>
            <w:r>
              <w:rPr>
                <w:b w:val="0"/>
                <w:i/>
                <w:strike w:val="0"/>
                <w:color w:val="2E7D32"/>
                <w:sz w:val="16"/>
              </w:rPr>
              <w:t xml:space="preserve"> [Sep 2026 model revision]</w:t>
            </w:r>
          </w:p>
          <w:p>
            <w:pPr>
              <w:pStyle w:val="ListBullet"/>
            </w:pPr>
            <w:r>
              <w:rPr>
                <w:b/>
                <w:i/>
                <w:strike w:val="0"/>
                <w:color w:val="7B3F00"/>
              </w:rPr>
              <w:t>v11.0 tally: one gap closed outright — GAP-15, the oldest ⚠ item in the testing module — and two added, GAP-23 and GAP-24, of which GAP-24 absorbs and supersedes GAP-22. GAP-14 widens for the third time. Net 24 gaps. The pattern is worth naming: GAP-15 could not be closed on its own terms for three versions, because the contradiction it described was a symptom of the hierarchy rather than a flaw in either requirement. Fixing the model closed it in a sentence.</w:t>
            </w:r>
            <w:r>
              <w:rPr>
                <w:b w:val="0"/>
                <w:i w:val="0"/>
                <w:strike w:val="0"/>
              </w:rPr>
              <w:t xml:space="preserve"> </w:t>
            </w:r>
            <w:r>
              <w:rPr>
                <w:b w:val="0"/>
                <w:i/>
                <w:strike w:val="0"/>
                <w:color w:val="7B3F00"/>
                <w:sz w:val="16"/>
              </w:rPr>
              <w:t xml:space="preserve"> [Sep 2026 test model]</w:t>
            </w:r>
          </w:p>
        </w:tc>
      </w:tr>
    </w:tbl>
    <w:tbl>
      <w:tblPr>
        <w:tblStyle w:val="TableGrid"/>
        <w:tblW w:type="auto" w:w="0"/>
        <w:tblLook w:firstColumn="1" w:firstRow="1" w:lastColumn="0" w:lastRow="0" w:noHBand="0" w:noVBand="1" w:val="04A0"/>
      </w:tblPr>
      <w:tblGrid>
        <w:gridCol w:w="8640"/>
      </w:tblGrid>
      <w:tr>
        <w:tc>
          <w:tcPr>
            <w:tcW w:type="dxa" w:w="8640"/>
            <w:shd w:val="clear" w:fill="FCE4D6"/>
          </w:tcPr>
          <w:p>
            <w:r>
              <w:rPr>
                <w:b/>
                <w:i w:val="0"/>
                <w:strike w:val="0"/>
              </w:rPr>
              <w:t>NOTE</w:t>
            </w:r>
            <w:r>
              <w:rPr>
                <w:b w:val="0"/>
                <w:i w:val="0"/>
                <w:strike w:val="0"/>
              </w:rPr>
              <w:t xml:space="preserve"> </w:t>
            </w:r>
            <w:r>
              <w:rPr>
                <w:b w:val="0"/>
                <w:i/>
                <w:strike w:val="0"/>
              </w:rPr>
              <w:t>(orange)</w:t>
            </w:r>
          </w:p>
          <w:p>
            <w:r>
              <w:rPr>
                <w:b/>
                <w:i w:val="0"/>
                <w:strike w:val="0"/>
              </w:rPr>
              <w:t>📋 Baseline &amp; IP Terms — Client Confirmation (Sosinna's comment, accepted by Jomin 3 Jul 2026)</w:t>
            </w:r>
          </w:p>
          <w:p>
            <w:pPr>
              <w:pStyle w:val="ListBullet"/>
            </w:pPr>
            <w:r>
              <w:rPr>
                <w:b/>
                <w:i w:val="0"/>
                <w:strike w:val="0"/>
              </w:rPr>
              <w:t>Version supremacy:</w:t>
            </w:r>
            <w:r>
              <w:rPr>
                <w:b w:val="0"/>
                <w:i w:val="0"/>
                <w:strike w:val="0"/>
              </w:rPr>
              <w:t xml:space="preserve"> </w:t>
            </w:r>
            <w:r>
              <w:rPr>
                <w:b w:val="0"/>
                <w:i/>
                <w:strike w:val="0"/>
                <w:color w:val="C55A11"/>
              </w:rPr>
              <w:t>this v4.0 PRD is the final, complete, exhaustive technical baseline for the ControlIQ MVP and supersedes all prior BRD, RED, SRS, and Narrative documentation. No engineering choices, database designs, or scope exclusions may be justified by referencing legacy text from earlier versions.</w:t>
            </w:r>
            <w:r>
              <w:rPr>
                <w:b w:val="0"/>
                <w:i w:val="0"/>
                <w:strike w:val="0"/>
              </w:rPr>
              <w:t xml:space="preserve"> </w:t>
            </w:r>
            <w:r>
              <w:rPr>
                <w:b w:val="0"/>
                <w:i/>
                <w:strike w:val="0"/>
                <w:color w:val="C55A11"/>
                <w:sz w:val="16"/>
              </w:rPr>
              <w:t xml:space="preserve"> [Sosinna's Drive comment]</w:t>
            </w:r>
          </w:p>
          <w:p>
            <w:pPr>
              <w:pStyle w:val="ListBullet"/>
            </w:pPr>
            <w:r>
              <w:rPr>
                <w:b/>
                <w:i w:val="0"/>
                <w:strike w:val="0"/>
              </w:rPr>
              <w:t>Dual-application delivery:</w:t>
            </w:r>
            <w:r>
              <w:rPr>
                <w:b w:val="0"/>
                <w:i w:val="0"/>
                <w:strike w:val="0"/>
              </w:rPr>
              <w:t xml:space="preserve"> </w:t>
            </w:r>
            <w:r>
              <w:rPr>
                <w:b w:val="0"/>
                <w:i/>
                <w:strike w:val="0"/>
                <w:color w:val="C55A11"/>
              </w:rPr>
              <w:t>the fixed fee covers parallel development, deployment, and security configuration of both the Firm Application and the Platform Admin Portal, both fully operational as defined by this document's functional requirements.</w:t>
            </w:r>
            <w:r>
              <w:rPr>
                <w:b w:val="0"/>
                <w:i w:val="0"/>
                <w:strike w:val="0"/>
              </w:rPr>
              <w:t xml:space="preserve"> </w:t>
            </w:r>
            <w:r>
              <w:rPr>
                <w:b w:val="0"/>
                <w:i/>
                <w:strike w:val="0"/>
                <w:color w:val="C55A11"/>
                <w:sz w:val="16"/>
              </w:rPr>
              <w:t xml:space="preserve"> [Sosinna's Drive comment]</w:t>
            </w:r>
          </w:p>
          <w:p>
            <w:pPr>
              <w:pStyle w:val="ListBullet"/>
            </w:pPr>
            <w:r>
              <w:rPr>
                <w:b/>
                <w:i w:val="0"/>
                <w:strike w:val="0"/>
              </w:rPr>
              <w:t>Baseline freeze:</w:t>
            </w:r>
            <w:r>
              <w:rPr>
                <w:b w:val="0"/>
                <w:i w:val="0"/>
                <w:strike w:val="0"/>
              </w:rPr>
              <w:t xml:space="preserve"> </w:t>
            </w:r>
            <w:r>
              <w:rPr>
                <w:b w:val="0"/>
                <w:i/>
                <w:strike w:val="0"/>
                <w:color w:val="C55A11"/>
              </w:rPr>
              <w:t>upon formal sign-off of Section 18, this document is completely frozen. No further modifications, workflow adjustments, or structural changes may be initiated by the Contractor without an executed amendment to the master contract. Practical implication: this review needs to be finished and folded in before signature — not after.</w:t>
            </w:r>
            <w:r>
              <w:rPr>
                <w:b w:val="0"/>
                <w:i w:val="0"/>
                <w:strike w:val="0"/>
              </w:rPr>
              <w:t xml:space="preserve"> </w:t>
            </w:r>
            <w:r>
              <w:rPr>
                <w:b w:val="0"/>
                <w:i/>
                <w:strike w:val="0"/>
                <w:color w:val="C55A11"/>
                <w:sz w:val="16"/>
              </w:rPr>
              <w:t xml:space="preserve"> [Sosinna's Drive comment]</w:t>
            </w:r>
          </w:p>
          <w:p>
            <w:pPr>
              <w:pStyle w:val="ListBullet"/>
            </w:pPr>
            <w:r>
              <w:rPr>
                <w:b/>
                <w:i/>
                <w:strike w:val="0"/>
                <w:color w:val="7030A0"/>
              </w:rPr>
              <w:t>v5.0 status against the freeze clause: Section 18 has not been signed. This revision is therefore pre-signature and does not require a contract amendment. It is also client-initiated — every change in v5.0 originates from the client's own meeting minutes, not from a Contractor-initiated scope adjustment. Version supremacy transfers to v5.0: this document, not v4.0, is now the baseline, and v4.0 joins the superseded list alongside the BRD, RED, SRS, and Narrative.</w:t>
            </w:r>
            <w:r>
              <w:rPr>
                <w:b w:val="0"/>
                <w:i w:val="0"/>
                <w:strike w:val="0"/>
              </w:rPr>
              <w:t xml:space="preserve"> </w:t>
            </w:r>
            <w:r>
              <w:rPr>
                <w:b w:val="0"/>
                <w:i/>
                <w:strike w:val="0"/>
                <w:color w:val="7030A0"/>
                <w:sz w:val="16"/>
              </w:rPr>
              <w:t xml:space="preserve"> [Aug 2026 client MOM]</w:t>
            </w:r>
          </w:p>
          <w:p>
            <w:pPr>
              <w:pStyle w:val="ListBullet"/>
            </w:pPr>
            <w:r>
              <w:rPr>
                <w:b/>
                <w:i/>
                <w:strike w:val="0"/>
                <w:color w:val="7030A0"/>
              </w:rPr>
              <w:t>Scope impact to flag before signature: v5.0 adds the records-request workflow, the AI document-match check, the priority configuration surface, the EU regulation ingest-and-publish pipeline, and the org chart analytics dashboard. These are net-new build items, not clarifications of v4.0 text. If the fixed fee was quoted against v4.0, it needs re-basing against this version before Section 18 is signed.</w:t>
            </w:r>
            <w:r>
              <w:rPr>
                <w:b w:val="0"/>
                <w:i w:val="0"/>
                <w:strike w:val="0"/>
              </w:rPr>
              <w:t xml:space="preserve"> </w:t>
            </w:r>
            <w:r>
              <w:rPr>
                <w:b w:val="0"/>
                <w:i/>
                <w:strike w:val="0"/>
                <w:color w:val="7030A0"/>
                <w:sz w:val="16"/>
              </w:rPr>
              <w:t xml:space="preserve"> [Aug 2026 client MOM]</w:t>
            </w:r>
          </w:p>
          <w:p>
            <w:pPr>
              <w:pStyle w:val="ListBullet"/>
            </w:pPr>
            <w:r>
              <w:rPr>
                <w:b/>
                <w:i/>
                <w:strike w:val="0"/>
                <w:color w:val="008080"/>
              </w:rPr>
              <w:t>v6.0 status against the freeze clause: Section 18 is still unsigned, so this revision is likewise pre-signature and needs no contract amendment. It is client-initiated — it comes from the client's own 11 Aug meeting minutes. Version supremacy transfers again: v6.0 is the baseline and v5.0 joins the superseded list.</w:t>
            </w:r>
            <w:r>
              <w:rPr>
                <w:b w:val="0"/>
                <w:i w:val="0"/>
                <w:strike w:val="0"/>
              </w:rPr>
              <w:t xml:space="preserve"> </w:t>
            </w:r>
            <w:r>
              <w:rPr>
                <w:b w:val="0"/>
                <w:i/>
                <w:strike w:val="0"/>
                <w:color w:val="008080"/>
                <w:sz w:val="16"/>
              </w:rPr>
              <w:t xml:space="preserve"> [11 Aug 2026 MOM]</w:t>
            </w:r>
          </w:p>
          <w:p>
            <w:pPr>
              <w:pStyle w:val="ListBullet"/>
            </w:pPr>
            <w:r>
              <w:rPr>
                <w:b/>
                <w:i/>
                <w:strike w:val="0"/>
                <w:color w:val="008080"/>
              </w:rPr>
              <w:t>Scope impact of v6.0, smaller than v5.0's but not zero. Net-new build: article-level test fan-out across multiple testers (FR-106), post-evidence gap identification (FR-112 — a second AI-assisted analysis feature with its own accuracy bar), the employee directory (FR-116), and the calendar and remediation dashboard views if they were not already priced (FR-114, FR-115). Deliberately excluded from scope pending a decision: the FR-111 request portal. Everything else in v6.0 confirms or tightens v5.0 and should not move the number.</w:t>
            </w:r>
            <w:r>
              <w:rPr>
                <w:b w:val="0"/>
                <w:i w:val="0"/>
                <w:strike w:val="0"/>
              </w:rPr>
              <w:t xml:space="preserve"> </w:t>
            </w:r>
            <w:r>
              <w:rPr>
                <w:b w:val="0"/>
                <w:i/>
                <w:strike w:val="0"/>
                <w:color w:val="008080"/>
                <w:sz w:val="16"/>
              </w:rPr>
              <w:t xml:space="preserve"> [11 Aug 2026 MOM]</w:t>
            </w:r>
          </w:p>
          <w:p>
            <w:pPr>
              <w:pStyle w:val="ListBullet"/>
            </w:pPr>
            <w:r>
              <w:rPr>
                <w:b/>
                <w:i/>
                <w:strike w:val="0"/>
                <w:color w:val="CC00CC"/>
              </w:rPr>
              <w:t>v8.0 status against the freeze clause: Section 18 is still unsigned, so this revision is pre-signature and needs no contract amendment. It is client-initiated — every change originates from the client's own 14 Aug meeting minutes. Version supremacy transfers again: v8.0 is the baseline and v7.0 joins the superseded list. Net-new build to flag before signature: the business-owner dashboard and upload-or-reason flow (FR-133, FR-134), per-unit request mapping and the justified distribution list (FR-131, FR-132), the N/A register (FR-130), per-step gap statuses (FR-135), the glossary both sides (FR-137, SA-25), test cloning (SA-22), associate admin roles (SA-24), and the vendor AML feed (FR-138, pending NF-01).</w:t>
            </w:r>
            <w:r>
              <w:rPr>
                <w:b w:val="0"/>
                <w:i w:val="0"/>
                <w:strike w:val="0"/>
              </w:rPr>
              <w:t xml:space="preserve"> </w:t>
            </w:r>
            <w:r>
              <w:rPr>
                <w:b w:val="0"/>
                <w:i/>
                <w:strike w:val="0"/>
                <w:color w:val="CC00CC"/>
                <w:sz w:val="16"/>
              </w:rPr>
              <w:t xml:space="preserve"> [14 Aug 2026 MOM]</w:t>
            </w:r>
          </w:p>
        </w:tc>
      </w:tr>
    </w:tbl>
    <w:p>
      <w:pPr>
        <w:pStyle w:val="Heading1"/>
      </w:pPr>
      <w:r>
        <w:t>17. Document History</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i w:val="0"/>
                <w:strike w:val="0"/>
                <w:color w:val="FFFFFF"/>
              </w:rPr>
              <w:t>Version</w:t>
            </w:r>
          </w:p>
        </w:tc>
        <w:tc>
          <w:tcPr>
            <w:tcW w:type="dxa" w:w="2880"/>
            <w:shd w:val="clear" w:fill="1F4E79"/>
          </w:tcPr>
          <w:p>
            <w:r>
              <w:rPr>
                <w:b/>
                <w:color w:val="FFFFFF"/>
              </w:rPr>
            </w:r>
            <w:r>
              <w:rPr>
                <w:b/>
                <w:i w:val="0"/>
                <w:strike w:val="0"/>
                <w:color w:val="FFFFFF"/>
              </w:rPr>
              <w:t>Date</w:t>
            </w:r>
          </w:p>
        </w:tc>
        <w:tc>
          <w:tcPr>
            <w:tcW w:type="dxa" w:w="2880"/>
            <w:shd w:val="clear" w:fill="1F4E79"/>
          </w:tcPr>
          <w:p>
            <w:r>
              <w:rPr>
                <w:b/>
                <w:color w:val="FFFFFF"/>
              </w:rPr>
            </w:r>
            <w:r>
              <w:rPr>
                <w:b/>
                <w:i w:val="0"/>
                <w:strike w:val="0"/>
                <w:color w:val="FFFFFF"/>
              </w:rPr>
              <w:t>What changed</w:t>
            </w:r>
          </w:p>
        </w:tc>
      </w:tr>
      <w:tr>
        <w:tc>
          <w:tcPr>
            <w:tcW w:type="dxa" w:w="2880"/>
          </w:tcPr>
          <w:p>
            <w:r/>
            <w:r>
              <w:rPr>
                <w:b w:val="0"/>
                <w:i w:val="0"/>
                <w:strike w:val="0"/>
              </w:rPr>
              <w:t>v1.0 — BRD</w:t>
            </w:r>
          </w:p>
        </w:tc>
        <w:tc>
          <w:tcPr>
            <w:tcW w:type="dxa" w:w="2880"/>
          </w:tcPr>
          <w:p>
            <w:r/>
            <w:r>
              <w:rPr>
                <w:b w:val="0"/>
                <w:i w:val="0"/>
                <w:strike w:val="0"/>
              </w:rPr>
              <w:t>May 2026</w:t>
            </w:r>
          </w:p>
        </w:tc>
        <w:tc>
          <w:tcPr>
            <w:tcW w:type="dxa" w:w="2880"/>
          </w:tcPr>
          <w:p>
            <w:r/>
            <w:r>
              <w:rPr>
                <w:b w:val="0"/>
                <w:i w:val="0"/>
                <w:strike w:val="0"/>
              </w:rPr>
              <w:t>First document. Product concept, regulatory scope (MiCA + DORA), six-module structure.</w:t>
            </w:r>
          </w:p>
        </w:tc>
      </w:tr>
      <w:tr>
        <w:tc>
          <w:tcPr>
            <w:tcW w:type="dxa" w:w="2880"/>
          </w:tcPr>
          <w:p>
            <w:r/>
            <w:r>
              <w:rPr>
                <w:b w:val="0"/>
                <w:i w:val="0"/>
                <w:strike w:val="0"/>
              </w:rPr>
              <w:t>v2.0 — RED v1.0</w:t>
            </w:r>
          </w:p>
        </w:tc>
        <w:tc>
          <w:tcPr>
            <w:tcW w:type="dxa" w:w="2880"/>
          </w:tcPr>
          <w:p>
            <w:r/>
            <w:r>
              <w:rPr>
                <w:b w:val="0"/>
                <w:i w:val="0"/>
                <w:strike w:val="0"/>
              </w:rPr>
              <w:t>May 2026</w:t>
            </w:r>
          </w:p>
        </w:tc>
        <w:tc>
          <w:tcPr>
            <w:tcW w:type="dxa" w:w="2880"/>
          </w:tcPr>
          <w:p>
            <w:r/>
            <w:r>
              <w:rPr>
                <w:b w:val="0"/>
                <w:i w:val="0"/>
                <w:strike w:val="0"/>
              </w:rPr>
              <w:t>Full requirement set across all six modules. 17 MiCA + DORA requirement IDs mapped. All open questions documented.</w:t>
            </w:r>
          </w:p>
        </w:tc>
      </w:tr>
      <w:tr>
        <w:tc>
          <w:tcPr>
            <w:tcW w:type="dxa" w:w="2880"/>
          </w:tcPr>
          <w:p>
            <w:r/>
            <w:r>
              <w:rPr>
                <w:b w:val="0"/>
                <w:i w:val="0"/>
                <w:strike w:val="0"/>
              </w:rPr>
              <w:t>v3.0 — RED v2.0</w:t>
            </w:r>
          </w:p>
        </w:tc>
        <w:tc>
          <w:tcPr>
            <w:tcW w:type="dxa" w:w="2880"/>
          </w:tcPr>
          <w:p>
            <w:r/>
            <w:r>
              <w:rPr>
                <w:b w:val="0"/>
                <w:i w:val="0"/>
                <w:strike w:val="0"/>
              </w:rPr>
              <w:t>Jun 2026</w:t>
            </w:r>
          </w:p>
        </w:tc>
        <w:tc>
          <w:tcPr>
            <w:tcW w:type="dxa" w:w="2880"/>
          </w:tcPr>
          <w:p>
            <w:r/>
            <w:r>
              <w:rPr>
                <w:b w:val="0"/>
                <w:i w:val="0"/>
                <w:strike w:val="0"/>
              </w:rPr>
              <w:t>Incorporated Sosinna's 31 client comments. Remediation plan confirmed within the report before issuance. Senior management sign-off timing confirmed. 6-year retention confirmed.</w:t>
            </w:r>
          </w:p>
        </w:tc>
      </w:tr>
      <w:tr>
        <w:tc>
          <w:tcPr>
            <w:tcW w:type="dxa" w:w="2880"/>
          </w:tcPr>
          <w:p>
            <w:r/>
            <w:r>
              <w:rPr>
                <w:b w:val="0"/>
                <w:i w:val="0"/>
                <w:strike w:val="0"/>
              </w:rPr>
              <w:t>v4.0 — Narrative v3</w:t>
            </w:r>
          </w:p>
        </w:tc>
        <w:tc>
          <w:tcPr>
            <w:tcW w:type="dxa" w:w="2880"/>
          </w:tcPr>
          <w:p>
            <w:r/>
            <w:r>
              <w:rPr>
                <w:b w:val="0"/>
                <w:i w:val="0"/>
                <w:strike w:val="0"/>
              </w:rPr>
              <w:t>Jun 2026</w:t>
            </w:r>
          </w:p>
        </w:tc>
        <w:tc>
          <w:tcPr>
            <w:tcW w:type="dxa" w:w="2880"/>
          </w:tcPr>
          <w:p>
            <w:r/>
            <w:r>
              <w:rPr>
                <w:b w:val="0"/>
                <w:i w:val="0"/>
                <w:strike w:val="0"/>
              </w:rPr>
              <w:t>Nine-scene walkthrough completed. Report repositioned as an internal senior management document — not for direct regulator submission. Regulator View removed. Distribution lists confirmed at six. Single WSP upload confirmed. NCA notification drafting confirmed.</w:t>
            </w:r>
          </w:p>
        </w:tc>
      </w:tr>
      <w:tr>
        <w:tc>
          <w:tcPr>
            <w:tcW w:type="dxa" w:w="2880"/>
          </w:tcPr>
          <w:p>
            <w:r/>
            <w:r>
              <w:rPr>
                <w:b w:val="0"/>
                <w:i w:val="0"/>
                <w:strike w:val="0"/>
              </w:rPr>
              <w:t>v5.0 — SRS v1.0</w:t>
            </w:r>
          </w:p>
        </w:tc>
        <w:tc>
          <w:tcPr>
            <w:tcW w:type="dxa" w:w="2880"/>
          </w:tcPr>
          <w:p>
            <w:r/>
            <w:r>
              <w:rPr>
                <w:b w:val="0"/>
                <w:i w:val="0"/>
                <w:strike w:val="0"/>
              </w:rPr>
              <w:t>Jun 2026</w:t>
            </w:r>
          </w:p>
        </w:tc>
        <w:tc>
          <w:tcPr>
            <w:tcW w:type="dxa" w:w="2880"/>
          </w:tcPr>
          <w:p>
            <w:r/>
            <w:r>
              <w:rPr>
                <w:b w:val="0"/>
                <w:i w:val="0"/>
                <w:strike w:val="0"/>
              </w:rPr>
              <w:t>First consolidated requirements document. Full FR/NFR baseline with confirmed decisions and open questions structured per module.</w:t>
            </w:r>
          </w:p>
        </w:tc>
      </w:tr>
      <w:tr>
        <w:tc>
          <w:tcPr>
            <w:tcW w:type="dxa" w:w="2880"/>
          </w:tcPr>
          <w:p>
            <w:r/>
            <w:r>
              <w:rPr>
                <w:b w:val="0"/>
                <w:i w:val="0"/>
                <w:strike w:val="0"/>
              </w:rPr>
              <w:t>v6.0 — SRS v2.0</w:t>
            </w:r>
          </w:p>
        </w:tc>
        <w:tc>
          <w:tcPr>
            <w:tcW w:type="dxa" w:w="2880"/>
          </w:tcPr>
          <w:p>
            <w:r/>
            <w:r>
              <w:rPr>
                <w:b w:val="0"/>
                <w:i w:val="0"/>
                <w:strike w:val="0"/>
              </w:rPr>
              <w:t>Jun 2026</w:t>
            </w:r>
          </w:p>
        </w:tc>
        <w:tc>
          <w:tcPr>
            <w:tcW w:type="dxa" w:w="2880"/>
          </w:tcPr>
          <w:p>
            <w:r/>
            <w:r>
              <w:rPr>
                <w:b w:val="0"/>
                <w:i w:val="0"/>
                <w:strike w:val="0"/>
              </w:rPr>
              <w:t>Two-application architecture confirmed. Platform Super Admin Portal brought into scope. Requirement IDs confirmed as dynamic (sourced from official websites). Revenue source Excel drives service line mapping. Two new roles added (Senior Management, Remediation Owner). Custom org-level roles mapped to system roles. Sampling methodologies as platform-configured library. Full evidence type list confirmed. Partial testing confirmed. Finding closure CCO-only. ControlIQ branding confirmed.</w:t>
            </w:r>
          </w:p>
        </w:tc>
      </w:tr>
      <w:tr>
        <w:tc>
          <w:tcPr>
            <w:tcW w:type="dxa" w:w="2880"/>
          </w:tcPr>
          <w:p>
            <w:r/>
            <w:r>
              <w:rPr>
                <w:b w:val="0"/>
                <w:i w:val="0"/>
                <w:strike w:val="0"/>
              </w:rPr>
              <w:t>v7.0 — PRD v3.0</w:t>
            </w:r>
          </w:p>
        </w:tc>
        <w:tc>
          <w:tcPr>
            <w:tcW w:type="dxa" w:w="2880"/>
          </w:tcPr>
          <w:p>
            <w:r/>
            <w:r>
              <w:rPr>
                <w:b w:val="0"/>
                <w:i w:val="0"/>
                <w:strike w:val="0"/>
              </w:rPr>
              <w:t>Jun 2026</w:t>
            </w:r>
          </w:p>
        </w:tc>
        <w:tc>
          <w:tcPr>
            <w:tcW w:type="dxa" w:w="2880"/>
          </w:tcPr>
          <w:p>
            <w:r/>
            <w:r>
              <w:rPr>
                <w:b w:val="0"/>
                <w:i w:val="0"/>
                <w:strike w:val="0"/>
              </w:rPr>
              <w:t>Full rewrite in plain English for a non-technical audience. Feature descriptions explain what each feature does and why. All confirmed decisions and open questions retained. Technical terms explained on first use. FR-XX reference tags retained for development team.</w:t>
            </w:r>
          </w:p>
        </w:tc>
      </w:tr>
      <w:tr>
        <w:tc>
          <w:tcPr>
            <w:tcW w:type="dxa" w:w="2880"/>
          </w:tcPr>
          <w:p>
            <w:r/>
            <w:r>
              <w:rPr>
                <w:b w:val="0"/>
                <w:i w:val="0"/>
                <w:strike w:val="0"/>
              </w:rPr>
              <w:t>v8.0 — PRD v4.0</w:t>
            </w:r>
          </w:p>
        </w:tc>
        <w:tc>
          <w:tcPr>
            <w:tcW w:type="dxa" w:w="2880"/>
          </w:tcPr>
          <w:p>
            <w:r/>
            <w:r>
              <w:rPr>
                <w:b w:val="0"/>
                <w:i w:val="0"/>
                <w:strike w:val="0"/>
              </w:rPr>
              <w:t>Jun 2026</w:t>
            </w:r>
          </w:p>
        </w:tc>
        <w:tc>
          <w:tcPr>
            <w:tcW w:type="dxa" w:w="2880"/>
          </w:tcPr>
          <w:p>
            <w:r/>
            <w:r>
              <w:rPr>
                <w:b w:val="0"/>
                <w:i w:val="0"/>
                <w:strike w:val="0"/>
              </w:rPr>
              <w:t>Cross-document gap audit completed. 11 workflow design gaps identified and documented in new Section 16 (Gaps to Resolve Before Execution). Finding closure corrected: now requires CCO + one Senior Management sign-off (was CCO-only — contradiction with Narrative v3 resolved). Two confirmed decisions added from Narrative v3: Not Applicable test process (documented reason required, immutable) and sample change approval flow (senior team member approval + written reason, original selection retained). Risk rating confirmed as auto-calculated by platform — compliance officer confirms, does not manually enter.</w:t>
            </w:r>
          </w:p>
        </w:tc>
      </w:tr>
      <w:tr>
        <w:tc>
          <w:tcPr>
            <w:tcW w:type="dxa" w:w="2880"/>
          </w:tcPr>
          <w:p>
            <w:r/>
            <w:r>
              <w:rPr>
                <w:b w:val="0"/>
                <w:i w:val="0"/>
                <w:strike w:val="0"/>
              </w:rPr>
              <w:t>v9.0 — PRD v5.0</w:t>
            </w:r>
          </w:p>
        </w:tc>
        <w:tc>
          <w:tcPr>
            <w:tcW w:type="dxa" w:w="2880"/>
          </w:tcPr>
          <w:p>
            <w:r/>
            <w:r>
              <w:rPr>
                <w:b w:val="0"/>
                <w:i w:val="0"/>
                <w:strike w:val="0"/>
              </w:rPr>
              <w:t>Aug 2026</w:t>
            </w:r>
          </w:p>
        </w:tc>
        <w:tc>
          <w:tcPr>
            <w:tcW w:type="dxa" w:w="2880"/>
          </w:tcPr>
          <w:p>
            <w:r/>
            <w:r>
              <w:rPr>
                <w:b/>
                <w:i/>
                <w:strike w:val="0"/>
              </w:rPr>
              <w:t>Product renamed from ComplianceIQ to ControlIQ; the name is applied document-wide, and earlier documents keep the old name as historical records. Client meeting minutes (August 2026) incorporated. Scheduling model revised: auto-scheduled per-test calendar entries replaced by a pending-item pool the CCO assigns from manually, at article level (FR-78 to FR-80) — closes GAP-04, largely supersedes GAP-01. Mandatory scope period on every test. New Records Request workflow (Section 7.4, FR-83 to FR-91): announcement letter and initial request list to the business owner, request/receipt date tracking, delay analytics, AI document-match check with mandatory human verification for financial systems and critical controls. New Admin Portal priority configuration (SA-09 to SA-11) and EU API regulation ingest-review-edit-tag-publish pipeline (SA-12 to SA-14). Tests tagged to business owners. CCO cross-tester, cross-pillar oversight view. Not Applicable confirmed as a CCO authority with mandatory justification and a report appendix. Financial reports added to onboarding as a service-line input. Org chart analytics dashboard and headcount-vs-entitlements tracking. Six new notification types. 14 new open questions (FO-09, PR-01–03, TS-01–04, EV-01–06) and three new workflow gaps (GAP-12–14).</w:t>
            </w:r>
          </w:p>
        </w:tc>
      </w:tr>
      <w:tr>
        <w:tc>
          <w:tcPr>
            <w:tcW w:type="dxa" w:w="2880"/>
          </w:tcPr>
          <w:p>
            <w:r/>
            <w:r>
              <w:rPr>
                <w:b w:val="0"/>
                <w:i w:val="0"/>
                <w:strike w:val="0"/>
              </w:rPr>
              <w:t>v10.0 — PRD v6.0</w:t>
            </w:r>
          </w:p>
        </w:tc>
        <w:tc>
          <w:tcPr>
            <w:tcW w:type="dxa" w:w="2880"/>
          </w:tcPr>
          <w:p>
            <w:r/>
            <w:r>
              <w:rPr>
                <w:b w:val="0"/>
                <w:i w:val="0"/>
                <w:strike w:val="0"/>
              </w:rPr>
              <w:t>Aug 2026</w:t>
            </w:r>
          </w:p>
        </w:tc>
        <w:tc>
          <w:tcPr>
            <w:tcW w:type="dxa" w:w="2880"/>
          </w:tcPr>
          <w:p>
            <w:r/>
            <w:r>
              <w:rPr>
                <w:b/>
                <w:i/>
                <w:strike w:val="0"/>
              </w:rPr>
              <w:t>Minutes of the Compliance Testing Workflow Review, 11 August 2026, incorporated. Mostly a confirmation pass: the pending-item pool, records-request workflow, AI document check, priority configuration, business-owner tagging, N/A rules, four primary roles and org chart analytics were all restated by the client in the shape v5.0 records them, and are now marked confirmed rather than rewritten. Net-new: article-level scoping alongside the date range (FR-105); CCO fan-out of one test across several testers by article (FR-106) — which conflicts with the single-Lead-Tester rule in FR-21 and is logged as GAP-15; N/A now requires a justification file, not just text (FR-107); the platform is the only acceptable evidence channel, no email or WhatsApp (FR-108); a two-week default response window on records requests, resolving EV-04 (FR-109); the AI match check re-framed as a cost gate ahead of full AI processing (FR-110); a proposed but NOT-yet-approved follow-up request portal, pending a development-effort assessment (FR-111, EV-07); post-evidence policy-to-regulation gap identification as a new Section 7.5 (FR-112); the reviewed wireframe set recorded as requirements — CCO Kanban board, calendar of scheduled reviews, remediation dashboards (FR-113 to FR-115); an employee directory highlighting compliance staff (FR-116); onboarding derives applicable regulations as well as service lines (FR-104); Super Admin dashboard notification restarting the regulation review cycle on a MiCA or DORA update (SA-15). Three new notification types. Nine new open questions (TS-05–07, EV-07, EV-08, UI-01, UI-02) with EV-04 resolved, and three new workflow gaps (GAP-15–17).</w:t>
            </w:r>
          </w:p>
        </w:tc>
      </w:tr>
      <w:tr>
        <w:tc>
          <w:tcPr>
            <w:tcW w:type="dxa" w:w="2880"/>
          </w:tcPr>
          <w:p>
            <w:r/>
            <w:r>
              <w:rPr>
                <w:b w:val="0"/>
                <w:i w:val="0"/>
                <w:strike w:val="0"/>
              </w:rPr>
              <w:t>v11.0 — PRD v7.0</w:t>
            </w:r>
          </w:p>
        </w:tc>
        <w:tc>
          <w:tcPr>
            <w:tcW w:type="dxa" w:w="2880"/>
          </w:tcPr>
          <w:p>
            <w:r/>
            <w:r>
              <w:rPr>
                <w:b w:val="0"/>
                <w:i w:val="0"/>
                <w:strike w:val="0"/>
              </w:rPr>
              <w:t>Aug 2026</w:t>
            </w:r>
          </w:p>
        </w:tc>
        <w:tc>
          <w:tcPr>
            <w:tcW w:type="dxa" w:w="2880"/>
          </w:tcPr>
          <w:p>
            <w:r/>
            <w:r>
              <w:rPr>
                <w:b/>
                <w:i/>
                <w:strike w:val="0"/>
              </w:rPr>
              <w:t xml:space="preserve">The firm onboarding flow specified end to end by the client and Section 5 restructured around it — from "Setting Up a New Firm" (a description of the wizard) to "From Enquiry to First Login" (the whole journey). Net-new to the product: enquiry capture and an enquiry work queue on the Portal dashboard (SA-16 to SA-18); a record that the offline legal agreement is complete, carrying the agreed plan and seat count, which gates everything downstream (SA-19); onboarding by emailed link generated by Sosinna's team, expiring and revocable, superseding the admin-created account in MKT-03 (SA-20, SA-21); the firm creating its own first Firm Super Admin account with MFA and inviting a second before completion (FR-117); resumable, per-step-validated onboarding (FR-118, FR-119); staff, reporting lines and business continuity call tree captured during onboarding with a mandatory gap review — every employee needs a call contact and a reporting manager — and legitimate exceptions acknowledged rather than faked (FR-120 to FR-122); </w:t>
            </w:r>
            <w:r>
              <w:rPr>
                <w:b/>
                <w:i/>
                <w:strike w:val="0"/>
              </w:rPr>
              <w:t>in-platform payment after the details and before first login, charged against the offline-agreed plan</w:t>
            </w:r>
            <w:r>
              <w:rPr>
                <w:b/>
                <w:i/>
                <w:strike w:val="0"/>
              </w:rPr>
              <w:t xml:space="preserve"> (FR-123 to FR-125); retry on failure with nothing lost (FR-126); login gated on activation with no pre-payment access (FR-127); and a definition of "onboarded" the Portal reports against (FR-128). NFR-12 keeps card data off the platform entirely. Section 2 gains enquiry and payment record classes. Five new notification types. Payment contradicts MKT-02 and CC-06 as previously written — flagged, not silently resolved. Eight new open questions (ON-01 to ON-08, three of them estimation blockers) and three new gaps (GAP-18 to GAP-20, two of them commercial and both blocking signature).</w:t>
            </w:r>
          </w:p>
        </w:tc>
      </w:tr>
      <w:tr>
        <w:tc>
          <w:tcPr>
            <w:tcW w:type="dxa" w:w="2880"/>
          </w:tcPr>
          <w:p>
            <w:r/>
            <w:r>
              <w:rPr>
                <w:b w:val="0"/>
                <w:i w:val="0"/>
                <w:strike w:val="0"/>
              </w:rPr>
              <w:t>v12.0 — PRD v8.0</w:t>
            </w:r>
          </w:p>
        </w:tc>
        <w:tc>
          <w:tcPr>
            <w:tcW w:type="dxa" w:w="2880"/>
          </w:tcPr>
          <w:p>
            <w:r/>
            <w:r>
              <w:rPr>
                <w:b w:val="0"/>
                <w:i w:val="0"/>
                <w:strike w:val="0"/>
              </w:rPr>
              <w:t>Aug 2026</w:t>
            </w:r>
          </w:p>
        </w:tc>
        <w:tc>
          <w:tcPr>
            <w:tcW w:type="dxa" w:w="2880"/>
          </w:tcPr>
          <w:p>
            <w:r/>
            <w:r>
              <w:rPr>
                <w:b/>
                <w:i/>
                <w:strike w:val="0"/>
              </w:rPr>
              <w:t>Minutes of the 14 August 2026 client meeting incorporated. The business-owner side of the records-request workflow specified end to end: announcement letter to a distribution list of all relevant business units, auto-populated with justified edits (FR-83 revised, FR-132); each request item mapped to a business unit (FR-131); business owner reaches a dashboard from the letter link showing the test and all their request items — resolves TS-04 (FR-133); per-item upload or a recorded no-document reason (FR-134); uploader identity recorded alongside the request/receipt dates (FR-85 revised). Every test shows an overview and its request list (FR-129). Per-step gap visibility and per-step status recording during execution (FR-135). Lead Tester submits for CCO review; the CCO's three outcomes — completed, assign a remediation owner, or return — with remediation owner assignment CCO-only (FR-136, GAP-21). Dedicated N/A register with reason, who and when (FR-130). Manual staff entry removed — spreadsheet upload only (FR-62 revised). Org chart changes gated on the "Firm Admin" role (FR-139, UM-01). Glossary and guidance page firm-side with Portal management (FR-137, SA-25). Vendor AML alerts in the news feed, e.g. NICE Actimize (FR-138, NF-01). Rule fetches save execution frequency and priority (SA-23). Super Admin test cloning with recorded history (SA-22). Associate admin roles with final confirmation by Sosinna (SA-24, AD-01). Pre-onboarding qualification named as Sosinna's team's decision (5.2 note). No page displays the org call tree (descope, 10.5). Branding decided blue and white, codes pending (CC-02, BR-01). Confirmations: platform-wide audit trails (FR-13/NFR-04), deactivate-don't-delete (FR-14), scope dates set by the CCO (FR-80), AI validation of business-unit uploads (FR-88/110/112), test versioning (SA-02/SA-04), call-tree gap evaluation at onboarding (FR-120/121), rule-change alerts to Super Admin and affected firms (SA-15/FR-35). Four new open questions (UM-01, BR-01, NF-01, AD-01), TS-04 resolved, EV-03 partial, one new gap (GAP-21).</w:t>
            </w:r>
          </w:p>
        </w:tc>
      </w:tr>
      <w:tr>
        <w:tc>
          <w:tcPr>
            <w:tcW w:type="dxa" w:w="2880"/>
          </w:tcPr>
          <w:p>
            <w:r/>
            <w:r>
              <w:rPr>
                <w:b w:val="0"/>
                <w:i w:val="0"/>
                <w:strike w:val="0"/>
              </w:rPr>
              <w:t>v15.0 — PRD v11.0</w:t>
            </w:r>
          </w:p>
        </w:tc>
        <w:tc>
          <w:tcPr>
            <w:tcW w:type="dxa" w:w="2880"/>
          </w:tcPr>
          <w:p>
            <w:r/>
            <w:r>
              <w:rPr>
                <w:b w:val="0"/>
                <w:i w:val="0"/>
                <w:strike w:val="0"/>
              </w:rPr>
              <w:t>Sep 2026</w:t>
            </w:r>
          </w:p>
        </w:tc>
        <w:tc>
          <w:tcPr>
            <w:tcW w:type="dxa" w:w="2880"/>
          </w:tcPr>
          <w:p>
            <w:r/>
            <w:r>
              <w:rPr>
                <w:b/>
                <w:i/>
                <w:strike w:val="0"/>
                <w:color w:val="7B3F00"/>
              </w:rPr>
              <w:t xml:space="preserve">The test model restructured against the client's Create-test screen of September 2026, incorporating the point deferred at v10.0 as TS-08. The hierarchy becomes </w:t>
            </w:r>
            <w:r>
              <w:rPr>
                <w:b/>
                <w:i/>
                <w:strike w:val="0"/>
                <w:color w:val="7B3F00"/>
              </w:rPr>
              <w:t>Regulation → Rule → Test → Requirement → Article</w:t>
            </w:r>
            <w:r>
              <w:rPr>
                <w:b/>
                <w:i/>
                <w:strike w:val="0"/>
                <w:color w:val="7B3F00"/>
              </w:rPr>
              <w:t>: a test is a container that names its regulation and the rule it covers, and holds one or more requirements; the requirement carries its own ID, name, tagged articles, service lines, notified business unit, schedule, test steps, request list, scope and guidance documents (SA-01 rewritten, SA-28, SA-29, SA-32). Requirement IDs are authored inside the test and the standing central Requirement ID library is retired, which makes the article tag the only route from a regulatory change to the tests affected by it (SA-30, SA-03 revised). The requirement becomes the unit of assignment, execution, result and reporting: the pool holds requirements (FR-78), the CCO assigns per requirement (FR-79, FR-20), each requirement has one Lead Tester (FR-21), and the test result is rolled up from its requirements and confirmed by the CCO rather than typed by anyone (FR-143, FR-144). Article-level fan-out is retired as a separate mode — a test spans several testers because its requirements do (FR-106 revised). Service line applicability moves onto the requirement, so a firm can receive part of a test (FR-145, FR-7, SA-07 rewritten), and the master list is corrected to the ten CASP service lines under MiCA, not the DORA A–H activity list that v10.0 named in error (SA-26, FR-140). Schedule moves onto the requirement and proposes the scope period at assignment (FR-146, FR-80). Business owner becomes business unit, per requirement (FR-82 rewritten). Findings, N/A decisions, the report structure, the request list and the assignment notification all follow to requirement level (FR-39, FR-40, FR-94, FR-130, FR-56, FR-100, FR-25, FR-131, Section 12). Closes TS-05, TS-06, TS-07, TS-08 and GAP-15; adds TS-09, TS-10, GAP-23 and GAP-24, the last superseding GAP-22; widens GAP-14 a third time. Substantial net-new scope on top of v10.0's.</w:t>
            </w:r>
            <w:r>
              <w:rPr>
                <w:b w:val="0"/>
                <w:i w:val="0"/>
                <w:strike w:val="0"/>
              </w:rPr>
              <w:t xml:space="preserve"> </w:t>
            </w:r>
            <w:r>
              <w:rPr>
                <w:b w:val="0"/>
                <w:i/>
                <w:strike w:val="0"/>
                <w:color w:val="7B3F00"/>
                <w:sz w:val="16"/>
              </w:rPr>
              <w:t xml:space="preserve"> [Sep 2026 test model]</w:t>
            </w:r>
          </w:p>
        </w:tc>
      </w:tr>
      <w:tr>
        <w:tc>
          <w:tcPr>
            <w:tcW w:type="dxa" w:w="2880"/>
          </w:tcPr>
          <w:p>
            <w:r/>
            <w:r>
              <w:rPr>
                <w:b w:val="0"/>
                <w:i w:val="0"/>
                <w:strike w:val="0"/>
              </w:rPr>
              <w:t>v14.0 — PRD v10.0</w:t>
            </w:r>
          </w:p>
        </w:tc>
        <w:tc>
          <w:tcPr>
            <w:tcW w:type="dxa" w:w="2880"/>
          </w:tcPr>
          <w:p>
            <w:r/>
            <w:r>
              <w:rPr>
                <w:b w:val="0"/>
                <w:i w:val="0"/>
                <w:strike w:val="0"/>
              </w:rPr>
              <w:t>Sep 2026</w:t>
            </w:r>
          </w:p>
        </w:tc>
        <w:tc>
          <w:tcPr>
            <w:tcW w:type="dxa" w:w="2880"/>
          </w:tcPr>
          <w:p>
            <w:r/>
            <w:r>
              <w:rPr>
                <w:b/>
                <w:i/>
                <w:strike w:val="0"/>
                <w:color w:val="2E7D32"/>
              </w:rPr>
              <w:t>Two client model corrections incorporated, both raised against the v9.0 text, and one client decision deliberately deferred. Service lines become an explicit selection step in the onboarding wizard, drawn from a centrally maintained master list, with the revenue source file and financial reports demoted from deciding the answer to pre-filling it (FR-140, FR-141, SA-26; FR-04, FR-05, FR-08, FR-92, FR-93, FR-128 and SA-07 revised) — this resolves a contradiction the document had carried since v5.0 between "the firm does not manually tick a list" and the 25 Jun finding that a single revenue line can span two service lines. Sampling becomes a per-step property: each step template carries an applicability flag set by the Platform Super Admin at authoring time, and a step flagged as requiring none is completed on evidence and observation alone (SA-27, FR-142; SA-02, SA-05, Section 4.2, Section 7.1 step 4, FR-21c, FR-135, FR-56 and Section 2 revised). Deferred and logged as TS-08: a test containing multiple Requirement IDs with the CCO assigning a tester per requirement — agreed in principle, not incorporated, not priced. One new gap (GAP-22); GAP-15 annotated as waiting on TS-08. Net-new scope immediately after v9.0's descoping, so the estimate must be re-based again before signature.</w:t>
            </w:r>
            <w:r>
              <w:rPr>
                <w:b w:val="0"/>
                <w:i w:val="0"/>
                <w:strike w:val="0"/>
              </w:rPr>
              <w:t xml:space="preserve"> </w:t>
            </w:r>
            <w:r>
              <w:rPr>
                <w:b w:val="0"/>
                <w:i/>
                <w:strike w:val="0"/>
                <w:color w:val="2E7D32"/>
                <w:sz w:val="16"/>
              </w:rPr>
              <w:t xml:space="preserve"> [Sep 2026 model revision]</w:t>
            </w:r>
          </w:p>
        </w:tc>
      </w:tr>
      <w:tr>
        <w:tc>
          <w:tcPr>
            <w:tcW w:type="dxa" w:w="2880"/>
          </w:tcPr>
          <w:p>
            <w:r/>
            <w:r>
              <w:rPr>
                <w:b w:val="0"/>
                <w:i w:val="0"/>
                <w:strike w:val="0"/>
              </w:rPr>
              <w:t>v13.0 — PRD v9.0</w:t>
            </w:r>
          </w:p>
        </w:tc>
        <w:tc>
          <w:tcPr>
            <w:tcW w:type="dxa" w:w="2880"/>
          </w:tcPr>
          <w:p>
            <w:r/>
            <w:r>
              <w:rPr>
                <w:b w:val="0"/>
                <w:i w:val="0"/>
                <w:strike w:val="0"/>
              </w:rPr>
              <w:t>Sep 2026</w:t>
            </w:r>
          </w:p>
        </w:tc>
        <w:tc>
          <w:tcPr>
            <w:tcW w:type="dxa" w:w="2880"/>
          </w:tcPr>
          <w:p>
            <w:r/>
            <w:r>
              <w:rPr>
                <w:b/>
                <w:i/>
                <w:strike w:val="0"/>
                <w:color w:val="C00000"/>
              </w:rPr>
              <w:t>Three client scope decisions incorporated, and the first descoping revision in this document's history. Section 11 (Systems and IT Risk) withdrawn in full and FR-72 to FR-77 retired — IT system inventory, DORA CIF/CTPP classification, third-party vendor register, major-incident checklist, the four-hour regulator notification and the BCP/DR report store all leave the product; DORA itself stays in scope through the regulatory library and the testing workflow. The IT / Systems Admin system role withdrawn with it, taking the system-role count from eight to seven. The FR-139 "Firm Admin" confirmed as the Firm Super Admin, closing UM-01 with no new role. The business owner's evidence surface settled as a scoped expiring link rather than a dashboard, closing EV-03 and revising FR-133. Section numbering deliberately unchanged; Section 11 retained as a removal stub.</w:t>
            </w:r>
            <w:r>
              <w:rPr>
                <w:b w:val="0"/>
                <w:i w:val="0"/>
                <w:strike w:val="0"/>
              </w:rPr>
              <w:t xml:space="preserve"> </w:t>
            </w:r>
            <w:r>
              <w:rPr>
                <w:b w:val="0"/>
                <w:i/>
                <w:strike w:val="0"/>
                <w:color w:val="C00000"/>
                <w:sz w:val="16"/>
              </w:rPr>
              <w:t xml:space="preserve"> [Sep 2026 scope decision]</w:t>
            </w:r>
          </w:p>
        </w:tc>
      </w:tr>
    </w:tbl>
    <w:tbl>
      <w:tblPr>
        <w:tblStyle w:val="TableGrid"/>
        <w:tblW w:type="auto" w:w="0"/>
        <w:tblLook w:firstColumn="1" w:firstRow="1" w:lastColumn="0" w:lastRow="0" w:noHBand="0" w:noVBand="1" w:val="04A0"/>
      </w:tblPr>
      <w:tblGrid>
        <w:gridCol w:w="8640"/>
      </w:tblGrid>
      <w:tr>
        <w:tc>
          <w:tcPr>
            <w:tcW w:type="dxa" w:w="8640"/>
            <w:shd w:val="clear" w:fill="EDEDED"/>
          </w:tcPr>
          <w:p>
            <w:r>
              <w:rPr>
                <w:b/>
                <w:i w:val="0"/>
                <w:strike w:val="0"/>
              </w:rPr>
              <w:t>DEVELOPER NOTE</w:t>
            </w:r>
            <w:r>
              <w:rPr>
                <w:b w:val="0"/>
                <w:i w:val="0"/>
                <w:strike w:val="0"/>
              </w:rPr>
              <w:t xml:space="preserve"> </w:t>
            </w:r>
            <w:r>
              <w:rPr>
                <w:b w:val="0"/>
                <w:i/>
                <w:strike w:val="0"/>
              </w:rPr>
              <w:t>(grey)</w:t>
            </w:r>
          </w:p>
          <w:p>
            <w:r>
              <w:rPr>
                <w:b/>
                <w:i w:val="0"/>
                <w:strike w:val="0"/>
              </w:rPr>
              <w:t>📌 Note</w:t>
            </w:r>
          </w:p>
          <w:p>
            <w:pPr>
              <w:pStyle w:val="ListBullet"/>
            </w:pPr>
            <w:r>
              <w:rPr>
                <w:b/>
                <w:i/>
                <w:strike w:val="0"/>
                <w:color w:val="C00000"/>
              </w:rPr>
              <w:t>v9.0 is recorded as a full version despite adding no features, because it retires six requirement IDs and withdraws a numbered section. A revision that removes scope changes the estimate and the fee as surely as one that adds it, and it must be as visible in this table as v7.0's payment step was.</w:t>
            </w:r>
            <w:r>
              <w:rPr>
                <w:b w:val="0"/>
                <w:i w:val="0"/>
                <w:strike w:val="0"/>
              </w:rPr>
              <w:t xml:space="preserve"> </w:t>
            </w:r>
            <w:r>
              <w:rPr>
                <w:b w:val="0"/>
                <w:i/>
                <w:strike w:val="0"/>
                <w:color w:val="C00000"/>
                <w:sz w:val="16"/>
              </w:rPr>
              <w:t xml:space="preserve"> [Sep 2026 scope decision]</w:t>
            </w:r>
          </w:p>
          <w:p>
            <w:pPr>
              <w:pStyle w:val="ListBullet"/>
            </w:pPr>
            <w:r>
              <w:rPr>
                <w:b w:val="0"/>
                <w:i/>
                <w:strike w:val="0"/>
              </w:rPr>
              <w:t>Superseded — kept for context: "Per instruction, the version label stays at v4.0 — this document history table is unchanged. All edits from the 25 Jun call and Sosinna's Drive comments are layered into the sections above in colour, not recorded as a new version row here."</w:t>
            </w:r>
          </w:p>
          <w:p>
            <w:pPr>
              <w:pStyle w:val="ListBullet"/>
            </w:pPr>
            <w:r>
              <w:rPr>
                <w:b/>
                <w:i/>
                <w:strike w:val="0"/>
                <w:color w:val="7030A0"/>
              </w:rPr>
              <w:t>v5.0 changes that instruction. The August 2026 meeting introduced net-new functional scope rather than answers to existing questions, so it is recorded as a version. The 25 Jun call and Drive comment edits, which were previously unversioned, are absorbed into the v5.0 baseline — they no longer sit outside the version record. Their blue and orange tags remain so the provenance of each decision stays traceable.</w:t>
            </w:r>
            <w:r>
              <w:rPr>
                <w:b w:val="0"/>
                <w:i w:val="0"/>
                <w:strike w:val="0"/>
              </w:rPr>
              <w:t xml:space="preserve"> </w:t>
            </w:r>
            <w:r>
              <w:rPr>
                <w:b w:val="0"/>
                <w:i/>
                <w:strike w:val="0"/>
                <w:color w:val="7030A0"/>
                <w:sz w:val="16"/>
              </w:rPr>
              <w:t xml:space="preserve"> [Aug 2026 client MOM]</w:t>
            </w:r>
          </w:p>
          <w:p>
            <w:pPr>
              <w:pStyle w:val="ListBullet"/>
            </w:pPr>
            <w:r>
              <w:rPr>
                <w:b/>
                <w:i/>
                <w:strike w:val="0"/>
                <w:color w:val="008080"/>
              </w:rPr>
              <w:t>v6.0 follows the same rule. The 11 Aug review is largely confirmatory, which on its own would not justify a version bump — but it also introduces fan-out, gap identification and the wireframe view set, which are net-new functional scope. Recording it as a version also preserves the confirmations themselves, which have their own value: they are the evidence that v5.0 read the earlier meeting correctly, and that matters when this document is the frozen baseline a fixed-price contract is written against.</w:t>
            </w:r>
            <w:r>
              <w:rPr>
                <w:b w:val="0"/>
                <w:i w:val="0"/>
                <w:strike w:val="0"/>
              </w:rPr>
              <w:t xml:space="preserve"> </w:t>
            </w:r>
            <w:r>
              <w:rPr>
                <w:b w:val="0"/>
                <w:i/>
                <w:strike w:val="0"/>
                <w:color w:val="008080"/>
                <w:sz w:val="16"/>
              </w:rPr>
              <w:t xml:space="preserve"> [11 Aug 2026 MOM]</w:t>
            </w:r>
          </w:p>
          <w:p>
            <w:pPr>
              <w:pStyle w:val="ListBullet"/>
            </w:pPr>
            <w:r>
              <w:rPr>
                <w:b/>
                <w:i/>
                <w:strike w:val="0"/>
                <w:color w:val="843C0C"/>
              </w:rPr>
              <w:t>v7.0 is a whole version rather than a point release for the same reason, and more strongly: it adds a capability the product did not have in any previous version — taking money — and it restructures a numbered section. It also revises two previously agreed positions (MKT-03 outright, MKT-02 and CC-06 in tension), which is exactly the kind of change the version record exists to make visible.</w:t>
            </w:r>
            <w:r>
              <w:rPr>
                <w:b w:val="0"/>
                <w:i w:val="0"/>
                <w:strike w:val="0"/>
              </w:rPr>
              <w:t xml:space="preserve"> </w:t>
            </w:r>
            <w:r>
              <w:rPr>
                <w:b w:val="0"/>
                <w:i/>
                <w:strike w:val="0"/>
                <w:color w:val="843C0C"/>
                <w:sz w:val="16"/>
              </w:rPr>
              <w:t xml:space="preserve"> [Aug 2026 onboarding flow]</w:t>
            </w:r>
          </w:p>
          <w:p>
            <w:pPr>
              <w:pStyle w:val="ListBullet"/>
            </w:pPr>
            <w:r>
              <w:rPr>
                <w:b/>
                <w:i/>
                <w:strike w:val="0"/>
                <w:color w:val="CC00CC"/>
              </w:rPr>
              <w:t>v8.0 follows the v6.0 rule: partly a confirmation pass, but it introduces net-new functional scope (the business-owner dashboard, the glossary, test cloning, the N/A register) and revises two previously agreed requirements outright (FR-62 loses manual entry; FR-83's addressee becomes a distribution list), so it is recorded as a version.</w:t>
            </w:r>
            <w:r>
              <w:rPr>
                <w:b w:val="0"/>
                <w:i w:val="0"/>
                <w:strike w:val="0"/>
              </w:rPr>
              <w:t xml:space="preserve"> </w:t>
            </w:r>
            <w:r>
              <w:rPr>
                <w:b w:val="0"/>
                <w:i/>
                <w:strike w:val="0"/>
                <w:color w:val="CC00CC"/>
                <w:sz w:val="16"/>
              </w:rPr>
              <w:t xml:space="preserve"> [14 Aug 2026 MOM]</w:t>
            </w:r>
          </w:p>
        </w:tc>
      </w:tr>
    </w:tbl>
    <w:p>
      <w:pPr>
        <w:pStyle w:val="Heading1"/>
      </w:pPr>
      <w:r>
        <w:t>18. Sign-Off</w:t>
      </w:r>
    </w:p>
    <w:p>
      <w:r>
        <w:rPr>
          <w:b w:val="0"/>
          <w:i w:val="0"/>
          <w:strike w:val="0"/>
        </w:rPr>
        <w:t xml:space="preserve">This document represents the agreed product baseline as of September 2026. Development estimation proceeds from this version — </w:t>
      </w:r>
      <w:r>
        <w:rPr>
          <w:b/>
          <w:i/>
          <w:strike w:val="0"/>
        </w:rPr>
        <w:t>v11.0</w:t>
      </w:r>
      <w:r>
        <w:rPr>
          <w:b w:val="0"/>
          <w:i w:val="0"/>
          <w:strike w:val="0"/>
        </w:rPr>
        <w:t xml:space="preserve">, not v8.0 and not v4.0. Open questions marked 'Needed before estimation' in Section 15 must be resolved first; v5.0 added six (FO-09, PR-03, TS-01, EV-01, EV-02, EV-03), v6.0 added four (TS-05, TS-07, EV-07, EV-08) while closing EV-04, v7.0 added three more (ON-01, ON-02, ON-03 — all in the payment step), v8.0 adds none while resolving TS-04 and narrowing EV-03, </w:t>
      </w:r>
      <w:r>
        <w:rPr>
          <w:b/>
          <w:i/>
          <w:strike w:val="0"/>
        </w:rPr>
        <w:t>v10.0 adds one — TS-08 — and v11.0 closes it by building it, along with TS-05, TS-06 and TS-07, while adding TS-09</w:t>
      </w:r>
      <w:r>
        <w:rPr>
          <w:b w:val="0"/>
          <w:i w:val="0"/>
          <w:strike w:val="0"/>
        </w:rPr>
        <w:t>. Workflow gaps in Section 16 must be resolved before the relevant development sprint begins.</w:t>
      </w:r>
    </w:p>
    <w:p>
      <w:r>
        <w:rPr>
          <w:b/>
          <w:i/>
          <w:strike w:val="0"/>
          <w:color w:val="7030A0"/>
        </w:rPr>
        <w:t>Signing this section freezes the baseline under the clause in Section 16. Before signing, confirm that the net-new scope introduced in v5.0 — the records-request workflow, the AI document-match check, the priority configuration surface, the EU regulation ingest pipeline, and the org chart analytics dashboard — is reflected in the fixed fee.</w:t>
      </w:r>
      <w:r>
        <w:rPr>
          <w:b w:val="0"/>
          <w:i w:val="0"/>
          <w:strike w:val="0"/>
        </w:rPr>
        <w:t xml:space="preserve"> </w:t>
      </w:r>
      <w:r>
        <w:rPr>
          <w:b w:val="0"/>
          <w:i/>
          <w:strike w:val="0"/>
          <w:color w:val="7030A0"/>
          <w:sz w:val="16"/>
        </w:rPr>
        <w:t xml:space="preserve"> [Aug 2026 client MOM]</w:t>
      </w:r>
    </w:p>
    <w:p>
      <w:r>
        <w:rPr>
          <w:b/>
          <w:i/>
          <w:strike w:val="0"/>
          <w:color w:val="008080"/>
        </w:rPr>
        <w:t>And that the v6.0 additions are too: article-level test fan-out (FR-106), post-evidence gap identification (FR-112), the employee directory (FR-116), and the calendar and remediation dashboard views (FR-114, FR-115). One item is deliberately outside the fee at signature: the FR-111 follow-up request portal, which stays a proposal until the development-effort assessment the client asked for on 11 August is returned and a scope decision is taken. If it is approved after signature it is an amendment, not a clarification.</w:t>
      </w:r>
      <w:r>
        <w:rPr>
          <w:b w:val="0"/>
          <w:i w:val="0"/>
          <w:strike w:val="0"/>
        </w:rPr>
        <w:t xml:space="preserve"> </w:t>
      </w:r>
      <w:r>
        <w:rPr>
          <w:b w:val="0"/>
          <w:i/>
          <w:strike w:val="0"/>
          <w:color w:val="008080"/>
          <w:sz w:val="16"/>
        </w:rPr>
        <w:t xml:space="preserve"> [11 Aug 2026 MOM]</w:t>
      </w:r>
    </w:p>
    <w:p>
      <w:r>
        <w:rPr>
          <w:b/>
          <w:i/>
          <w:strike w:val="0"/>
          <w:color w:val="843C0C"/>
        </w:rPr>
        <w:t>v7.0 adds a further block of net-new scope that must be reflected in the fee: enquiry management in the Portal (SA-16 to SA-19), the onboarding link mechanism (SA-20, SA-21), self-service account creation and a resumable, validated wizard (FR-117 to FR-119), call tree capture and gap review at onboarding (FR-120 to FR-122), and the payment step with activation and retry (FR-123 to FR-127).</w:t>
      </w:r>
      <w:r>
        <w:rPr>
          <w:b w:val="0"/>
          <w:i w:val="0"/>
          <w:strike w:val="0"/>
        </w:rPr>
        <w:t xml:space="preserve"> </w:t>
      </w:r>
      <w:r>
        <w:rPr>
          <w:b w:val="0"/>
          <w:i/>
          <w:strike w:val="0"/>
          <w:color w:val="843C0C"/>
          <w:sz w:val="16"/>
        </w:rPr>
        <w:t xml:space="preserve"> [Aug 2026 onboarding flow]</w:t>
      </w:r>
    </w:p>
    <w:p>
      <w:r>
        <w:rPr>
          <w:b/>
          <w:i/>
          <w:strike w:val="0"/>
          <w:color w:val="CC00CC"/>
        </w:rPr>
        <w:t>v8.0 adds a further block of net-new scope that must be reflected in the fee: the business-owner dashboard and upload-or-reason flow (FR-133, FR-134), per-unit request mapping and the justified announcement distribution list (FR-131, FR-132), the test overview and N/A register views (FR-129, FR-130), per-step gap statuses (FR-135), the CCO review-outcome flow (FR-136), the glossary on both sides (FR-137, SA-25), Super Admin test cloning (SA-22), associate admin roles (SA-24), and the vendor AML news feed source (FR-138 — conditional on NF-01). One removal cuts scope: manual staff entry (FR-62). GAP-21 must be resolved before the remediation sprint.</w:t>
      </w:r>
      <w:r>
        <w:rPr>
          <w:b w:val="0"/>
          <w:i w:val="0"/>
          <w:strike w:val="0"/>
        </w:rPr>
        <w:t xml:space="preserve"> </w:t>
      </w:r>
      <w:r>
        <w:rPr>
          <w:b w:val="0"/>
          <w:i/>
          <w:strike w:val="0"/>
          <w:color w:val="CC00CC"/>
          <w:sz w:val="16"/>
        </w:rPr>
        <w:t xml:space="preserve"> [14 Aug 2026 MOM]</w:t>
      </w:r>
    </w:p>
    <w:p>
      <w:r>
        <w:rPr>
          <w:b/>
          <w:i/>
          <w:strike w:val="0"/>
          <w:color w:val="C00000"/>
        </w:rPr>
        <w:t>v9.0 subtracts scope for the first time, and the fee must move with it. Withdrawn: the whole of Section 11 — the IT system inventory with its DORA Critical/Important classification (FR-72), CIF and CTPP tracking (FR-73), the third-party vendor register (FR-74), major-incident determination (FR-75), the four-hour regulator notification clock and draft (FR-76), and the BCP/DR report store (FR-77) — together with the IT / Systems Admin role that existed to work it. Anyone who estimated against v8.0 must re-baseline before signature; an estimate carried across unchanged prices a module that is not being built. Two open questions also close at no cost: EV-03 and UM-01.</w:t>
      </w:r>
      <w:r>
        <w:rPr>
          <w:b w:val="0"/>
          <w:i w:val="0"/>
          <w:strike w:val="0"/>
        </w:rPr>
        <w:t xml:space="preserve"> </w:t>
      </w:r>
      <w:r>
        <w:rPr>
          <w:b w:val="0"/>
          <w:i/>
          <w:strike w:val="0"/>
          <w:color w:val="C00000"/>
          <w:sz w:val="16"/>
        </w:rPr>
        <w:t xml:space="preserve"> [Sep 2026 scope decision]</w:t>
      </w:r>
    </w:p>
    <w:p>
      <w:r>
        <w:rPr>
          <w:b/>
          <w:i/>
          <w:strike w:val="0"/>
          <w:color w:val="2E7D32"/>
        </w:rPr>
        <w:t>v10.0 adds scope again, immediately after v9.0 subtracted it, and the fee must move with it a second time. Net-new: the service line selection step with its centrally managed master list and per-entry guidance (FR-140, SA-26), the deviation record with mandatory reasons carried into the onboarding checklist and the Portal (FR-141), the per-step sampling applicability flag in the Portal's test authoring surface (SA-27), and the conditional tester surface and enforcement that flag drives at execution (FR-142). The derivation work in FR-04, FR-92 and FR-93 does not change in effort; it changes in what it feeds. Anyone who re-based on v9.0 must re-base again.</w:t>
      </w:r>
      <w:r>
        <w:rPr>
          <w:b w:val="0"/>
          <w:i w:val="0"/>
          <w:strike w:val="0"/>
        </w:rPr>
        <w:t xml:space="preserve"> </w:t>
      </w:r>
      <w:r>
        <w:rPr>
          <w:b w:val="0"/>
          <w:i/>
          <w:strike w:val="0"/>
          <w:color w:val="2E7D32"/>
          <w:sz w:val="16"/>
        </w:rPr>
        <w:t xml:space="preserve"> [Sep 2026 model revision]</w:t>
      </w:r>
    </w:p>
    <w:p>
      <w:r>
        <w:rPr>
          <w:b/>
          <w:i/>
          <w:strike w:val="0"/>
          <w:color w:val="7B3F00"/>
        </w:rPr>
        <w:t>v11.0 is the largest single scope movement since v7.0 put payment in the product, and unlike v7.0 it restructures something the whole testing module already depends on. Net-new: the test-authoring surface in the Portal — regulation, rule and an ordered set of requirements, each with its own ID, name, article multi-select, service lines, notified business unit, schedule, steps, request list, scope and guidance documents (SA-28, SA-29, SA-32); requirement-ID authoring with uniqueness enforcement and the retirement of the central library (SA-30); article-tag-driven change propagation (SA-03 revised); a pool and assignment flow at requirement granularity (FR-78, FR-79, FR-143); per-requirement result capture with a computed, CCO-confirmed test roll-up (FR-144); per-requirement service line applicability, so a firm can receive part of a test (FR-145); and schedule-proposed scope periods (FR-146). Substantial rework, not net-new: the report structure, the N/A register, the request list, the findings register, the CCO oversight view and the assignment notification all move down a level. The tech-spec data model is re-issued under GAP-24 before any of it is built.</w:t>
      </w:r>
      <w:r>
        <w:rPr>
          <w:b w:val="0"/>
          <w:i w:val="0"/>
          <w:strike w:val="0"/>
        </w:rPr>
        <w:t xml:space="preserve"> </w:t>
      </w:r>
      <w:r>
        <w:rPr>
          <w:b w:val="0"/>
          <w:i/>
          <w:strike w:val="0"/>
          <w:color w:val="7B3F00"/>
          <w:sz w:val="16"/>
        </w:rPr>
        <w:t xml:space="preserve"> [Sep 2026 test model]</w:t>
      </w:r>
    </w:p>
    <w:p>
      <w:r>
        <w:rPr>
          <w:b/>
          <w:i/>
          <w:strike w:val="0"/>
          <w:color w:val="7B3F00"/>
        </w:rPr>
        <w:t>What this revision removes from the fee should be netted off: article-level fan-out as a separate mechanism (FR-106 as it stood), the standing Requirement-ID-to-service-line configuration surface in the Portal (SA-07 as it stood), and the central Requirement ID library with its own maintenance screens (SA-01 as it stood). None of the three is built now.</w:t>
      </w:r>
      <w:r>
        <w:rPr>
          <w:b w:val="0"/>
          <w:i w:val="0"/>
          <w:strike w:val="0"/>
        </w:rPr>
        <w:t xml:space="preserve"> </w:t>
      </w:r>
      <w:r>
        <w:rPr>
          <w:b w:val="0"/>
          <w:i/>
          <w:strike w:val="0"/>
          <w:color w:val="7B3F00"/>
          <w:sz w:val="16"/>
        </w:rPr>
        <w:t xml:space="preserve"> [Sep 2026 test model]</w:t>
      </w:r>
    </w:p>
    <w:p>
      <w:r>
        <w:rPr>
          <w:b/>
          <w:i/>
          <w:strike w:val="0"/>
          <w:color w:val="2E7D32"/>
        </w:rPr>
        <w:t>One item is named here precisely because it is NOT in this version and must not be read into the fee: TS-08, the client's decision that a test should contain multiple Requirement IDs with a tester assigned per requirement. It is agreed in principle and deferred by agreement to its own revision. It is not priced in v10.0.</w:t>
      </w:r>
      <w:r>
        <w:rPr>
          <w:b w:val="0"/>
          <w:i w:val="0"/>
          <w:strike w:val="0"/>
        </w:rPr>
        <w:t xml:space="preserve"> </w:t>
      </w:r>
      <w:r>
        <w:rPr>
          <w:b w:val="0"/>
          <w:i/>
          <w:strike w:val="0"/>
          <w:color w:val="2E7D32"/>
          <w:sz w:val="16"/>
        </w:rPr>
        <w:t xml:space="preserve"> [Sep 2026 model revision]</w:t>
      </w:r>
      <w:r>
        <w:rPr>
          <w:b w:val="0"/>
          <w:i w:val="0"/>
          <w:strike w:val="0"/>
        </w:rPr>
        <w:t xml:space="preserve"> </w:t>
      </w:r>
      <w:r>
        <w:rPr>
          <w:b/>
          <w:i/>
          <w:strike w:val="0"/>
          <w:color w:val="7B3F00"/>
        </w:rPr>
        <w:t>SUPERSEDED in v11.0: TS-08 is no longer deferred. The client supplied the Create-test screen, the model was settled against it, and it is incorporated in full — so it is inside the baseline and must be inside the fee. The paragraph above is retained because it records that the scope entered the document as an explicit, dated decision rather than by drift.</w:t>
      </w:r>
      <w:r>
        <w:rPr>
          <w:b w:val="0"/>
          <w:i w:val="0"/>
          <w:strike w:val="0"/>
        </w:rPr>
        <w:t xml:space="preserve"> </w:t>
      </w:r>
      <w:r>
        <w:rPr>
          <w:b w:val="0"/>
          <w:i/>
          <w:strike w:val="0"/>
          <w:color w:val="7B3F00"/>
          <w:sz w:val="16"/>
        </w:rPr>
        <w:t xml:space="preserve"> [Sep 2026 test model]</w:t>
      </w:r>
    </w:p>
    <w:p>
      <w:r>
        <w:rPr>
          <w:b/>
          <w:i/>
          <w:strike w:val="0"/>
          <w:color w:val="843C0C"/>
        </w:rPr>
        <w:t>Two items must be settled before this section is signed, and neither is a development decision. GAP-18: MKT-02 says there is no self-serve checkout while FR-123 puts a payment step in the product — the document needs one agreed statement of what is and is not self-serve. GAP-19: CC-06 makes Synergy the direct biller while the platform now collects the payment — whose merchant account, whose invoice, whose refund. Signing with these open freezes a baseline that contradicts itself on the commercial terms, which is the worst place for a fixed-price contract to be ambiguous. Note also that the payment step cannot be estimated at all until ON-01 to ON-03 are answered — an invoice-and-transfer model and a recurring card subscription are not the same build.</w:t>
      </w:r>
      <w:r>
        <w:rPr>
          <w:b w:val="0"/>
          <w:i w:val="0"/>
          <w:strike w:val="0"/>
        </w:rPr>
        <w:t xml:space="preserve"> </w:t>
      </w:r>
      <w:r>
        <w:rPr>
          <w:b w:val="0"/>
          <w:i/>
          <w:strike w:val="0"/>
          <w:color w:val="843C0C"/>
          <w:sz w:val="16"/>
        </w:rPr>
        <w:t xml:space="preserve"> [Aug 2026 onboarding flow]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4E79"/>
          </w:tcPr>
          <w:p>
            <w:r>
              <w:rPr>
                <w:b/>
                <w:color w:val="FFFFFF"/>
              </w:rPr>
            </w:r>
            <w:r>
              <w:rPr>
                <w:b/>
                <w:i w:val="0"/>
                <w:strike w:val="0"/>
                <w:color w:val="FFFFFF"/>
              </w:rPr>
              <w:t>Role</w:t>
            </w:r>
          </w:p>
        </w:tc>
        <w:tc>
          <w:tcPr>
            <w:tcW w:type="dxa" w:w="2160"/>
            <w:shd w:val="clear" w:fill="1F4E79"/>
          </w:tcPr>
          <w:p>
            <w:r>
              <w:rPr>
                <w:b/>
                <w:color w:val="FFFFFF"/>
              </w:rPr>
            </w:r>
            <w:r>
              <w:rPr>
                <w:b/>
                <w:i w:val="0"/>
                <w:strike w:val="0"/>
                <w:color w:val="FFFFFF"/>
              </w:rPr>
              <w:t>Name</w:t>
            </w:r>
          </w:p>
        </w:tc>
        <w:tc>
          <w:tcPr>
            <w:tcW w:type="dxa" w:w="2160"/>
            <w:shd w:val="clear" w:fill="1F4E79"/>
          </w:tcPr>
          <w:p>
            <w:r>
              <w:rPr>
                <w:b/>
                <w:color w:val="FFFFFF"/>
              </w:rPr>
            </w:r>
            <w:r>
              <w:rPr>
                <w:b/>
                <w:i w:val="0"/>
                <w:strike w:val="0"/>
                <w:color w:val="FFFFFF"/>
              </w:rPr>
              <w:t>Organisation</w:t>
            </w:r>
          </w:p>
        </w:tc>
        <w:tc>
          <w:tcPr>
            <w:tcW w:type="dxa" w:w="2160"/>
            <w:shd w:val="clear" w:fill="1F4E79"/>
          </w:tcPr>
          <w:p>
            <w:r>
              <w:rPr>
                <w:b/>
                <w:color w:val="FFFFFF"/>
              </w:rPr>
            </w:r>
            <w:r>
              <w:rPr>
                <w:b/>
                <w:i w:val="0"/>
                <w:strike w:val="0"/>
                <w:color w:val="FFFFFF"/>
              </w:rPr>
              <w:t>Signature / Date</w:t>
            </w:r>
          </w:p>
        </w:tc>
      </w:tr>
      <w:tr>
        <w:tc>
          <w:tcPr>
            <w:tcW w:type="dxa" w:w="2160"/>
          </w:tcPr>
          <w:p>
            <w:r/>
            <w:r>
              <w:rPr>
                <w:b w:val="0"/>
                <w:i w:val="0"/>
                <w:strike w:val="0"/>
              </w:rPr>
              <w:t>Delivery Head</w:t>
            </w:r>
          </w:p>
        </w:tc>
        <w:tc>
          <w:tcPr>
            <w:tcW w:type="dxa" w:w="2160"/>
          </w:tcPr>
          <w:p>
            <w:r/>
            <w:r>
              <w:rPr>
                <w:b w:val="0"/>
                <w:i w:val="0"/>
                <w:strike w:val="0"/>
              </w:rPr>
              <w:t>Jomin Johnson</w:t>
            </w:r>
          </w:p>
        </w:tc>
        <w:tc>
          <w:tcPr>
            <w:tcW w:type="dxa" w:w="2160"/>
          </w:tcPr>
          <w:p>
            <w:r/>
            <w:r>
              <w:rPr>
                <w:b w:val="0"/>
                <w:i w:val="0"/>
                <w:strike w:val="0"/>
              </w:rPr>
              <w:t>SayOne Technologies</w:t>
            </w:r>
          </w:p>
        </w:tc>
        <w:tc>
          <w:tcPr>
            <w:tcW w:type="dxa" w:w="2160"/>
          </w:tcPr>
          <w:p>
            <w:r/>
          </w:p>
        </w:tc>
      </w:tr>
      <w:tr>
        <w:tc>
          <w:tcPr>
            <w:tcW w:type="dxa" w:w="2160"/>
          </w:tcPr>
          <w:p>
            <w:r/>
            <w:r>
              <w:rPr>
                <w:b w:val="0"/>
                <w:i w:val="0"/>
                <w:strike w:val="0"/>
              </w:rPr>
              <w:t>Client — Domain Expert</w:t>
            </w:r>
          </w:p>
        </w:tc>
        <w:tc>
          <w:tcPr>
            <w:tcW w:type="dxa" w:w="2160"/>
          </w:tcPr>
          <w:p>
            <w:r/>
            <w:r>
              <w:rPr>
                <w:b w:val="0"/>
                <w:i w:val="0"/>
                <w:strike w:val="0"/>
              </w:rPr>
              <w:t>Sosinna Degefu</w:t>
            </w:r>
          </w:p>
        </w:tc>
        <w:tc>
          <w:tcPr>
            <w:tcW w:type="dxa" w:w="2160"/>
          </w:tcPr>
          <w:p>
            <w:r/>
            <w:r>
              <w:rPr>
                <w:b w:val="0"/>
                <w:i w:val="0"/>
                <w:strike w:val="0"/>
              </w:rPr>
              <w:t>Synergy Consulting Group</w:t>
            </w:r>
          </w:p>
        </w:tc>
        <w:tc>
          <w:tcPr>
            <w:tcW w:type="dxa" w:w="2160"/>
          </w:tcPr>
          <w:p>
            <w:r/>
          </w:p>
        </w:tc>
      </w:tr>
    </w:tbl>
    <w:p>
      <w:r>
        <w:rPr>
          <w:b w:val="0"/>
          <w:i/>
          <w:strike w:val="0"/>
          <w:color w:val="595959"/>
        </w:rPr>
        <w:t>ControlIQ · Product Requirements Document v9.0 · SayOne Technologies · Confidential · September 2026</w:t>
      </w:r>
      <w:r>
        <w:rPr>
          <w:b w:val="0"/>
          <w:i w:val="0"/>
          <w:strike w:val="0"/>
        </w:rPr>
        <w:t xml:space="preserve"> </w:t>
      </w:r>
      <w:r>
        <w:rPr>
          <w:b w:val="0"/>
          <w:i/>
          <w:strike w:val="0"/>
          <w:color w:val="595959"/>
          <w:sz w:val="16"/>
        </w:rPr>
        <w:t xml:space="preserve"> [status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