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240" w:lineRule="auto"/>
        <w:rPr>
          <w:b w:val="1"/>
          <w:bCs w:val="1"/>
        </w:rPr>
      </w:pPr>
      <w:r w:rsidDel="00000000" w:rsidR="00000000" w:rsidRPr="00000000">
        <w:rPr>
          <w:b w:val="1"/>
          <w:bCs w:val="1"/>
          <w:rtl w:val="0"/>
        </w:rPr>
        <w:t xml:space="preserve">Architecture Review Feedback:</w:t>
        <w:br w:type="textWrapping"/>
      </w:r>
    </w:p>
    <w:p w:rsidR="00000000" w:rsidDel="00000000" w:rsidP="00000000" w:rsidRDefault="00000000" w:rsidRPr="00000000" w14:paraId="00000003">
      <w:pPr>
        <w:spacing w:after="240" w:before="240" w:line="240" w:lineRule="auto"/>
        <w:rPr/>
      </w:pPr>
      <w:r w:rsidDel="00000000" w:rsidR="00000000" w:rsidRPr="00000000">
        <w:rPr>
          <w:rtl w:val="0"/>
        </w:rPr>
        <w:t xml:space="preserve">Overall, I think this is a strong architecture document. A lot of thought has gone into security, scalability, auditability, tenant separation and keeping people in control of AI decisions.</w:t>
        <w:br w:type="textWrapping"/>
        <w:t xml:space="preserve">Most of my questions are about clearing up a few inconsistencies and confirming how some of these controls will work in practice.</w:t>
      </w:r>
    </w:p>
    <w:p w:rsidR="00000000" w:rsidDel="00000000" w:rsidP="00000000" w:rsidRDefault="00000000" w:rsidRPr="00000000" w14:paraId="00000004">
      <w:pPr>
        <w:spacing w:after="240" w:before="240" w:line="240" w:lineRule="auto"/>
        <w:rPr>
          <w:b w:val="1"/>
          <w:bCs w:val="1"/>
          <w:i w:val="1"/>
          <w:iCs w:val="1"/>
        </w:rPr>
      </w:pPr>
      <w:r w:rsidDel="00000000" w:rsidR="00000000" w:rsidRPr="00000000">
        <w:rPr>
          <w:b w:val="1"/>
          <w:bCs w:val="1"/>
          <w:i w:val="1"/>
          <w:iCs w:val="1"/>
          <w:rtl w:val="0"/>
        </w:rPr>
        <w:t xml:space="preserve">Highest priority</w:t>
      </w:r>
    </w:p>
    <w:p w:rsidR="00000000" w:rsidDel="00000000" w:rsidP="00000000" w:rsidRDefault="00000000" w:rsidRPr="00000000" w14:paraId="00000005">
      <w:pPr>
        <w:numPr>
          <w:ilvl w:val="0"/>
          <w:numId w:val="5"/>
        </w:numPr>
        <w:spacing w:after="240" w:before="240" w:line="240" w:lineRule="auto"/>
        <w:ind w:left="720" w:hanging="360"/>
      </w:pPr>
      <w:r w:rsidDel="00000000" w:rsidR="00000000" w:rsidRPr="00000000">
        <w:rPr>
          <w:b w:val="1"/>
          <w:bCs w:val="1"/>
          <w:rtl w:val="0"/>
        </w:rPr>
        <w:t xml:space="preserve">Information sent to AI providers (Sections 2.1, 8 and 15.1)</w:t>
      </w:r>
    </w:p>
    <w:p w:rsidR="00000000" w:rsidDel="00000000" w:rsidP="00000000" w:rsidRDefault="00000000" w:rsidRPr="00000000" w14:paraId="00000006">
      <w:pPr>
        <w:spacing w:after="240" w:before="240" w:line="240" w:lineRule="auto"/>
        <w:ind w:left="720" w:firstLine="0"/>
        <w:rPr/>
      </w:pPr>
      <w:r w:rsidDel="00000000" w:rsidR="00000000" w:rsidRPr="00000000">
        <w:rPr>
          <w:rtl w:val="0"/>
        </w:rPr>
        <w:t xml:space="preserve">Section 8 says that document text, prompts and completions never leave the tenant’s data environment. But if we use OpenAI, Anthropic or another external provider, some redacted content still needs to be sent to them.</w:t>
        <w:br w:type="textWrapping"/>
        <w:t xml:space="preserve">Can we clarify exactly what leaves our AWS environment, what information is removed first, and how we confirm that the provider keeps the data in the EU, does not retain it and does not use it for training?</w:t>
      </w:r>
    </w:p>
    <w:p w:rsidR="00000000" w:rsidDel="00000000" w:rsidP="00000000" w:rsidRDefault="00000000" w:rsidRPr="00000000" w14:paraId="00000007">
      <w:pPr>
        <w:numPr>
          <w:ilvl w:val="0"/>
          <w:numId w:val="1"/>
        </w:numPr>
        <w:spacing w:after="240" w:before="240" w:line="240" w:lineRule="auto"/>
        <w:ind w:left="720" w:hanging="360"/>
      </w:pPr>
      <w:r w:rsidDel="00000000" w:rsidR="00000000" w:rsidRPr="00000000">
        <w:rPr>
          <w:b w:val="1"/>
          <w:bCs w:val="1"/>
          <w:rtl w:val="0"/>
        </w:rPr>
        <w:t xml:space="preserve">Qdrant tenant separation and BM25 (Sections 3, 5, 10.3 and 17.8)</w:t>
      </w:r>
    </w:p>
    <w:p w:rsidR="00000000" w:rsidDel="00000000" w:rsidP="00000000" w:rsidRDefault="00000000" w:rsidRPr="00000000" w14:paraId="00000008">
      <w:pPr>
        <w:spacing w:after="240" w:before="240" w:line="240" w:lineRule="auto"/>
        <w:ind w:left="720" w:firstLine="0"/>
        <w:rPr/>
      </w:pPr>
      <w:r w:rsidDel="00000000" w:rsidR="00000000" w:rsidRPr="00000000">
        <w:rPr>
          <w:rtl w:val="0"/>
        </w:rPr>
        <w:t xml:space="preserve">PostgreSQL has database level tenant protection through RLS. Qdrant appears to depend on the application adding the correct tenant filter to every search.</w:t>
        <w:br w:type="textWrapping"/>
        <w:t xml:space="preserve">Can that filter ever be bypassed? Will we have automated tests that try to access one firm’s information while logged in as another firm?</w:t>
        <w:br w:type="textWrapping"/>
        <w:t xml:space="preserve">Also, where is BM25 actually being implemented? Section 3 mentions PostgreSQL full text search with BM25 ranking, but it does not identify what provides the BM25 capability.</w:t>
      </w:r>
    </w:p>
    <w:p w:rsidR="00000000" w:rsidDel="00000000" w:rsidP="00000000" w:rsidRDefault="00000000" w:rsidRPr="00000000" w14:paraId="00000009">
      <w:pPr>
        <w:numPr>
          <w:ilvl w:val="0"/>
          <w:numId w:val="6"/>
        </w:numPr>
        <w:spacing w:after="240" w:before="240" w:line="240" w:lineRule="auto"/>
        <w:ind w:left="720" w:hanging="360"/>
      </w:pPr>
      <w:r w:rsidDel="00000000" w:rsidR="00000000" w:rsidRPr="00000000">
        <w:rPr>
          <w:b w:val="1"/>
          <w:bCs w:val="1"/>
          <w:rtl w:val="0"/>
        </w:rPr>
        <w:t xml:space="preserve">Retention and deletion (Sections 10.2, 10.4 and 15)</w:t>
      </w:r>
    </w:p>
    <w:p w:rsidR="00000000" w:rsidDel="00000000" w:rsidP="00000000" w:rsidRDefault="00000000" w:rsidRPr="00000000" w14:paraId="0000000A">
      <w:pPr>
        <w:spacing w:after="240" w:before="240" w:line="240" w:lineRule="auto"/>
        <w:ind w:left="720" w:firstLine="0"/>
        <w:rPr/>
      </w:pPr>
      <w:r w:rsidDel="00000000" w:rsidR="00000000" w:rsidRPr="00000000">
        <w:rPr>
          <w:rtl w:val="0"/>
        </w:rPr>
        <w:t xml:space="preserve">Section 10.4 already identifies legal confirmation of the six year retention period as an open item.</w:t>
        <w:br w:type="textWrapping"/>
        <w:t xml:space="preserve">Can the final policy also explain what happens after six years, during a legal hold, when a customer leaves and when someone submits a GDPR erasure request?</w:t>
        <w:br w:type="textWrapping"/>
        <w:t xml:space="preserve">Section 10.2 also says that infected files are permanently quarantined and never deleted. Should there be a secure and audited way to delete them once they are no longer legally required?</w:t>
      </w:r>
    </w:p>
    <w:p w:rsidR="00000000" w:rsidDel="00000000" w:rsidP="00000000" w:rsidRDefault="00000000" w:rsidRPr="00000000" w14:paraId="0000000B">
      <w:pPr>
        <w:numPr>
          <w:ilvl w:val="0"/>
          <w:numId w:val="8"/>
        </w:numPr>
        <w:spacing w:after="240" w:before="240" w:line="240" w:lineRule="auto"/>
        <w:ind w:left="720" w:hanging="360"/>
      </w:pPr>
      <w:r w:rsidDel="00000000" w:rsidR="00000000" w:rsidRPr="00000000">
        <w:rPr>
          <w:b w:val="1"/>
          <w:bCs w:val="1"/>
          <w:rtl w:val="0"/>
        </w:rPr>
        <w:t xml:space="preserve">Session revocation (Sections 2.1 and 7.2)</w:t>
      </w:r>
    </w:p>
    <w:p w:rsidR="00000000" w:rsidDel="00000000" w:rsidP="00000000" w:rsidRDefault="00000000" w:rsidRPr="00000000" w14:paraId="0000000C">
      <w:pPr>
        <w:spacing w:after="240" w:before="240" w:line="240" w:lineRule="auto"/>
        <w:ind w:left="720" w:firstLine="0"/>
        <w:rPr/>
      </w:pPr>
      <w:r w:rsidDel="00000000" w:rsidR="00000000" w:rsidRPr="00000000">
        <w:rPr>
          <w:rtl w:val="0"/>
        </w:rPr>
        <w:t xml:space="preserve">Section 2.1 says that deactivating a user or changing their role takes effect immediately through Redis. Section 7.2 says that an existing access token may remain valid for up to 15 minutes.</w:t>
        <w:br w:type="textWrapping"/>
        <w:t xml:space="preserve">Which one is correct? Does access stop immediately, or could the user continue working for another 15 minutes?</w:t>
      </w:r>
    </w:p>
    <w:p w:rsidR="00000000" w:rsidDel="00000000" w:rsidP="00000000" w:rsidRDefault="00000000" w:rsidRPr="00000000" w14:paraId="0000000D">
      <w:pPr>
        <w:spacing w:after="240" w:before="240"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3"/>
        </w:numPr>
        <w:spacing w:after="240" w:before="240" w:line="240" w:lineRule="auto"/>
        <w:ind w:left="720" w:hanging="360"/>
      </w:pPr>
      <w:r w:rsidDel="00000000" w:rsidR="00000000" w:rsidRPr="00000000">
        <w:rPr>
          <w:b w:val="1"/>
          <w:bCs w:val="1"/>
          <w:rtl w:val="0"/>
        </w:rPr>
        <w:t xml:space="preserve">The 85 percent AI accuracy requirement (Sections 8, 16.2 and 18.2)</w:t>
      </w:r>
    </w:p>
    <w:p w:rsidR="00000000" w:rsidDel="00000000" w:rsidP="00000000" w:rsidRDefault="00000000" w:rsidRPr="00000000" w14:paraId="0000000F">
      <w:pPr>
        <w:spacing w:after="240" w:before="240" w:line="240" w:lineRule="auto"/>
        <w:ind w:left="720" w:firstLine="0"/>
        <w:rPr/>
      </w:pPr>
      <w:r w:rsidDel="00000000" w:rsidR="00000000" w:rsidRPr="00000000">
        <w:rPr>
          <w:rtl w:val="0"/>
        </w:rPr>
        <w:t xml:space="preserve">The 85 percent accuracy requirement is a good control, but how exactly will it be measured?</w:t>
        <w:br w:type="textWrapping"/>
        <w:t xml:space="preserve">What does 85 percent accuracy mean? How large is the test dataset, who approves it, and will the evaluation also run when we change retrieval, chunking or document processing code?</w:t>
      </w:r>
    </w:p>
    <w:p w:rsidR="00000000" w:rsidDel="00000000" w:rsidP="00000000" w:rsidRDefault="00000000" w:rsidRPr="00000000" w14:paraId="00000010">
      <w:pPr>
        <w:numPr>
          <w:ilvl w:val="0"/>
          <w:numId w:val="4"/>
        </w:numPr>
        <w:spacing w:after="240" w:before="240" w:line="240" w:lineRule="auto"/>
        <w:ind w:left="720" w:hanging="360"/>
      </w:pPr>
      <w:r w:rsidDel="00000000" w:rsidR="00000000" w:rsidRPr="00000000">
        <w:rPr>
          <w:b w:val="1"/>
          <w:bCs w:val="1"/>
          <w:rtl w:val="0"/>
        </w:rPr>
        <w:t xml:space="preserve">Redis and lost jobs (Sections 6, 10.5 and 12)</w:t>
      </w:r>
    </w:p>
    <w:p w:rsidR="00000000" w:rsidDel="00000000" w:rsidP="00000000" w:rsidRDefault="00000000" w:rsidRPr="00000000" w14:paraId="00000011">
      <w:pPr>
        <w:spacing w:after="240" w:before="240" w:line="240" w:lineRule="auto"/>
        <w:ind w:left="720" w:firstLine="0"/>
        <w:rPr/>
      </w:pPr>
      <w:r w:rsidDel="00000000" w:rsidR="00000000" w:rsidRPr="00000000">
        <w:rPr>
          <w:rtl w:val="0"/>
        </w:rPr>
        <w:t xml:space="preserve">Redis holds sessions, notifications and Celery queue information, but Section 10.5 says Redis will not be backed up.</w:t>
        <w:br w:type="textWrapping"/>
        <w:t xml:space="preserve">If Redis fails while jobs are waiting, how do we make sure every job is recreated from the transactional outbox?</w:t>
        <w:br w:type="textWrapping"/>
        <w:t xml:space="preserve">Will failed jobs have a permanent place where they can be reviewed and replayed, rather than only being written to a log?</w:t>
      </w:r>
    </w:p>
    <w:p w:rsidR="00000000" w:rsidDel="00000000" w:rsidP="00000000" w:rsidRDefault="00000000" w:rsidRPr="00000000" w14:paraId="00000012">
      <w:pPr>
        <w:spacing w:after="240" w:before="240" w:line="240" w:lineRule="auto"/>
        <w:ind w:left="0" w:firstLine="0"/>
        <w:rPr>
          <w:b w:val="1"/>
          <w:bCs w:val="1"/>
          <w:i w:val="1"/>
          <w:iCs w:val="1"/>
        </w:rPr>
      </w:pPr>
      <w:r w:rsidDel="00000000" w:rsidR="00000000" w:rsidRPr="00000000">
        <w:rPr>
          <w:b w:val="1"/>
          <w:bCs w:val="1"/>
          <w:i w:val="1"/>
          <w:iCs w:val="1"/>
          <w:rtl w:val="0"/>
        </w:rPr>
        <w:t xml:space="preserve">Important but next in line</w:t>
      </w:r>
    </w:p>
    <w:p w:rsidR="00000000" w:rsidDel="00000000" w:rsidP="00000000" w:rsidRDefault="00000000" w:rsidRPr="00000000" w14:paraId="00000013">
      <w:pPr>
        <w:numPr>
          <w:ilvl w:val="0"/>
          <w:numId w:val="11"/>
        </w:numPr>
        <w:spacing w:after="240" w:before="240" w:line="240" w:lineRule="auto"/>
        <w:ind w:left="720" w:hanging="360"/>
      </w:pPr>
      <w:r w:rsidDel="00000000" w:rsidR="00000000" w:rsidRPr="00000000">
        <w:rPr>
          <w:b w:val="1"/>
          <w:bCs w:val="1"/>
          <w:rtl w:val="0"/>
        </w:rPr>
        <w:t xml:space="preserve">Publishing regulatory updates (Sections 6 and 9)</w:t>
      </w:r>
    </w:p>
    <w:p w:rsidR="00000000" w:rsidDel="00000000" w:rsidP="00000000" w:rsidRDefault="00000000" w:rsidRPr="00000000" w14:paraId="00000014">
      <w:pPr>
        <w:spacing w:after="240" w:before="240" w:line="240" w:lineRule="auto"/>
        <w:ind w:left="720" w:firstLine="0"/>
        <w:rPr/>
      </w:pPr>
      <w:r w:rsidDel="00000000" w:rsidR="00000000" w:rsidRPr="00000000">
        <w:rPr>
          <w:rtl w:val="0"/>
        </w:rPr>
        <w:t xml:space="preserve">The regulatory content process includes human review, which is good. However, it looks like one operator may be able to prepare and publish the same update.</w:t>
        <w:br w:type="textWrapping"/>
        <w:t xml:space="preserve">Should regulatory publication also require maker checker approval, where one person prepares the update and another approves it?</w:t>
        <w:br w:type="textWrapping"/>
        <w:t xml:space="preserve">Section 9 also prohibits HTML scraping, but the system still needs to retrieve an HTML page to calculate its content hash. Do we mean that automated interpretation of HTML is prohibited rather than retrieval itself?</w:t>
      </w:r>
    </w:p>
    <w:p w:rsidR="00000000" w:rsidDel="00000000" w:rsidP="00000000" w:rsidRDefault="00000000" w:rsidRPr="00000000" w14:paraId="00000015">
      <w:pPr>
        <w:numPr>
          <w:ilvl w:val="0"/>
          <w:numId w:val="9"/>
        </w:numPr>
        <w:spacing w:after="240" w:before="240" w:line="240" w:lineRule="auto"/>
        <w:ind w:left="720" w:hanging="360"/>
      </w:pPr>
      <w:r w:rsidDel="00000000" w:rsidR="00000000" w:rsidRPr="00000000">
        <w:rPr>
          <w:b w:val="1"/>
          <w:bCs w:val="1"/>
          <w:rtl w:val="0"/>
        </w:rPr>
        <w:t xml:space="preserve">Disaster recovery (Sections 10.5, 16.3 and 18.3)</w:t>
      </w:r>
    </w:p>
    <w:p w:rsidR="00000000" w:rsidDel="00000000" w:rsidP="00000000" w:rsidRDefault="00000000" w:rsidRPr="00000000" w14:paraId="00000016">
      <w:pPr>
        <w:spacing w:after="240" w:before="240" w:line="240" w:lineRule="auto"/>
        <w:ind w:left="720" w:firstLine="0"/>
        <w:rPr/>
      </w:pPr>
      <w:r w:rsidDel="00000000" w:rsidR="00000000" w:rsidRPr="00000000">
        <w:rPr>
          <w:rtl w:val="0"/>
        </w:rPr>
        <w:t xml:space="preserve">The document sets a recovery target of about five minutes of potential data loss and one hour to restore the platform.</w:t>
        <w:br w:type="textWrapping"/>
        <w:t xml:space="preserve">Have these targets been tested across PostgreSQL, S3, Qdrant, Redis and the tenant encryption keys?</w:t>
        <w:br w:type="textWrapping"/>
        <w:t xml:space="preserve">If Qdrant needs to be rebuilt and Redis is lost, can the entire platform still be restored within one hour?</w:t>
        <w:br w:type="textWrapping"/>
        <w:t xml:space="preserve">Also, is the 99.5 percent availability target acceptable for the customers we plan to serve?</w:t>
      </w:r>
    </w:p>
    <w:p w:rsidR="00000000" w:rsidDel="00000000" w:rsidP="00000000" w:rsidRDefault="00000000" w:rsidRPr="00000000" w14:paraId="00000017">
      <w:pPr>
        <w:numPr>
          <w:ilvl w:val="0"/>
          <w:numId w:val="2"/>
        </w:numPr>
        <w:spacing w:after="240" w:before="240" w:line="240" w:lineRule="auto"/>
        <w:ind w:left="720" w:hanging="360"/>
      </w:pPr>
      <w:r w:rsidDel="00000000" w:rsidR="00000000" w:rsidRPr="00000000">
        <w:rPr>
          <w:b w:val="1"/>
          <w:bCs w:val="1"/>
          <w:rtl w:val="0"/>
        </w:rPr>
        <w:t xml:space="preserve">Notifications (Sections 2.1 and 12)</w:t>
      </w:r>
    </w:p>
    <w:p w:rsidR="00000000" w:rsidDel="00000000" w:rsidP="00000000" w:rsidRDefault="00000000" w:rsidRPr="00000000" w14:paraId="00000018">
      <w:pPr>
        <w:spacing w:after="240" w:before="240" w:line="240" w:lineRule="auto"/>
        <w:ind w:left="720" w:firstLine="0"/>
        <w:rPr/>
      </w:pPr>
      <w:r w:rsidDel="00000000" w:rsidR="00000000" w:rsidRPr="00000000">
        <w:rPr>
          <w:rtl w:val="0"/>
        </w:rPr>
        <w:t xml:space="preserve">Section 12 does a good job of covering mandatory notifications, retries, escalation and delivery records.</w:t>
        <w:br w:type="textWrapping"/>
        <w:t xml:space="preserve">I still have a few questions. How are duplicate messages prevented? How are email bounces and permanent delivery failures handled? Will sensitive compliance information be excluded from email? What evidence shows that the intended person was successfully notified?</w:t>
      </w:r>
    </w:p>
    <w:p w:rsidR="00000000" w:rsidDel="00000000" w:rsidP="00000000" w:rsidRDefault="00000000" w:rsidRPr="00000000" w14:paraId="00000019">
      <w:pPr>
        <w:spacing w:after="240" w:before="240" w:line="240" w:lineRule="auto"/>
        <w:ind w:left="720" w:firstLine="0"/>
        <w:rPr/>
      </w:pPr>
      <w:r w:rsidDel="00000000" w:rsidR="00000000" w:rsidRPr="00000000">
        <w:rPr>
          <w:rtl w:val="0"/>
        </w:rPr>
      </w:r>
    </w:p>
    <w:p w:rsidR="00000000" w:rsidDel="00000000" w:rsidP="00000000" w:rsidRDefault="00000000" w:rsidRPr="00000000" w14:paraId="0000001A">
      <w:pPr>
        <w:numPr>
          <w:ilvl w:val="0"/>
          <w:numId w:val="12"/>
        </w:numPr>
        <w:spacing w:after="240" w:before="240" w:line="240" w:lineRule="auto"/>
        <w:ind w:left="720" w:hanging="360"/>
      </w:pPr>
      <w:r w:rsidDel="00000000" w:rsidR="00000000" w:rsidRPr="00000000">
        <w:rPr>
          <w:b w:val="1"/>
          <w:bCs w:val="1"/>
          <w:rtl w:val="0"/>
        </w:rPr>
        <w:t xml:space="preserve">Deployment process (Sections 4.2, 16.2 and 18.1 through 18.3)</w:t>
      </w:r>
    </w:p>
    <w:p w:rsidR="00000000" w:rsidDel="00000000" w:rsidP="00000000" w:rsidRDefault="00000000" w:rsidRPr="00000000" w14:paraId="0000001B">
      <w:pPr>
        <w:spacing w:after="240" w:before="240" w:line="240" w:lineRule="auto"/>
        <w:ind w:left="720" w:firstLine="0"/>
        <w:rPr/>
      </w:pPr>
      <w:r w:rsidDel="00000000" w:rsidR="00000000" w:rsidRPr="00000000">
        <w:rPr>
          <w:rtl w:val="0"/>
        </w:rPr>
        <w:t xml:space="preserve">Section 18.1 says that main is the only long lived branch. It also mentions separate Staging, UAT and Production branches.</w:t>
        <w:br w:type="textWrapping"/>
        <w:t xml:space="preserve">Which deployment approach are we actually using?</w:t>
        <w:br w:type="textWrapping"/>
        <w:t xml:space="preserve">Section 4.2 also says that the exact Docker image that passes testing will run in production. Can we confirm that the same image is promoted between environments and is not rebuilt separately each time?</w:t>
      </w:r>
    </w:p>
    <w:p w:rsidR="00000000" w:rsidDel="00000000" w:rsidP="00000000" w:rsidRDefault="00000000" w:rsidRPr="00000000" w14:paraId="0000001C">
      <w:pPr>
        <w:spacing w:after="240" w:before="240" w:line="240" w:lineRule="auto"/>
        <w:ind w:left="0" w:firstLine="0"/>
        <w:rPr>
          <w:b w:val="1"/>
          <w:bCs w:val="1"/>
          <w:i w:val="1"/>
          <w:iCs w:val="1"/>
        </w:rPr>
      </w:pPr>
      <w:r w:rsidDel="00000000" w:rsidR="00000000" w:rsidRPr="00000000">
        <w:rPr>
          <w:b w:val="1"/>
          <w:bCs w:val="1"/>
          <w:i w:val="1"/>
          <w:iCs w:val="1"/>
          <w:rtl w:val="0"/>
        </w:rPr>
        <w:t xml:space="preserve">Lowest priority or wording improvements</w:t>
      </w:r>
    </w:p>
    <w:p w:rsidR="00000000" w:rsidDel="00000000" w:rsidP="00000000" w:rsidRDefault="00000000" w:rsidRPr="00000000" w14:paraId="0000001D">
      <w:pPr>
        <w:numPr>
          <w:ilvl w:val="0"/>
          <w:numId w:val="10"/>
        </w:numPr>
        <w:spacing w:after="240" w:before="240" w:line="240" w:lineRule="auto"/>
        <w:ind w:left="720" w:hanging="360"/>
      </w:pPr>
      <w:r w:rsidDel="00000000" w:rsidR="00000000" w:rsidRPr="00000000">
        <w:rPr>
          <w:b w:val="1"/>
          <w:bCs w:val="1"/>
          <w:rtl w:val="0"/>
        </w:rPr>
        <w:t xml:space="preserve">Confidence scores and citations (Section 8)</w:t>
      </w:r>
    </w:p>
    <w:p w:rsidR="00000000" w:rsidDel="00000000" w:rsidP="00000000" w:rsidRDefault="00000000" w:rsidRPr="00000000" w14:paraId="0000001E">
      <w:pPr>
        <w:spacing w:after="240" w:before="240" w:line="240" w:lineRule="auto"/>
        <w:ind w:left="720" w:firstLine="0"/>
        <w:rPr/>
      </w:pPr>
      <w:r w:rsidDel="00000000" w:rsidR="00000000" w:rsidRPr="00000000">
        <w:rPr>
          <w:rtl w:val="0"/>
        </w:rPr>
        <w:t xml:space="preserve">The system starts with a confidence threshold of 0.4.</w:t>
        <w:br w:type="textWrapping"/>
        <w:t xml:space="preserve">How was 0.4 selected, and will it be adjusted based on actual UAT and production results?</w:t>
        <w:br w:type="textWrapping"/>
        <w:t xml:space="preserve">The section also says the system eliminates hallucinated citations. It reduces that risk, but the AI could still select the wrong Requirement ID from the approved list. Should we say it reduces or limits hallucinated citations instead of saying it eliminates them?</w:t>
      </w:r>
    </w:p>
    <w:p w:rsidR="00000000" w:rsidDel="00000000" w:rsidP="00000000" w:rsidRDefault="00000000" w:rsidRPr="00000000" w14:paraId="0000001F">
      <w:pPr>
        <w:numPr>
          <w:ilvl w:val="0"/>
          <w:numId w:val="7"/>
        </w:numPr>
        <w:spacing w:after="240" w:before="240" w:line="240" w:lineRule="auto"/>
        <w:ind w:left="720" w:hanging="360"/>
      </w:pPr>
      <w:r w:rsidDel="00000000" w:rsidR="00000000" w:rsidRPr="00000000">
        <w:rPr>
          <w:b w:val="1"/>
          <w:bCs w:val="1"/>
          <w:rtl w:val="0"/>
        </w:rPr>
        <w:t xml:space="preserve">Encryption and software security (Sections 15, 15.1 and 18.2 through 18.3)</w:t>
      </w:r>
    </w:p>
    <w:p w:rsidR="00000000" w:rsidDel="00000000" w:rsidP="00000000" w:rsidRDefault="00000000" w:rsidRPr="00000000" w14:paraId="00000020">
      <w:pPr>
        <w:spacing w:after="240" w:before="240" w:line="240" w:lineRule="auto"/>
        <w:ind w:left="720" w:firstLine="0"/>
        <w:rPr/>
      </w:pPr>
      <w:r w:rsidDel="00000000" w:rsidR="00000000" w:rsidRPr="00000000">
        <w:rPr>
          <w:rtl w:val="0"/>
        </w:rPr>
        <w:t xml:space="preserve">The encryption and software security approach looks strong.</w:t>
        <w:br w:type="textWrapping"/>
        <w:t xml:space="preserve">Can we confirm that TLS 1.3 is supported and enforced across every connection, including internal services, database connections and third party callbacks?</w:t>
        <w:br w:type="textWrapping"/>
        <w:t xml:space="preserve">For the annual KMS key rotation in Section 15, does rotation apply only to new encryption activity, or are existing firm data keys also encrypted again?</w:t>
      </w:r>
    </w:p>
    <w:p w:rsidR="00000000" w:rsidDel="00000000" w:rsidP="00000000" w:rsidRDefault="00000000" w:rsidRPr="00000000" w14:paraId="00000021">
      <w:pPr>
        <w:spacing w:after="240" w:before="240" w:line="240" w:lineRule="auto"/>
        <w:ind w:left="0" w:firstLine="0"/>
        <w:rPr/>
      </w:pPr>
      <w:r w:rsidDel="00000000" w:rsidR="00000000" w:rsidRPr="00000000">
        <w:rPr>
          <w:rtl w:val="0"/>
        </w:rPr>
        <w:t xml:space="preserve">Overall, the foundation looks very good. These questions are mainly intended to make the document clearer, remove a few inconsistencies and confirm that the most important security and reliability claims can be demonstrated through testing.</w:t>
      </w:r>
    </w:p>
    <w:p w:rsidR="00000000" w:rsidDel="00000000" w:rsidP="00000000" w:rsidRDefault="00000000" w:rsidRPr="00000000" w14:paraId="00000022">
      <w:pPr>
        <w:spacing w:after="240" w:before="240" w:line="240" w:lineRule="auto"/>
        <w:rPr>
          <w:b w:val="1"/>
          <w:bCs w:val="1"/>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