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2E75B6"/>
          <w:sz w:val="20"/>
          <w:szCs w:val="20"/>
        </w:rPr>
        <w:t xml:space="preserve">━━━━━━━━━━━━━━━━━━━━━━━━━━━━━━━━━━━━━━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4"/>
          <w:szCs w:val="44"/>
        </w:rPr>
        <w:t xml:space="preserve">주식 투자 기법 종합 가이드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Investment Methodology &amp; Trading Process Reference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2E75B6"/>
          <w:sz w:val="20"/>
          <w:szCs w:val="20"/>
        </w:rPr>
        <w:t xml:space="preserve">━━━━━━━━━━━━━━━━━━━━━━━━━━━━━━━━━━━━━━</w:t>
      </w:r>
    </w:p>
    <w:p>
      <w:pPr>
        <w:spacing w:after="0" w:before="100"/>
      </w:pP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2E75B6"/>
          <w:sz w:val="24"/>
          <w:szCs w:val="24"/>
        </w:rPr>
        <w:t xml:space="preserve">매매 프로세스  ·  단계별 지표  ·  리스크 관리</w:t>
      </w:r>
    </w:p>
    <w:p>
      <w:pPr>
        <w:spacing w:after="0" w:before="200"/>
      </w:pP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포지션 트레이딩  |  성장주 트레이딩  |  가치 트레이딩</w:t>
      </w: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스윙 트레이딩  |  모멘텀 트레이딩  |  배당 투자</w:t>
      </w:r>
    </w:p>
    <w:p>
      <w:pPr>
        <w:spacing w:after="0" w:before="400"/>
      </w:pP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2026.03</w:t>
      </w:r>
    </w:p>
    <w:p>
      <w:r>
        <w:br w:type="page"/>
      </w:r>
    </w:p>
    <w:p>
      <w:pPr>
        <w:pBdr>
          <w:bottom w:val="single" w:color="1B3A5C" w:sz="3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A5C"/>
          <w:sz w:val="30"/>
          <w:szCs w:val="30"/>
        </w:rPr>
        <w:t xml:space="preserve">목차</w:t>
      </w:r>
    </w:p>
    <w:p>
      <w:pPr>
        <w:spacing w:after="0" w:before="6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0"/>
        <w:gridCol w:w="150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1B3A5C"/>
                <w:sz w:val="20"/>
                <w:szCs w:val="20"/>
              </w:rPr>
              <w:t xml:space="preserve">투자 기법 개요 &amp; 비교</w:t>
            </w:r>
          </w:p>
        </w:tc>
        <w:tc>
          <w:tcPr>
            <w:tcW w:type="dxa" w:w="1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포지션 트레이딩 (Position Trading)</w:t>
            </w:r>
          </w:p>
        </w:tc>
        <w:tc>
          <w:tcPr>
            <w:tcW w:type="dxa" w:w="1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1B3A5C"/>
                <w:sz w:val="20"/>
                <w:szCs w:val="20"/>
              </w:rPr>
              <w:t xml:space="preserve">성장주 트레이딩 (Growth Trading)</w:t>
            </w:r>
          </w:p>
        </w:tc>
        <w:tc>
          <w:tcPr>
            <w:tcW w:type="dxa" w:w="1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가치 트레이딩 (Value Trading)</w:t>
            </w:r>
          </w:p>
        </w:tc>
        <w:tc>
          <w:tcPr>
            <w:tcW w:type="dxa" w:w="1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1B3A5C"/>
                <w:sz w:val="20"/>
                <w:szCs w:val="20"/>
              </w:rPr>
              <w:t xml:space="preserve">스윙 트레이딩 (Swing Trading)</w:t>
            </w:r>
          </w:p>
        </w:tc>
        <w:tc>
          <w:tcPr>
            <w:tcW w:type="dxa" w:w="1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모멘텀 트레이딩 (Momentum Trading)</w:t>
            </w:r>
          </w:p>
        </w:tc>
        <w:tc>
          <w:tcPr>
            <w:tcW w:type="dxa" w:w="1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1B3A5C"/>
                <w:sz w:val="20"/>
                <w:szCs w:val="20"/>
              </w:rPr>
              <w:t xml:space="preserve">배당 투자 (Dividend Investing)</w:t>
            </w:r>
          </w:p>
        </w:tc>
        <w:tc>
          <w:tcPr>
            <w:tcW w:type="dxa" w:w="1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20"/>
                <w:szCs w:val="20"/>
              </w:rPr>
              <w:t xml:space="preserve">공통 리스크 관리 프레임워크</w:t>
            </w:r>
          </w:p>
        </w:tc>
        <w:tc>
          <w:tcPr>
            <w:tcW w:type="dxa" w:w="1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1B3A5C"/>
                <w:sz w:val="20"/>
                <w:szCs w:val="20"/>
              </w:rPr>
              <w:t xml:space="preserve">기법별 프로세스 요약 매트릭스</w:t>
            </w:r>
          </w:p>
        </w:tc>
        <w:tc>
          <w:tcPr>
            <w:tcW w:type="dxa" w:w="1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4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color w:val="666666"/>
                <w:sz w:val="20"/>
                <w:szCs w:val="20"/>
              </w:rPr>
              <w:t xml:space="preserve">26</w:t>
            </w:r>
          </w:p>
        </w:tc>
      </w:tr>
    </w:tbl>
    <w:p>
      <w:r>
        <w:br w:type="page"/>
      </w:r>
    </w:p>
    <w:p>
      <w:pPr>
        <w:pBdr>
          <w:bottom w:val="single" w:color="1B3A5C" w:sz="3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A5C"/>
          <w:sz w:val="30"/>
          <w:szCs w:val="30"/>
        </w:rPr>
        <w:t xml:space="preserve">1. 투자 기법 개요 &amp; 비교</w:t>
      </w:r>
    </w:p>
    <w:p>
      <w:pPr>
        <w:spacing w:after="0" w:before="40"/>
      </w:pP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주식 매매 기법은 보유 기간, 분석 방법, 수익 원천에 따라 구분됩니다. 각 기법은 독립적으로 활용할 수도 있고, 복수의 기법을 결합하여 포트폴리오를 구성할 수도 있습니다.</w:t>
      </w:r>
    </w:p>
    <w:p>
      <w:pPr>
        <w:spacing w:after="0" w:before="80"/>
      </w:pPr>
    </w:p>
    <w:p>
      <w:pPr>
        <w:spacing w:after="160" w:before="3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기법별 핵심 비교</w:t>
      </w:r>
    </w:p>
    <w:p>
      <w:pPr>
        <w:spacing w:after="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500"/>
        <w:gridCol w:w="1806"/>
      </w:tblGrid>
      <w:tr>
        <w:trPr>
          <w:tblHeader/>
        </w:trP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기법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보유 기간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수익 원천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분석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승률 목표</w:t>
            </w:r>
          </w:p>
        </w:tc>
        <w:tc>
          <w:tcPr>
            <w:tcW w:type="dxa" w:w="1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손익비 목표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포지션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수주~수개월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추세 추종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기술적 분석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40~50%</w:t>
            </w:r>
          </w:p>
        </w:tc>
        <w:tc>
          <w:tcPr>
            <w:tcW w:type="dxa" w:w="1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3:1 이상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성장주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수주~수년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실적 성장 + 주가 리레이팅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펀더멘털 + 기술적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35~45%</w:t>
            </w:r>
          </w:p>
        </w:tc>
        <w:tc>
          <w:tcPr>
            <w:tcW w:type="dxa" w:w="1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3:1~5:1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가치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수개월~수년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내재가치 회귀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펀더멘털 중심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55~65%</w:t>
            </w:r>
          </w:p>
        </w:tc>
        <w:tc>
          <w:tcPr>
            <w:tcW w:type="dxa" w:w="1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2:1~3:1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스윙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수일~수주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단기 추세/반전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기술적 분석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50~60%</w:t>
            </w:r>
          </w:p>
        </w:tc>
        <w:tc>
          <w:tcPr>
            <w:tcW w:type="dxa" w:w="1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2:1~3:1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모멘텀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수일~수주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가격 모멘텀 지속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정량 모멘텀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45~55%</w:t>
            </w:r>
          </w:p>
        </w:tc>
        <w:tc>
          <w:tcPr>
            <w:tcW w:type="dxa" w:w="1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2:1~3:1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배당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수년 이상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배당 수익 + 자본 이득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펀더멘털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65~75%</w:t>
            </w:r>
          </w:p>
        </w:tc>
        <w:tc>
          <w:tcPr>
            <w:tcW w:type="dxa" w:w="1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1.5:1~2:1</w:t>
            </w:r>
          </w:p>
        </w:tc>
      </w:tr>
    </w:tbl>
    <w:p>
      <w:pPr>
        <w:spacing w:after="0" w:before="100"/>
      </w:pPr>
    </w:p>
    <w:p>
      <w:pPr>
        <w:spacing w:after="160" w:before="3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매매 프로세스 공통 구조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기법은 아래의 공통 프레임워크를 따르되, 각 단계에서 사용하는 지표와 기준이 다릅니다.</w:t>
      </w:r>
    </w:p>
    <w:p>
      <w:pPr>
        <w:spacing w:after="0" w:before="40"/>
      </w:pP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시장 환경 판단 → 종목 발굴/스크리닝 → 진입 타이밍 → 리스크 관리 → 보유 관리 → 매도/청산 → 복기</w:t>
      </w:r>
    </w:p>
    <w:p>
      <w:pPr>
        <w:spacing w:after="0" w:before="40"/>
      </w:pP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다음 장부터 각 기법을 단계별로 상세히 정리합니다.</w:t>
      </w:r>
    </w:p>
    <w:p>
      <w:r>
        <w:br w:type="page"/>
      </w:r>
    </w:p>
    <w:p>
      <w:pPr>
        <w:pBdr>
          <w:bottom w:val="single" w:color="1B3A5C" w:sz="3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A5C"/>
          <w:sz w:val="30"/>
          <w:szCs w:val="30"/>
        </w:rPr>
        <w:t xml:space="preserve">2. 포지션 트레이딩 (Position Trading)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수주~수개월 단위로 큰 추세를 포착하는 전략. 일간 변동에 흔들리지 않고 중기 추세에 올라타는 것이 핵심입니다.</w:t>
      </w:r>
    </w:p>
    <w:p>
      <w:pPr>
        <w:pBdr>
          <w:left w:val="single" w:color="2E75B6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STEP 1  </w:t>
      </w: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  시장 환경 판단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시장이 매수에 적합한 환경인지 먼저 판단합니다.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200일 이동평균선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지수가 200MA 위 → 강세장, 아래 → 약세장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ADL (Advance-Decline Line)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시장 내부 폭(breadth) 확인. 상승 종목 수 vs 하락 종목 수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VIX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변동성 수준 확인. 극단적 공포 구간은 역발상 매수 기회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경기선행지수 / 금리 추세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거시 환경의 방향성 확인</w:t>
      </w:r>
    </w:p>
    <w:p>
      <w:pPr>
        <w:pBdr>
          <w:left w:val="single" w:color="2E75B6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STEP 2  </w:t>
      </w: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  섹터/테마 선정 (Top-Down)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섹터 상대강도(RS)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코스피 대비 업종지수의 RS 비교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섹터 자금 흐름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기관/외국인 업종별 순매수 동향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3~6개월 수익률 상위 섹터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강한 시장 안의 강한 섹터에서 종목 탐색</w:t>
      </w:r>
    </w:p>
    <w:p>
      <w:pPr>
        <w:pBdr>
          <w:left w:val="single" w:color="2E75B6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STEP 3  </w:t>
      </w: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  종목 선정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펀더멘털 필터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매출/영업이익 성장률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YoY 20%+ 성장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ROE / 부채비율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재무건전성 확인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기술적 필터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RS 상위 종목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시장 대비 강한 종목 선별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Stage 2 (와인스타인)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30주 이평선 돌파 + 거래량 증가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ADX &gt; 25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명확한 추세 형성 종목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52주 신고가 근접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장기 횡보 후 돌파 패턴</w:t>
      </w:r>
    </w:p>
    <w:p>
      <w:pPr>
        <w:pBdr>
          <w:left w:val="single" w:color="C55A11" w:sz="8" w:space="6"/>
        </w:pBdr>
        <w:shd w:fill="FFF4EC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C55A11" w:val="clear"/>
        </w:rPr>
        <w:t xml:space="preserve">STEP 4  </w:t>
      </w:r>
      <w:r>
        <w:rPr>
          <w:rFonts w:ascii="맑은 고딕" w:cs="맑은 고딕" w:eastAsia="맑은 고딕" w:hAnsi="맑은 고딕"/>
          <w:b/>
          <w:bCs/>
          <w:color w:val="C55A11"/>
          <w:sz w:val="22"/>
          <w:szCs w:val="22"/>
        </w:rPr>
        <w:t xml:space="preserve">  매수 타이밍 (Entry)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이동평균선 지지 매수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20일/50일 MA 풀백 후 반등 시 진입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돌파 매수 (Breakout)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장기 저항선 돌파 + 거래량 150%+ 급증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MACD 시그널 교차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추세 방향 확인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볼린저 밴드 Squeeze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밴드 수축 후 확장 시 방향성 출현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분할 매수: 1/3씩 3회 또는 1/2씩 2회. 진입 전 손절가 반드시 설정.</w:t>
      </w:r>
    </w:p>
    <w:p>
      <w:pPr>
        <w:pBdr>
          <w:left w:val="single" w:color="548235" w:sz="8" w:space="6"/>
        </w:pBdr>
        <w:shd w:fill="EFF5EB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548235" w:val="clear"/>
        </w:rPr>
        <w:t xml:space="preserve">STEP 5  </w:t>
      </w:r>
      <w:r>
        <w:rPr>
          <w:rFonts w:ascii="맑은 고딕" w:cs="맑은 고딕" w:eastAsia="맑은 고딕" w:hAnsi="맑은 고딕"/>
          <w:b/>
          <w:bCs/>
          <w:color w:val="548235"/>
          <w:sz w:val="22"/>
          <w:szCs w:val="22"/>
        </w:rPr>
        <w:t xml:space="preserve">  리스크 관리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ATR 기반 손절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진입가 대비 2~3 ATR 아래 손절선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주요 지지선 이탈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직전 스윙 저점 또는 50일 MA 종가 이탈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포지션 사이징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매수수량 = (계좌×1~2%) ÷ (진입가-손절가)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 포트폴리오 동시 리스크: 6~10% 이내 제한</w:t>
      </w:r>
    </w:p>
    <w:p>
      <w:pPr>
        <w:pBdr>
          <w:left w:val="single" w:color="548235" w:sz="8" w:space="6"/>
        </w:pBdr>
        <w:shd w:fill="EFF5EB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548235" w:val="clear"/>
        </w:rPr>
        <w:t xml:space="preserve">STEP 6  </w:t>
      </w:r>
      <w:r>
        <w:rPr>
          <w:rFonts w:ascii="맑은 고딕" w:cs="맑은 고딕" w:eastAsia="맑은 고딕" w:hAnsi="맑은 고딕"/>
          <w:b/>
          <w:bCs/>
          <w:color w:val="548235"/>
          <w:sz w:val="22"/>
          <w:szCs w:val="22"/>
        </w:rPr>
        <w:t xml:space="preserve">  보유 관리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트레일링 스톱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ATR 기반 또는 50일 MA 종가 이탈 시 청산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파라볼릭 SAR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추세 추종형 트레일링 스톱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피라미딩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첫 진입 수익 확인 후 추가 매수. 수량 점감</w:t>
      </w:r>
    </w:p>
    <w:p>
      <w:pPr>
        <w:pBdr>
          <w:left w:val="single" w:color="1B3A5C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1B3A5C" w:val="clear"/>
        </w:rPr>
        <w:t xml:space="preserve">STEP 7 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  매도 / 청산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50일 MA 하향 이탈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종가 기준 가장 대표적 청산 신호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MACD/RSI 다이버전스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가격 신고가 vs 지표 고점 하락 → 추세 약화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거래량 감소 속 신고가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매수세 약화 (클라이맥스 탑)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ADX 하락 전환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추세 강도 약화 시작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분할 매도: 목표가 1/3 + 트레일링으로 나머지 관리</w:t>
      </w:r>
    </w:p>
    <w:p>
      <w:pPr>
        <w:spacing w:after="0" w:before="80"/>
      </w:pPr>
    </w:p>
    <w:p>
      <w:pPr>
        <w:spacing w:after="160" w:before="3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포지션 트레이딩 프로세스 요약</w:t>
      </w:r>
    </w:p>
    <w:p>
      <w:pPr>
        <w:spacing w:after="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06"/>
      </w:tblGrid>
      <w:tr>
        <w:trPr>
          <w:tblHeader/>
        </w:trP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질문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지표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시장 환경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매수해도 되는 시장인가?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200MA, VIX, ADL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섹터 선정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어떤 섹터가 주도하는가?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섹터 RS, 자금흐름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종목 선정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어떤 종목이 가장 강한가?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RS, Stage분석, ADX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매수 진입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언제 사는가?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Pullback, Breakout, MACD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리스크 관리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얼마나, 어디서 끊는가?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ATR, 포지션 사이징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보유 관리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수익을 어떻게 지키는가?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트레일링 스톱, SAR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매도 청산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언제 파는가?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MA이탈, 다이버전스, ADX</w:t>
            </w:r>
          </w:p>
        </w:tc>
      </w:tr>
    </w:tbl>
    <w:p>
      <w:r>
        <w:br w:type="page"/>
      </w:r>
    </w:p>
    <w:p>
      <w:pPr>
        <w:pBdr>
          <w:bottom w:val="single" w:color="1B3A5C" w:sz="3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A5C"/>
          <w:sz w:val="30"/>
          <w:szCs w:val="30"/>
        </w:rPr>
        <w:t xml:space="preserve">3. 성장주 트레이딩 (Growth Trading)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높은 실적 성장률의 기업을 초기에 발굴하여, 시장이 성장성을 완전히 반영할 때까지 보유하는 전략. 윌리엄 오닐(CAN SLIM), 마크 미너비니(SEPA) 방법론이 대표적입니다.</w:t>
      </w:r>
    </w:p>
    <w:p>
      <w:pPr>
        <w:pBdr>
          <w:left w:val="single" w:color="2E75B6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STEP 1  </w:t>
      </w: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  시장 방향 확인 (Market Direction)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Follow-Through Day (FTD)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조정 후 지수 1.5%+ 상승 + 거래량 증가. 새 상승추세 신호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Distribution Day Count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25거래일 중 지수 하락+거래량 증가 일수. 4~5일 이상 → 천장 경고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50일/200일 MA 관계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지수가 두 이평선 위, 50MA &gt; 200MA 상태가 이상적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신고가-신저가 비율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신고가 종목 압도적 → 건강한 시장</w:t>
      </w:r>
    </w:p>
    <w:p>
      <w:pPr>
        <w:pBdr>
          <w:left w:val="single" w:color="2E75B6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STEP 2  </w:t>
      </w: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  펀더멘털 스크리닝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필수 지표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분기 EPS 성장률 (YoY)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최근 2~3분기 연속 25%+. 가속 패턴이면 더 강력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분기 매출 성장률 (YoY)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25%+ 성장. EPS가 매출에 기반해야 지속 가능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연간 EPS 성장률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3~5년 연평균 25%+ 이력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ROE 17%+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자본 효율성 확인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추가 확인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어닝 서프라이즈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컨센서스 상회 여부 및 상회 폭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컨센서스 상향 조정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애널리스트 추정치 상향 추세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촉매 (N = New)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신제품, 신시장, 신경영 등 성장 동력</w:t>
      </w:r>
    </w:p>
    <w:p>
      <w:pPr>
        <w:pBdr>
          <w:left w:val="single" w:color="2E75B6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STEP 3  </w:t>
      </w: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  기술적 스크리닝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RS 랭킹 상위 10~20%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전체 시장 대비 가격 성과 상위권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Stage 2 확인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150일 이평선 상승 전환 + 주가 위에 위치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베이스 패턴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Cup with Handle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둥근 바닥 후 짧은 되돌림. 가장 흔한 패턴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Flat Base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고점 대비 10~15% 이내 횡보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Double Bottom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W자형 이중 바닥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High Tight Flag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8주 내 100%+ 상승 후 10~25% 조정 (가장 강력)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베이스 내 거래량: 하락일 감소 + 상승일 증가 = 기관 매집 시그널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건강한 조정 깊이: 강세장 12~20%, 약세장에서도 30~35% 이내</w:t>
      </w:r>
    </w:p>
    <w:p>
      <w:pPr>
        <w:pBdr>
          <w:left w:val="single" w:color="C55A11" w:sz="8" w:space="6"/>
        </w:pBdr>
        <w:shd w:fill="FFF4EC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C55A11" w:val="clear"/>
        </w:rPr>
        <w:t xml:space="preserve">STEP 4  </w:t>
      </w:r>
      <w:r>
        <w:rPr>
          <w:rFonts w:ascii="맑은 고딕" w:cs="맑은 고딕" w:eastAsia="맑은 고딕" w:hAnsi="맑은 고딕"/>
          <w:b/>
          <w:bCs/>
          <w:color w:val="C55A11"/>
          <w:sz w:val="22"/>
          <w:szCs w:val="22"/>
        </w:rPr>
        <w:t xml:space="preserve">  매수 진입 (Pivot Point)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피벗 포인트 돌파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베이스 저항선을 거래량과 함께 돌파하는 순간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거래량 조건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돌파일 50일 평균 대비 150%+, 이상적 200%+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매수 구간(Buy Zone)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피벗 +5% 이내에서만. 초과 추격매수 금지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분할 매수 전략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1차: 피벗 돌파 시 50%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2차: 추가 2~3% 상승 확인 시 25%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3차: 첫 풀백에서 10일/21일 EMA 지지 확인 시 25%</w:t>
      </w:r>
    </w:p>
    <w:p>
      <w:pPr>
        <w:pBdr>
          <w:left w:val="single" w:color="548235" w:sz="8" w:space="6"/>
        </w:pBdr>
        <w:shd w:fill="EFF5EB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548235" w:val="clear"/>
        </w:rPr>
        <w:t xml:space="preserve">STEP 5  </w:t>
      </w:r>
      <w:r>
        <w:rPr>
          <w:rFonts w:ascii="맑은 고딕" w:cs="맑은 고딕" w:eastAsia="맑은 고딕" w:hAnsi="맑은 고딕"/>
          <w:b/>
          <w:bCs/>
          <w:color w:val="548235"/>
          <w:sz w:val="22"/>
          <w:szCs w:val="22"/>
        </w:rPr>
        <w:t xml:space="preserve">  리스크 관리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7~8% 고정 손절 (오닐 골든룰)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매수가 대비 7~8% 하락 시 무조건 손절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피벗 기준 손절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피벗 포인트 아래 종가 이탈 시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포지션 사이징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계좌 최대 리스크 1~1.5% per trade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동시 보유: 4~8종목 집중. 한 종목 최대 25%</w:t>
      </w:r>
    </w:p>
    <w:p>
      <w:pPr>
        <w:spacing w:after="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06"/>
      </w:tblGrid>
      <w:tr>
        <w:trPr>
          <w:tblHeader/>
        </w:trPr>
        <w:tc>
          <w:tcPr>
            <w:tcW w:type="dxa" w:w="4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시장 상태</w:t>
            </w:r>
          </w:p>
        </w:tc>
        <w:tc>
          <w:tcPr>
            <w:tcW w:type="dxa" w:w="46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포트폴리오 투입 비율</w:t>
            </w:r>
          </w:p>
        </w:tc>
      </w:tr>
      <w:tr>
        <w:tc>
          <w:tcPr>
            <w:tcW w:type="dxa" w:w="4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Confirmed Uptrend</w:t>
            </w:r>
          </w:p>
        </w:tc>
        <w:tc>
          <w:tcPr>
            <w:tcW w:type="dxa" w:w="46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80~100%</w:t>
            </w:r>
          </w:p>
        </w:tc>
      </w:tr>
      <w:tr>
        <w:tc>
          <w:tcPr>
            <w:tcW w:type="dxa" w:w="4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Uptrend Under Pressure</w:t>
            </w:r>
          </w:p>
        </w:tc>
        <w:tc>
          <w:tcPr>
            <w:tcW w:type="dxa" w:w="46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40~60%</w:t>
            </w:r>
          </w:p>
        </w:tc>
      </w:tr>
      <w:tr>
        <w:tc>
          <w:tcPr>
            <w:tcW w:type="dxa" w:w="4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Market in Correction</w:t>
            </w:r>
          </w:p>
        </w:tc>
        <w:tc>
          <w:tcPr>
            <w:tcW w:type="dxa" w:w="46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0~20%</w:t>
            </w:r>
          </w:p>
        </w:tc>
      </w:tr>
    </w:tbl>
    <w:p>
      <w:pPr>
        <w:pBdr>
          <w:left w:val="single" w:color="548235" w:sz="8" w:space="6"/>
        </w:pBdr>
        <w:shd w:fill="EFF5EB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548235" w:val="clear"/>
        </w:rPr>
        <w:t xml:space="preserve">STEP 6  </w:t>
      </w:r>
      <w:r>
        <w:rPr>
          <w:rFonts w:ascii="맑은 고딕" w:cs="맑은 고딕" w:eastAsia="맑은 고딕" w:hAnsi="맑은 고딕"/>
          <w:b/>
          <w:bCs/>
          <w:color w:val="548235"/>
          <w:sz w:val="22"/>
          <w:szCs w:val="22"/>
        </w:rPr>
        <w:t xml:space="preserve">  보유 관리 &amp; 피라미딩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21일 EMA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단기 추세 유지 기준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50일 MA / 10주 MA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중기 핵심 지지선. 거래량 동반 이탈 시 청산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손절선 상향 규칙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+5% 수익 → 손절을 본전으로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+10% 수익 → 손절을 +5%로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+20%+ → 50일 MA 기준 트레일링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피라미딩: 새 베이스 돌파 시 추가 매수. 단, 4차 베이스 이후 성공률 급락</w:t>
      </w:r>
    </w:p>
    <w:p>
      <w:pPr>
        <w:pBdr>
          <w:left w:val="single" w:color="1B3A5C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1B3A5C" w:val="clear"/>
        </w:rPr>
        <w:t xml:space="preserve">STEP 7 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  매도 규칙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공격적 매도 (천장 신호)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클라이맥스 탑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장기 상승 후 1~3주 내 25~50% 급등 + 역대 최대 거래량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Exhaustion Gap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갭상승 출발 후 당일 음봉 마감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RSI/MACD 다이버전스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가격 신고가 vs 지표 고점 하락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방어적 매도 (추세 이탈)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50일 MA / 10주 MA 종가 이탈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거래량 동반 시 강한 매도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어닝 쇼크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실적 기대 이하 + 갭하락 → 즉시 청산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이익 실현 가이드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+20~25%: 1/3 매도 (오닐 20-25% 룰)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+50%+: 추가 1/3 매도 또는 트레일링 전환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8주 내 +20%: 최소 8주 보유 룰 (큰 움직임의 시작 가능성)</w:t>
      </w:r>
    </w:p>
    <w:p>
      <w:pPr>
        <w:spacing w:after="0" w:before="80"/>
      </w:pPr>
    </w:p>
    <w:p>
      <w:pPr>
        <w:spacing w:after="160" w:before="3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성장주 트레이딩 프로세스 요약</w:t>
      </w:r>
    </w:p>
    <w:p>
      <w:pPr>
        <w:spacing w:after="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06"/>
      </w:tblGrid>
      <w:tr>
        <w:trPr>
          <w:tblHeader/>
        </w:trP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질문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지표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시장 방향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상승장인가?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FTD, Distribution Day, 지수 MA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펀더멘털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진짜 성장하는가?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EPS/매출 성장률, ROE, 서프라이즈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기술적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차트 준비 완료?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RS 랭킹, 베이스 패턴, Stage 2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매수 진입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정확한 피벗?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돌파+거래량, Buy Zone 5%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리스크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감당 가능한 손실?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7~8% 손절, 포지션 사이징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보유 관리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수익 보호 중?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21EMA, 50MA, 10주 MA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매도</w:t>
            </w:r>
          </w:p>
        </w:tc>
        <w:tc>
          <w:tcPr>
            <w:tcW w:type="dxa" w:w="3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팔 때를 아는가?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클라이맥스탑, MA이탈, 다이버전스</w:t>
            </w:r>
          </w:p>
        </w:tc>
      </w:tr>
    </w:tbl>
    <w:p>
      <w:r>
        <w:br w:type="page"/>
      </w:r>
    </w:p>
    <w:p>
      <w:pPr>
        <w:pBdr>
          <w:bottom w:val="single" w:color="1B3A5C" w:sz="3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A5C"/>
          <w:sz w:val="30"/>
          <w:szCs w:val="30"/>
        </w:rPr>
        <w:t xml:space="preserve">4. 가치 트레이딩 (Value Trading)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내재가치 대비 저평가된 기업을 발굴하여, 시장이 가치를 재평가(리레이팅)할 때까지 보유하는 전략. 그레이엄, 버핏, 그린블라트, 존 네프 방법론이 대표적입니다.</w:t>
      </w:r>
    </w:p>
    <w:p>
      <w:pPr>
        <w:pBdr>
          <w:left w:val="single" w:color="2E75B6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STEP 1  </w:t>
      </w: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  시장 환경 &amp; 밸류에이션 사이클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시장 PER/PBR 밴드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선행 PER이 역사적 하단(-1σ 이하) → 가치주 유리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장단기 금리차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스티프닝 → 가치주/경기민감주 우호적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가치-성장 스프레드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가치지수 vs 성장지수 상대성과. 바닥권 반전이 최적 진입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신용 스프레드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극단적 확대 후 축소 전환 시 가치주 매수 기회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배당수익률 vs 채권수익률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배당률 ≥ 국채금리 시 주식 상대 매력 높음</w:t>
      </w:r>
    </w:p>
    <w:p>
      <w:pPr>
        <w:pBdr>
          <w:left w:val="single" w:color="2E75B6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STEP 2  </w:t>
      </w: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  저평가 유니버스 구축 (정량 스크리닝)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1차 밸류에이션 필터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PER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업종 평균 또는 5년 평균 대비 하위. 절대 10배 이하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PBR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1.0배 이하 또는 업종 하위 25%. 금융/제조/유틸리티에서 유효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PSR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적자 기업 대안. 0.5배 이하 매력적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EV/EBITDA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부채 구조 다른 기업 비교. 업종 하위 25%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PEG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PER÷EPS성장률. 1.0 이하이면 성장 대비 저평가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2차 수익성 필터 (가치함정 제거)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ROE 10%+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낮은 PBR이 낮은 ROE 때문이면 가치 함정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ROIC &gt; WACC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자본비용 상회하는 진짜 가치 창출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FCF Yield 8%+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시총 대비 잉여현금흐름. 현금 창출력이 본질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복합 스크리닝 모델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그린블라트 마법공식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ROIC 순위 + 이익수익률 순위 합산 랭킹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피오트로스키 F-Score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9개 재무지표 점수. 7점 이상 필터</w:t>
      </w:r>
    </w:p>
    <w:p>
      <w:pPr>
        <w:pBdr>
          <w:left w:val="single" w:color="2E75B6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STEP 3  </w:t>
      </w: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  재무 건전성 심층 분석 (Quality Check)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안전성 지표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부채비율 100% 이하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동종 대비 과도한 레버리지 회피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이자보상배율 3배+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영업이익으로 이자 감당 능력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알트만 Z-Score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부도 예측. 2.99+ 안전, 1.81- 위험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이익의 질 (Earnings Quality)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OCF vs 순이익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OCF가 순이익보다 지속 낮으면 이익의 질 의심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발생액 비율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(순이익-OCF)÷총자산. 높으면 이익 조작 가능성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매출채권/재고 회전율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급격한 변화는 수요 둔화 또는 공격적 회계 경고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가치 함정 경고 신호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저PER + 하락 ROE → 구조적 쇠퇴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저PBR + 지속 적자 → 자산가치 훼손 진행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높은 배당률 + 줄어드는 FCF → 배당 지속 불가</w:t>
      </w:r>
    </w:p>
    <w:p>
      <w:pPr>
        <w:pBdr>
          <w:left w:val="single" w:color="C55A11" w:sz="8" w:space="6"/>
        </w:pBdr>
        <w:shd w:fill="FFF4EC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C55A11" w:val="clear"/>
        </w:rPr>
        <w:t xml:space="preserve">STEP 4  </w:t>
      </w:r>
      <w:r>
        <w:rPr>
          <w:rFonts w:ascii="맑은 고딕" w:cs="맑은 고딕" w:eastAsia="맑은 고딕" w:hAnsi="맑은 고딕"/>
          <w:b/>
          <w:bCs/>
          <w:color w:val="C55A11"/>
          <w:sz w:val="22"/>
          <w:szCs w:val="22"/>
        </w:rPr>
        <w:t xml:space="preserve">  내재가치 산정 &amp; 안전마진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DCF (할인현금흐름)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FCF를 WACC으로 할인. 보수적 가정 필수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SOTP (부문별 합산)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사업부/자회사 개별 가치 합산. 지주사에 유용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NCAV (순유동자산가치)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유동자산-총부채 &gt; 시총 → 그레이엄식 극단 저평가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상대가치 비교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동종 PER/PBR/EV-EBITDA 멀티플 비교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안전마진: 내재가치 대비 30~50% 할인된 가격에서만 매수</w:t>
      </w:r>
    </w:p>
    <w:p>
      <w:pPr>
        <w:pBdr>
          <w:left w:val="single" w:color="C55A11" w:sz="8" w:space="6"/>
        </w:pBdr>
        <w:shd w:fill="FFF4EC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C55A11" w:val="clear"/>
        </w:rPr>
        <w:t xml:space="preserve">STEP 5  </w:t>
      </w:r>
      <w:r>
        <w:rPr>
          <w:rFonts w:ascii="맑은 고딕" w:cs="맑은 고딕" w:eastAsia="맑은 고딕" w:hAnsi="맑은 고딕"/>
          <w:b/>
          <w:bCs/>
          <w:color w:val="C55A11"/>
          <w:sz w:val="22"/>
          <w:szCs w:val="22"/>
        </w:rPr>
        <w:t xml:space="preserve">  촉매 확인 (Catalyst)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실적 턴어라운드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적자→흑자 전환, 영업이익률 개선 추세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구조조정 / 비용절감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사업부 매각, 원가 절감 프로그램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주주환원 확대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자사주 매입, 배당 인상, 소각 결의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산업 사이클 반전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재고 감소, 가동률 상승, ASP 반등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밸류업 프로그램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한국시장: 기업 밸류업 공시, PBR 개선 계획</w:t>
      </w:r>
    </w:p>
    <w:p>
      <w:pPr>
        <w:pBdr>
          <w:left w:val="single" w:color="C55A11" w:sz="8" w:space="6"/>
        </w:pBdr>
        <w:shd w:fill="FFF4EC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C55A11" w:val="clear"/>
        </w:rPr>
        <w:t xml:space="preserve">STEP 6  </w:t>
      </w:r>
      <w:r>
        <w:rPr>
          <w:rFonts w:ascii="맑은 고딕" w:cs="맑은 고딕" w:eastAsia="맑은 고딕" w:hAnsi="맑은 고딕"/>
          <w:b/>
          <w:bCs/>
          <w:color w:val="C55A11"/>
          <w:sz w:val="22"/>
          <w:szCs w:val="22"/>
        </w:rPr>
        <w:t xml:space="preserve">  매수 진입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하락추세 둔화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하락폭 축소, 저점 더 이상 낮아지지 않는 패턴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거래량 바닥 패턴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장기 감소 후 특정일 급증 (기관 매집 시작)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골든크로스 초기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50일 MA가 200일 MA 상향 돌파 또는 직전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MACD 0선 돌파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장기간 0선 아래 → 상향 돌파 시 추세 전환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내부자 매수 / 자사주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경영진 본인 자금 매수 = 강력한 바닥 신호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분할 매수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1차: 안전마진 30% 도달 시 1/3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2차: 추가 하락 → 안전마진 40% 구간 1/3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3차: 기술적 반전 확인 시 나머지 1/3</w:t>
      </w:r>
    </w:p>
    <w:p>
      <w:pPr>
        <w:pBdr>
          <w:left w:val="single" w:color="548235" w:sz="8" w:space="6"/>
        </w:pBdr>
        <w:shd w:fill="EFF5EB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548235" w:val="clear"/>
        </w:rPr>
        <w:t xml:space="preserve">STEP 7  </w:t>
      </w:r>
      <w:r>
        <w:rPr>
          <w:rFonts w:ascii="맑은 고딕" w:cs="맑은 고딕" w:eastAsia="맑은 고딕" w:hAnsi="맑은 고딕"/>
          <w:b/>
          <w:bCs/>
          <w:color w:val="548235"/>
          <w:sz w:val="22"/>
          <w:szCs w:val="22"/>
        </w:rPr>
        <w:t xml:space="preserve">  리스크 관리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투자 논거(Thesis) 붕괴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매수 가정 무너지면 가격 불문 청산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펀더멘털 악화 지속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3분기 연속 ROE 하락, FCF 적자 전환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확신도별 포지션 사이징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고확신 (강한 촉매 + 깊은 안전마진): 8~15%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중확신: 5~8%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저확신: 3~5%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동시 보유: 10~20종목. 업종 집중도 30% 이내</w:t>
      </w:r>
    </w:p>
    <w:p>
      <w:pPr>
        <w:pBdr>
          <w:left w:val="single" w:color="548235" w:sz="8" w:space="6"/>
        </w:pBdr>
        <w:shd w:fill="EFF5EB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548235" w:val="clear"/>
        </w:rPr>
        <w:t xml:space="preserve">STEP 8  </w:t>
      </w:r>
      <w:r>
        <w:rPr>
          <w:rFonts w:ascii="맑은 고딕" w:cs="맑은 고딕" w:eastAsia="맑은 고딕" w:hAnsi="맑은 고딕"/>
          <w:b/>
          <w:bCs/>
          <w:color w:val="548235"/>
          <w:sz w:val="22"/>
          <w:szCs w:val="22"/>
        </w:rPr>
        <w:t xml:space="preserve">  보유 관리 &amp; 리밸런싱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분기별 재무 점검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ROE, FCF, 부채비율이 투자 논거와 일치하는지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내재가치 재산정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분기마다 업데이트. 상향→보유강화, 하향→비중축소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촉매 진행 상황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예상 촉매 실현 여부 추적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리밸런싱: 안전마진 소멸 종목 → 새 저평가 종목으로 교체</w:t>
      </w:r>
    </w:p>
    <w:p>
      <w:pPr>
        <w:pBdr>
          <w:left w:val="single" w:color="1B3A5C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1B3A5C" w:val="clear"/>
        </w:rPr>
        <w:t xml:space="preserve">STEP 9 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  매도 / 이익 실현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내재가치 도달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산정 가치의 90~100% 도달 시 매도 시작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과대평가 전환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PER/PBR이 업종 평균 또는 역사적 평균 초과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밸류에이션 리레이팅 완료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PER/PBR 저점→평균 회귀 완료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FCF Yield 하락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주가 상승으로 시장 평균 이하 → 매력 소실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분할 매도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내재가치 80%: 1/3 매도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내재가치 90~100%: 추가 1/3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과대평가 또는 논거 소진: 잔여 청산</w:t>
      </w:r>
    </w:p>
    <w:p>
      <w:pPr>
        <w:spacing w:after="0" w:before="80"/>
      </w:pPr>
    </w:p>
    <w:p>
      <w:pPr>
        <w:spacing w:after="160" w:before="3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가치 트레이딩 프로세스 요약</w:t>
      </w:r>
    </w:p>
    <w:p>
      <w:pPr>
        <w:spacing w:after="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06"/>
      </w:tblGrid>
      <w:tr>
        <w:trPr>
          <w:tblHeader/>
        </w:trP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질문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지표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시장 환경</w:t>
            </w:r>
          </w:p>
        </w:tc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가치주에 유리한 사이클?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PER밴드, 금리차, 가치-성장 스프레드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정량 스크리닝</w:t>
            </w:r>
          </w:p>
        </w:tc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수치상 저평가?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PER, PBR, EV/EBITDA, FCF Yield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재무 심층</w:t>
            </w:r>
          </w:p>
        </w:tc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가치 함정이 아닌가?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부채비율, Z-Score, 발생액, OCF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내재가치</w:t>
            </w:r>
          </w:p>
        </w:tc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적정 가치는?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DCF, SOTP, NCAV, 안전마진30~50%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촉매 확인</w:t>
            </w:r>
          </w:p>
        </w:tc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왜 지금 재평가?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턴어라운드, 주주환원, 밸류업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매수 진입</w:t>
            </w:r>
          </w:p>
        </w:tc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바닥 신호 확인?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골든크로스, MACD0선, 내부자매수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리스크</w:t>
            </w:r>
          </w:p>
        </w:tc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논거 틀리면?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Thesis손절, 확신도별 사이징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보유 관리</w:t>
            </w:r>
          </w:p>
        </w:tc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논거 여전 유효?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분기재무, 내재가치 재산정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매도</w:t>
            </w:r>
          </w:p>
        </w:tc>
        <w:tc>
          <w:tcPr>
            <w:tcW w:type="dxa" w:w="3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더이상 싸지 않은가?</w:t>
            </w:r>
          </w:p>
        </w:tc>
        <w:tc>
          <w:tcPr>
            <w:tcW w:type="dxa" w:w="38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내재가치도달, 리레이팅완료</w:t>
            </w:r>
          </w:p>
        </w:tc>
      </w:tr>
    </w:tbl>
    <w:p>
      <w:r>
        <w:br w:type="page"/>
      </w:r>
    </w:p>
    <w:p>
      <w:pPr>
        <w:pBdr>
          <w:bottom w:val="single" w:color="1B3A5C" w:sz="3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A5C"/>
          <w:sz w:val="30"/>
          <w:szCs w:val="30"/>
        </w:rPr>
        <w:t xml:space="preserve">5. 스윙 트레이딩 (Swing Trading)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수일~수주 단위의 단기 가격 흐름을 포착하는 전략. 추세 내 되돌림(pullback)이나 단기 반전을 활용하며, 빠른 의사결정과 엄격한 리스크 관리가 필수입니다.</w:t>
      </w:r>
    </w:p>
    <w:p>
      <w:pPr>
        <w:pBdr>
          <w:left w:val="single" w:color="2E75B6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STEP 1  </w:t>
      </w: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  시장 환경 &amp; 방향성 판단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주요 지수 추세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20일/50일 MA 위치 관계로 단기 시장 방향 판단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Put/Call Ratio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극단값(1.2+)은 과매도 반등, 극저값(0.5-)은 과열 경고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시장 변동성(VIX)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20 이하 안정, 30+ 고변동. 스윙매매는 중간 변동성(15~25)이 최적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섹터 로테이션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자금이 유입되는 섹터 확인. 자금 흐름 방향에 순행</w:t>
      </w:r>
    </w:p>
    <w:p>
      <w:pPr>
        <w:pBdr>
          <w:left w:val="single" w:color="2E75B6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STEP 2  </w:t>
      </w: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  종목 스크리닝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일평균 거래대금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최소 10억원+ (유동성 확보. 진입/청산 용이)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ATR (평균진폭)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적정 수준의 변동성. 너무 낮으면 수익 기회 부족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RS 상위 종목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상승 스윙은 강한 종목, 하락 스윙은 약한 종목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실적 발표/이벤트 캘린더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이벤트 직전 진입 회피 (갭리스크)</w:t>
      </w:r>
    </w:p>
    <w:p>
      <w:pPr>
        <w:pBdr>
          <w:left w:val="single" w:color="C55A11" w:sz="8" w:space="6"/>
        </w:pBdr>
        <w:shd w:fill="FFF4EC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C55A11" w:val="clear"/>
        </w:rPr>
        <w:t xml:space="preserve">STEP 3  </w:t>
      </w:r>
      <w:r>
        <w:rPr>
          <w:rFonts w:ascii="맑은 고딕" w:cs="맑은 고딕" w:eastAsia="맑은 고딕" w:hAnsi="맑은 고딕"/>
          <w:b/>
          <w:bCs/>
          <w:color w:val="C55A11"/>
          <w:sz w:val="22"/>
          <w:szCs w:val="22"/>
        </w:rPr>
        <w:t xml:space="preserve">  매수 타이밍 (Entry)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추세 추종형 진입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이평선 풀백 매수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상승추세 중 5일/10일/20일 MA 지지 반등 시 진입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피보나치 되돌림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38.2%, 50%, 61.8% 되돌림 수준에서 반등 확인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볼린저 밴드 하단 반등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상승추세 중 하단 밴드 터치 후 반등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반전형 진입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RSI 과매도 반전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RSI 30 이하 → 30 위 복귀 시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스토캐스틱 %K/%D 교차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과매도 구간에서 상향 교차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캔들스틱 반전 패턴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해머, 불리시 인걸핑, 모닝스타 + 거래량 확인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지지선 반등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전저점, 피보나치, 이평선 등 복수 지지 수렴(Confluence)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진입 원칙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일봉 기준 시그널 확인 → 당일 또는 익일 시가 진입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거래량 확인 필수: 반등일 거래량 &gt; 직전 하락일 거래량</w:t>
      </w:r>
    </w:p>
    <w:p>
      <w:pPr>
        <w:pBdr>
          <w:left w:val="single" w:color="548235" w:sz="8" w:space="6"/>
        </w:pBdr>
        <w:shd w:fill="EFF5EB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548235" w:val="clear"/>
        </w:rPr>
        <w:t xml:space="preserve">STEP 4  </w:t>
      </w:r>
      <w:r>
        <w:rPr>
          <w:rFonts w:ascii="맑은 고딕" w:cs="맑은 고딕" w:eastAsia="맑은 고딕" w:hAnsi="맑은 고딕"/>
          <w:b/>
          <w:bCs/>
          <w:color w:val="548235"/>
          <w:sz w:val="22"/>
          <w:szCs w:val="22"/>
        </w:rPr>
        <w:t xml:space="preserve">  리스크 관리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ATR 기반 손절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진입가 - 1.5~2 ATR 위치에 손절선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직전 저점 아래 손절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스윙 저점 바로 아래 (명확한 무효화 지점)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고정 비율 3~5%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스윙은 보유 기간이 짧으므로 타이트한 손절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포지션 사이징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계좌 리스크 0.5~1% per trade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동시 보유: 3~6종목. 자금의 50~70%만 투입 (기회 대기 자금 확보)</w:t>
      </w:r>
    </w:p>
    <w:p>
      <w:pPr>
        <w:pBdr>
          <w:left w:val="single" w:color="1B3A5C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1B3A5C" w:val="clear"/>
        </w:rPr>
        <w:t xml:space="preserve">STEP 5 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  보유 관리 &amp; 매도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이익 실현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목표가 설정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R배수 기준: 최소 2R (리스크의 2배) 도달 시 부분 매도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볼린저 밴드 상단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상단 도달 시 과매수 영역으로 이익 확보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RSI 70+ 과매수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과매수 진입 시 트레일링 또는 부분 매도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피보나치 확장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161.8%, 261.8% 확장 레벨을 목표가로 활용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트레일링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ATR 트레일링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고점 대비 1.5~2 ATR 하락 시 청산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캔들스틱 기반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반대 방향 강한 캔들(음봉) 출현 시 즉시 청산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보유 기간 제한: 시그널 없이 5~10거래일 경과 시 무조건 청산 (시간 손절)</w:t>
      </w:r>
    </w:p>
    <w:p>
      <w:pPr>
        <w:spacing w:after="0" w:before="80"/>
      </w:pPr>
    </w:p>
    <w:p>
      <w:pPr>
        <w:spacing w:after="160" w:before="3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스윙 트레이딩 프로세스 요약</w:t>
      </w:r>
    </w:p>
    <w:p>
      <w:pPr>
        <w:spacing w:after="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06"/>
      </w:tblGrid>
      <w:tr>
        <w:trPr>
          <w:tblHeader/>
        </w:trP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질문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지표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시장 환경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단기 방향과 변동성은?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20/50MA, VIX, Put/Call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종목 선정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유동적이고 변동성 적정?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거래대금, ATR, RS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매수 진입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지지에서 반등 확인?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MA풀백, RSI, 캔들패턴, 피보나치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리스크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손절이 명확한가?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ATR×1.5~2, 0.5~1% 리스크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매도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목표 도달/시간 초과?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2R목표, 볼린저상단, 시간손절</w:t>
            </w:r>
          </w:p>
        </w:tc>
      </w:tr>
    </w:tbl>
    <w:p>
      <w:r>
        <w:br w:type="page"/>
      </w:r>
    </w:p>
    <w:p>
      <w:pPr>
        <w:pBdr>
          <w:bottom w:val="single" w:color="1B3A5C" w:sz="3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A5C"/>
          <w:sz w:val="30"/>
          <w:szCs w:val="30"/>
        </w:rPr>
        <w:t xml:space="preserve">6. 모멘텀 트레이딩 (Momentum Trading)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"강한 것은 더 강해지고, 약한 것은 더 약해진다"는 모멘텀 효과를 체계적으로 활용하는 전략. 정량적 모멘텀 점수로 종목을 선정하고, 모멘텀이 소멸될 때 청산합니다.</w:t>
      </w:r>
    </w:p>
    <w:p>
      <w:pPr>
        <w:pBdr>
          <w:left w:val="single" w:color="2E75B6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STEP 1  </w:t>
      </w: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  시장 환경 판단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시장 모멘텀 브레드스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전체 종목 중 200MA 위 비율. 60%+ → 건강한 모멘텀 환경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시장 RS 추세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코스피/코스닥 전체의 모멘텀 방향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섹터 모멘텀 분산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다수 섹터 동시 강세 → 폭넓은 랠리, 소수 집중 → 협소한 시장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글로벌 모멘텀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미국, 유럽, 아시아 시장의 교차 모멘텀 확인</w:t>
      </w:r>
    </w:p>
    <w:p>
      <w:pPr>
        <w:pBdr>
          <w:left w:val="single" w:color="2E75B6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STEP 2  </w:t>
      </w: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  모멘텀 스크리닝 (정량 모델)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절대 모멘텀 (Absolute Momentum)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수익률 기반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3/6/12개월 수익률 &gt; 0 (양의 절대 수익)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이평선 기반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주가 &gt; 200일 MA (장기 상승 추세 확인)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상대 모멘텀 (Relative Momentum)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RS 순위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전체 종목 대비 6~12개월 수익률 상위 10~20%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복합 모멘텀 점수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가중 수익률: (1M×0.3) + (3M×0.3) + (6M×0.2) + (12M×0.2)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최근 1개월 제외(Skip-month)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직전 1개월 수익률 제외하여 단기 반전 효과 제거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듀얼 모멘텀 (Gary Antonacci)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절대 모멘텀 + 상대 모멘텀을 결합. 절대 모멘텀이 양이고 상대 모멘텀 상위인 종목만 선정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추가 모멘텀 필터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거래량 모멘텀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거래량 증가 추세 동반 (가격+거래량 동시 모멘텀)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이익 모멘텀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EPS 추정치 상향 조정 종목 (펀더멘털 모멘텀)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변동성 필터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극단적 고변동 종목 제외 (변동성 조정 모멘텀)</w:t>
      </w:r>
    </w:p>
    <w:p>
      <w:pPr>
        <w:pBdr>
          <w:left w:val="single" w:color="C55A11" w:sz="8" w:space="6"/>
        </w:pBdr>
        <w:shd w:fill="FFF4EC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C55A11" w:val="clear"/>
        </w:rPr>
        <w:t xml:space="preserve">STEP 3  </w:t>
      </w:r>
      <w:r>
        <w:rPr>
          <w:rFonts w:ascii="맑은 고딕" w:cs="맑은 고딕" w:eastAsia="맑은 고딕" w:hAnsi="맑은 고딕"/>
          <w:b/>
          <w:bCs/>
          <w:color w:val="C55A11"/>
          <w:sz w:val="22"/>
          <w:szCs w:val="22"/>
        </w:rPr>
        <w:t xml:space="preserve">  매수 진입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정기 리밸런싱 진입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월간/분기 리밸런싱일에 모멘텀 상위 종목 매수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돌파 진입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신고가 돌파 또는 주요 저항선 돌파 시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풀백 진입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모멘텀 상위 종목이 10일/20일 MA까지 되돌림 후 반등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진입 필터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ADX &gt; 25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추세 강도 확인. 비추세 구간 진입 회피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MACD 히스토그램 양전환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모멘텀 가속 확인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동일 가중(Equal Weight) 또는 변동성 역가중(Inverse Volatility) 배분</w:t>
      </w:r>
    </w:p>
    <w:p>
      <w:pPr>
        <w:pBdr>
          <w:left w:val="single" w:color="548235" w:sz="8" w:space="6"/>
        </w:pBdr>
        <w:shd w:fill="EFF5EB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548235" w:val="clear"/>
        </w:rPr>
        <w:t xml:space="preserve">STEP 4  </w:t>
      </w:r>
      <w:r>
        <w:rPr>
          <w:rFonts w:ascii="맑은 고딕" w:cs="맑은 고딕" w:eastAsia="맑은 고딕" w:hAnsi="맑은 고딕"/>
          <w:b/>
          <w:bCs/>
          <w:color w:val="548235"/>
          <w:sz w:val="22"/>
          <w:szCs w:val="22"/>
        </w:rPr>
        <w:t xml:space="preserve">  리스크 관리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절대 모멘텀 필터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12개월 수익률 &lt; 0 전환 시 해당 종목 청산 → 현금/채권 전환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ATR 기반 손절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2~3 ATR 트레일링 스톱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변동성 타겟팅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포트폴리오 변동성이 목표(예: 연12%) 초과 시 노출 축소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최대 손실 제한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개별 종목 -10%, 포트폴리오 -15% 한도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모멘텀 크래시 대비: 급락장에서 모멘텀 전략의 꼬리위험 관리 필수</w:t>
      </w:r>
    </w:p>
    <w:p>
      <w:pPr>
        <w:pBdr>
          <w:left w:val="single" w:color="548235" w:sz="8" w:space="6"/>
        </w:pBdr>
        <w:shd w:fill="EFF5EB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548235" w:val="clear"/>
        </w:rPr>
        <w:t xml:space="preserve">STEP 5  </w:t>
      </w:r>
      <w:r>
        <w:rPr>
          <w:rFonts w:ascii="맑은 고딕" w:cs="맑은 고딕" w:eastAsia="맑은 고딕" w:hAnsi="맑은 고딕"/>
          <w:b/>
          <w:bCs/>
          <w:color w:val="548235"/>
          <w:sz w:val="22"/>
          <w:szCs w:val="22"/>
        </w:rPr>
        <w:t xml:space="preserve">  보유 관리 &amp; 리밸런싱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정기 리밸런싱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월간: 모멘텀 점수 재산출 → 하위 탈락 + 상위 신규 편입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분기: 전면 재구성. 모멘텀 순위 변동 반영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모멘텀 감속 모니터링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RS 순위 하락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상위 10% → 30% 이하로 하락 시 비중 축소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MACD 다이버전스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가격 신고가 vs MACD 고점 하락 → 모멘텀 약화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ADX 피크 후 하락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추세 강도 정점 통과 → 모멘텀 소멸 경고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회전율 관리: 과도한 회전은 거래비용으로 수익 잠식. 불필요한 교체 최소화</w:t>
      </w:r>
    </w:p>
    <w:p>
      <w:pPr>
        <w:pBdr>
          <w:left w:val="single" w:color="1B3A5C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1B3A5C" w:val="clear"/>
        </w:rPr>
        <w:t xml:space="preserve">STEP 6 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  매도 / 청산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모멘텀 순위 하락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상위 20% → 하위 50% 전락 시 청산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절대 모멘텀 음전환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12개월 수익률 &lt; 0 → 무조건 청산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200일 MA 이탈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장기 추세 이탈 → 포지션 정리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섹터 모멘텀 반전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소속 섹터 전체가 모멘텀 하위로 전환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리밸런싱 주기에 자동 교체되므로 별도 매도 판단이 최소화되는 것이 모멘텀 전략의 장점</w:t>
      </w:r>
    </w:p>
    <w:p>
      <w:pPr>
        <w:spacing w:after="0" w:before="80"/>
      </w:pPr>
    </w:p>
    <w:p>
      <w:pPr>
        <w:spacing w:after="160" w:before="3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모멘텀 트레이딩 프로세스 요약</w:t>
      </w:r>
    </w:p>
    <w:p>
      <w:pPr>
        <w:spacing w:after="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06"/>
      </w:tblGrid>
      <w:tr>
        <w:trPr>
          <w:tblHeader/>
        </w:trP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질문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지표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시장 환경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모멘텀 환경 건강?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200MA 위 비율, 섹터 분산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스크리닝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가장 강한 모멘텀?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6/12M RS, 듀얼모멘텀, 이익모멘텀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매수 진입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모멘텀 가속 중?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신고가돌파, ADX&gt;25, MACD양전환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리스크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크래시 대비?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절대모멘텀필터, 변동성타겟팅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리밸런싱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순위 변동 반영?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월간/분기 재구성, RS하락 감시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매도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모멘텀 소멸?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RS순위하락, 200MA이탈, 음전환</w:t>
            </w:r>
          </w:p>
        </w:tc>
      </w:tr>
    </w:tbl>
    <w:p>
      <w:r>
        <w:br w:type="page"/>
      </w:r>
    </w:p>
    <w:p>
      <w:pPr>
        <w:pBdr>
          <w:bottom w:val="single" w:color="1B3A5C" w:sz="3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A5C"/>
          <w:sz w:val="30"/>
          <w:szCs w:val="30"/>
        </w:rPr>
        <w:t xml:space="preserve">7. 배당 투자 (Dividend Investing)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안정적인 배당 수입과 장기 자본 증식을 동시에 추구하는 전략. 배당 성장 기업에 집중하여 복리 효과를 극대화하며, 경기 변동에 강한 포트폴리오를 구축합니다.</w:t>
      </w:r>
    </w:p>
    <w:p>
      <w:pPr>
        <w:pBdr>
          <w:left w:val="single" w:color="2E75B6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STEP 1  </w:t>
      </w: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  시장 환경 &amp; 금리 판단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금리 사이클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금리 인하기 → 배당주 상대 매력 상승. 인상기 → 채권 대비 매력 하락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시장 배당수익률 vs 국채금리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배당률 &gt; 10년 국채금리 시 배당주 매력적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경기 사이클 위치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경기 후반~침체 초입에서 방어적 배당주 강세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인플레이션 추세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인플레 상승기 → 배당 성장 기업 유리 (물가 전가력)</w:t>
      </w:r>
    </w:p>
    <w:p>
      <w:pPr>
        <w:pBdr>
          <w:left w:val="single" w:color="2E75B6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STEP 2  </w:t>
      </w: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  배당 유니버스 스크리닝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배당 수익성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배당수익률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시장 평균 이상 ~ 상위 20%. 극단적 고배당(10%+)은 함정 경고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배당 성장률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최근 5년 연평균 배당 성장률 7%+. DGI(Dividend Growth Investing) 핵심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연속 배당 이력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최소 5년 이상 무삭감 배당. 10년+ 이면 우수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배당 지속 가능성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배당성향(Payout Ratio)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순이익 대비 40~60% 적정. 80%+ 이면 삭감 위험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FCF 배당성향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FCF 대비 배당 지급 비율. 70% 이하 선호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배당/FCF 커버리지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FCF ÷ 총배당금 &gt; 1.5배. 배당 여력 확인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재무 건전성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부채비율 100% 이하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차입으로 배당 지급하는 기업 회피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이자보상배율 5배+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배당주는 일반 기준보다 높은 안전마진 요구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안정적 매출/이익 추세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경기 민감도가 낮고 예측 가능한 이익 흐름</w:t>
      </w:r>
    </w:p>
    <w:p>
      <w:pPr>
        <w:pBdr>
          <w:left w:val="single" w:color="2E75B6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2E75B6" w:val="clear"/>
        </w:rPr>
        <w:t xml:space="preserve">STEP 3  </w:t>
      </w: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  심층 분석 &amp; 배당 함정 회피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배당 함정 경고 신호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배당수익률 급등 = 주가 급락의 결과 (분모 축소)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배당성향 90%+ = 이익이 줄면 즉시 삭감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차입금 증가 + 배당 유지 = 빚으로 배당 지급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업종 구조적 위기 + 고배당 = 퇴출 전 마지막 배당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배당 성장 품질 확인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EPS 성장 → 배당 성장 연결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이익 성장이 배당 인상의 원천인지 확인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ROIC 추세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자본수익률 유지/개선 중이면 배당 성장 지속 가능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경쟁 우위 / 경제적 해자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시장 지위 안정성이 장기 배당의 근본 기반</w:t>
      </w:r>
    </w:p>
    <w:p>
      <w:pPr>
        <w:pBdr>
          <w:left w:val="single" w:color="C55A11" w:sz="8" w:space="6"/>
        </w:pBdr>
        <w:shd w:fill="FFF4EC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C55A11" w:val="clear"/>
        </w:rPr>
        <w:t xml:space="preserve">STEP 4  </w:t>
      </w:r>
      <w:r>
        <w:rPr>
          <w:rFonts w:ascii="맑은 고딕" w:cs="맑은 고딕" w:eastAsia="맑은 고딕" w:hAnsi="맑은 고딕"/>
          <w:b/>
          <w:bCs/>
          <w:color w:val="C55A11"/>
          <w:sz w:val="22"/>
          <w:szCs w:val="22"/>
        </w:rPr>
        <w:t xml:space="preserve">  매수 진입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배당수익률 밴드 상단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자사 5년 배당률 밴드 상단 근접 시 (상대적 저평가)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PER/PBR 하단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역사적 밸류에이션 밴드 하단 매수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배당락 후 매수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배당락일 하락폭이 과도한 경우 저가 매수 기회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시장 급락 시 분할 매수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우량 배당주가 시장과 동반 하락 시 적극 매수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C55A11"/>
          <w:sz w:val="20"/>
          <w:szCs w:val="20"/>
        </w:rPr>
        <w:t xml:space="preserve">▸ </w:t>
      </w:r>
      <w:r>
        <w:rPr>
          <w:rFonts w:ascii="맑은 고딕" w:cs="맑은 고딕" w:eastAsia="맑은 고딕" w:hAnsi="맑은 고딕"/>
          <w:b/>
          <w:bCs/>
          <w:color w:val="1B3A5C"/>
          <w:sz w:val="21"/>
          <w:szCs w:val="21"/>
        </w:rPr>
        <w:t xml:space="preserve">분할 매수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3~6개월에 걸쳐 정기적 분할 매수 (DCA 방식)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급락 시 추가 매수 여력 확보 (현금 20~30% 예비)</w:t>
      </w:r>
    </w:p>
    <w:p>
      <w:pPr>
        <w:pBdr>
          <w:left w:val="single" w:color="548235" w:sz="8" w:space="6"/>
        </w:pBdr>
        <w:shd w:fill="EFF5EB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548235" w:val="clear"/>
        </w:rPr>
        <w:t xml:space="preserve">STEP 5  </w:t>
      </w:r>
      <w:r>
        <w:rPr>
          <w:rFonts w:ascii="맑은 고딕" w:cs="맑은 고딕" w:eastAsia="맑은 고딕" w:hAnsi="맑은 고딕"/>
          <w:b/>
          <w:bCs/>
          <w:color w:val="548235"/>
          <w:sz w:val="22"/>
          <w:szCs w:val="22"/>
        </w:rPr>
        <w:t xml:space="preserve">  리스크 관리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배당 삭감 즉시 재평가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삭감 발표 시 논거 재검토. 일시적이면 보유, 구조적이면 청산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섹터 분산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5개+ 업종 분산. 한 섹터 30% 이내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개별 종목 한도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한 종목 최대 10%. 배당 의존도 분산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금리 리스크 헤지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듀레이션이 긴 배당주는 금리 상승기 비중 축소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포트폴리오 전체 배당수익률 목표: 3~5% + 배당성장률 5~8% = 총수익 8~13%</w:t>
      </w:r>
    </w:p>
    <w:p>
      <w:pPr>
        <w:pBdr>
          <w:left w:val="single" w:color="548235" w:sz="8" w:space="6"/>
        </w:pBdr>
        <w:shd w:fill="EFF5EB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548235" w:val="clear"/>
        </w:rPr>
        <w:t xml:space="preserve">STEP 6  </w:t>
      </w:r>
      <w:r>
        <w:rPr>
          <w:rFonts w:ascii="맑은 고딕" w:cs="맑은 고딕" w:eastAsia="맑은 고딕" w:hAnsi="맑은 고딕"/>
          <w:b/>
          <w:bCs/>
          <w:color w:val="548235"/>
          <w:sz w:val="22"/>
          <w:szCs w:val="22"/>
        </w:rPr>
        <w:t xml:space="preserve">  보유 관리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배당금 재투자(DRIP)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배당금을 가장 저평가된 보유 종목에 재투자 → 복리 효과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연간 배당 성장 확인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매년 배당 인상 여부 추적. 동결 2년 이상 시 교체 검토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경제적 해자 모니터링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경쟁 우위 약화 신호 감시 (시장 점유율, 마진 추세)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밸류에이션 재평가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주가 상승으로 배당률이 시장 평균 이하 → 비중 축소 검토</w:t>
      </w:r>
    </w:p>
    <w:p>
      <w:pPr>
        <w:pBdr>
          <w:left w:val="single" w:color="1B3A5C" w:sz="8" w:space="6"/>
        </w:pBdr>
        <w:shd w:fill="EDF2F8" w:val="clear"/>
        <w:spacing w:after="120" w:before="280"/>
        <w:ind w:left="100"/>
      </w:pP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1B3A5C" w:val="clear"/>
        </w:rPr>
        <w:t xml:space="preserve">STEP 7  </w:t>
      </w: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  매도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배당 삭감/중단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구조적 배당 삭감은 즉시 청산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펀더멘털 악화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이익 감소세 3분기+, 경쟁력 상실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극단적 과대평가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배당률이 역사적 최저 수준 → 차익 실현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</w:t>
      </w:r>
      <w:r>
        <w:rPr>
          <w:rFonts w:ascii="맑은 고딕" w:cs="맑은 고딕" w:eastAsia="맑은 고딕" w:hAnsi="맑은 고딕"/>
          <w:b/>
          <w:bCs/>
          <w:color w:val="2E75B6"/>
          <w:sz w:val="19"/>
          <w:szCs w:val="19"/>
        </w:rPr>
        <w:t xml:space="preserve">더 나은 배당 대안</w:t>
      </w: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 — 동일 안전성에서 높은 배당률+성장률 종목 발견</w:t>
      </w:r>
    </w:p>
    <w:p>
      <w:pPr>
        <w:spacing w:after="60" w:before="60" w:line="30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배당 투자의 매도는 최소화가 원칙. 매매 회전보다 장기 복리 효과가 핵심</w:t>
      </w:r>
    </w:p>
    <w:p>
      <w:pPr>
        <w:spacing w:after="0" w:before="80"/>
      </w:pPr>
    </w:p>
    <w:p>
      <w:pPr>
        <w:spacing w:after="160" w:before="3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배당 투자 프로세스 요약</w:t>
      </w:r>
    </w:p>
    <w:p>
      <w:pPr>
        <w:spacing w:after="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06"/>
      </w:tblGrid>
      <w:tr>
        <w:trPr>
          <w:tblHeader/>
        </w:trP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질문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지표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시장 환경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배당주에 유리한 금리?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금리사이클, 배당률vs국채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스크리닝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배당 지속 가능?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배당성장률, FCF배당성향, 연속배당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심층 분석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배당 함정 아닌가?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배당성향, 부채, 경제적 해자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매수 진입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상대적으로 싼가?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배당률밴드, PER하단, 배당락후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리스크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삭감 가능성은?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섹터분산, 종목한도10%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보유 관리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배당 성장 유지?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DRIP, 연간인상확인, 해자모니터링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매도</w:t>
            </w:r>
          </w:p>
        </w:tc>
        <w:tc>
          <w:tcPr>
            <w:tcW w:type="dxa" w:w="3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배당 매력 소진?</w:t>
            </w:r>
          </w:p>
        </w:tc>
        <w:tc>
          <w:tcPr>
            <w:tcW w:type="dxa" w:w="37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삭감, 펀더멘털악화, 과대평가</w:t>
            </w:r>
          </w:p>
        </w:tc>
      </w:tr>
    </w:tbl>
    <w:p>
      <w:r>
        <w:br w:type="page"/>
      </w:r>
    </w:p>
    <w:p>
      <w:pPr>
        <w:pBdr>
          <w:bottom w:val="single" w:color="1B3A5C" w:sz="3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A5C"/>
          <w:sz w:val="30"/>
          <w:szCs w:val="30"/>
        </w:rPr>
        <w:t xml:space="preserve">8. 공통 리스크 관리 프레임워크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어떤 기법을 사용하든, 리스크 관리의 기본 원칙은 동일합니다. 이 장에서는 모든 기법에 공통으로 적용되는 리스크 관리 프레임워크를 정리합니다.</w:t>
      </w:r>
    </w:p>
    <w:p>
      <w:pPr>
        <w:spacing w:after="160" w:before="3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포지션 사이징 공식</w:t>
      </w:r>
    </w:p>
    <w:p>
      <w:pPr>
        <w:spacing w:after="0" w:before="40"/>
      </w:pP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매수 수량 = (계좌 × 최대 리스크%) ÷ (진입가 - 손절가)</w:t>
      </w:r>
    </w:p>
    <w:p>
      <w:pPr>
        <w:spacing w:after="0" w:before="2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406"/>
      </w:tblGrid>
      <w:tr>
        <w:trPr>
          <w:tblHeader/>
        </w:trPr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기법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1회 최대 리스크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동시 보유</w:t>
            </w:r>
          </w:p>
        </w:tc>
        <w:tc>
          <w:tcPr>
            <w:tcW w:type="dxa" w:w="24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최대 비중</w:t>
            </w:r>
          </w:p>
        </w:tc>
      </w:tr>
      <w:tr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포지션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1~2%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6~10종목</w:t>
            </w:r>
          </w:p>
        </w:tc>
        <w:tc>
          <w:tcPr>
            <w:tcW w:type="dxa" w:w="24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성장주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1~1.5%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4~8종목</w:t>
            </w:r>
          </w:p>
        </w:tc>
        <w:tc>
          <w:tcPr>
            <w:tcW w:type="dxa" w:w="24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가치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2~3%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10~20종목</w:t>
            </w:r>
          </w:p>
        </w:tc>
        <w:tc>
          <w:tcPr>
            <w:tcW w:type="dxa" w:w="24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스윙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0.5~1%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3~6종목</w:t>
            </w:r>
          </w:p>
        </w:tc>
        <w:tc>
          <w:tcPr>
            <w:tcW w:type="dxa" w:w="24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모멘텀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1~2%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10~20종목</w:t>
            </w:r>
          </w:p>
        </w:tc>
        <w:tc>
          <w:tcPr>
            <w:tcW w:type="dxa" w:w="24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배당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2~3%</w:t>
            </w:r>
          </w:p>
        </w:tc>
        <w:tc>
          <w:tcPr>
            <w:tcW w:type="dxa" w:w="23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15~30종목</w:t>
            </w:r>
          </w:p>
        </w:tc>
        <w:tc>
          <w:tcPr>
            <w:tcW w:type="dxa" w:w="24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0" w:before="100"/>
      </w:pPr>
    </w:p>
    <w:p>
      <w:pPr>
        <w:spacing w:after="160" w:before="3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손절 유형 비교</w:t>
      </w:r>
    </w:p>
    <w:p>
      <w:pPr>
        <w:spacing w:after="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00"/>
        <w:gridCol w:w="3206"/>
      </w:tblGrid>
      <w:tr>
        <w:trPr>
          <w:tblHeader/>
        </w:trPr>
        <w:tc>
          <w:tcPr>
            <w:tcW w:type="dxa" w:w="2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손절 유형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2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적합 기법</w:t>
            </w:r>
          </w:p>
        </w:tc>
      </w:tr>
      <w:tr>
        <w:tc>
          <w:tcPr>
            <w:tcW w:type="dxa" w:w="2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고정 비율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매수가 대비 N% 하락 시 청산</w:t>
            </w:r>
          </w:p>
        </w:tc>
        <w:tc>
          <w:tcPr>
            <w:tcW w:type="dxa" w:w="32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성장주(7~8%), 스윙(3~5%)</w:t>
            </w:r>
          </w:p>
        </w:tc>
      </w:tr>
      <w:tr>
        <w:tc>
          <w:tcPr>
            <w:tcW w:type="dxa" w:w="2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ATR 기반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진입가 - N×ATR 위치 손절</w:t>
            </w:r>
          </w:p>
        </w:tc>
        <w:tc>
          <w:tcPr>
            <w:tcW w:type="dxa" w:w="32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포지션, 스윙, 모멘텀</w:t>
            </w:r>
          </w:p>
        </w:tc>
      </w:tr>
      <w:tr>
        <w:tc>
          <w:tcPr>
            <w:tcW w:type="dxa" w:w="2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지지선 이탈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이평선, 피보나치, 추세선 이탈</w:t>
            </w:r>
          </w:p>
        </w:tc>
        <w:tc>
          <w:tcPr>
            <w:tcW w:type="dxa" w:w="32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포지션, 스윙</w:t>
            </w:r>
          </w:p>
        </w:tc>
      </w:tr>
      <w:tr>
        <w:tc>
          <w:tcPr>
            <w:tcW w:type="dxa" w:w="2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Thesis 붕괴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투자 논거 무효화 시 청산</w:t>
            </w:r>
          </w:p>
        </w:tc>
        <w:tc>
          <w:tcPr>
            <w:tcW w:type="dxa" w:w="32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가치, 배당</w:t>
            </w:r>
          </w:p>
        </w:tc>
      </w:tr>
      <w:tr>
        <w:tc>
          <w:tcPr>
            <w:tcW w:type="dxa" w:w="2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시간 손절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일정 기간 내 시그널 미발생 시</w:t>
            </w:r>
          </w:p>
        </w:tc>
        <w:tc>
          <w:tcPr>
            <w:tcW w:type="dxa" w:w="32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스윙(5~10일)</w:t>
            </w:r>
          </w:p>
        </w:tc>
      </w:tr>
      <w:tr>
        <w:tc>
          <w:tcPr>
            <w:tcW w:type="dxa" w:w="2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모멘텀 소멸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RS순위 하락, 절대수익 음전환</w:t>
            </w:r>
          </w:p>
        </w:tc>
        <w:tc>
          <w:tcPr>
            <w:tcW w:type="dxa" w:w="32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모멘텀</w:t>
            </w:r>
          </w:p>
        </w:tc>
      </w:tr>
    </w:tbl>
    <w:p>
      <w:pPr>
        <w:spacing w:after="0" w:before="100"/>
      </w:pPr>
    </w:p>
    <w:p>
      <w:pPr>
        <w:spacing w:after="160" w:before="3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드로다운 관리</w:t>
      </w:r>
    </w:p>
    <w:p>
      <w:pPr>
        <w:spacing w:after="0" w:before="40"/>
      </w:pP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포트폴리오 전체 MDD 한도 설정: 일반적으로 -15% ~ -20%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한도 도달 시: 노출 50% 축소 → 시장 안정 후 점진적 복귀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연속 손실 규칙: 3연패 시 포지션 크기 50% 축소, 5연패 시 매매 일시 중단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월간 손실 한도: 계좌의 -6% 도달 시 해당 월 신규 진입 중단</w:t>
      </w:r>
    </w:p>
    <w:p>
      <w:pPr>
        <w:spacing w:after="0" w:before="100"/>
      </w:pPr>
    </w:p>
    <w:p>
      <w:pPr>
        <w:spacing w:after="160" w:before="3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심리 관리 원칙</w:t>
      </w:r>
    </w:p>
    <w:p>
      <w:pPr>
        <w:spacing w:after="0" w:before="40"/>
      </w:pP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매매 계획 수립 후 진입: 계획 없는 충동 매매 절대 금지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손절은 선택이 아닌 규칙: 손절 기준 도달 시 예외 없이 실행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승률보다 기대값: (승률×평균이익) - (패률×평균손실) &gt; 0 유지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매매일지 기록: 모든 매매의 근거, 감정, 결과를 기록하고 주기적 복기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오버트레이딩 방지: 하루/주간 최대 매매 횟수 제한 설정</w:t>
      </w:r>
    </w:p>
    <w:p>
      <w:r>
        <w:br w:type="page"/>
      </w:r>
    </w:p>
    <w:p>
      <w:pPr>
        <w:pBdr>
          <w:bottom w:val="single" w:color="1B3A5C" w:sz="3" w:space="4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B3A5C"/>
          <w:sz w:val="30"/>
          <w:szCs w:val="30"/>
        </w:rPr>
        <w:t xml:space="preserve">9. 기법별 프로세스 요약 매트릭스</w:t>
      </w:r>
    </w:p>
    <w:p>
      <w:pPr>
        <w:spacing w:after="0" w:before="60"/>
      </w:pPr>
    </w:p>
    <w:p>
      <w:pPr>
        <w:spacing w:after="160" w:before="3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단계별 핵심 지표 매트릭스</w:t>
      </w:r>
    </w:p>
    <w:p>
      <w:pPr>
        <w:spacing w:after="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400"/>
        <w:gridCol w:w="1400"/>
        <w:gridCol w:w="1400"/>
        <w:gridCol w:w="1106"/>
      </w:tblGrid>
      <w:tr>
        <w:trPr>
          <w:tblHeader/>
        </w:trP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포지션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성장주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가치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스윙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모멘텀</w:t>
            </w:r>
          </w:p>
        </w:tc>
        <w:tc>
          <w:tcPr>
            <w:tcW w:type="dxa" w:w="11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배당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EEF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시장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환경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200MA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VIX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ADL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FTD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Dist.Day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지수MA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PER밴드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금리차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가치스프레드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20/50MA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VIX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Put/Call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200MA위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비율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섹터분산</w:t>
            </w:r>
          </w:p>
        </w:tc>
        <w:tc>
          <w:tcPr>
            <w:tcW w:type="dxa" w:w="11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금리사이클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배당vs국채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EEF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종목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발굴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8FA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RS순위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Stage2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ADX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8FA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EPS성장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매출성장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RS상위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8FA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PER/PBR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F-Score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FCF Yield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8FA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거래대금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ATR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RS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8FA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6/12M RS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듀얼모멘텀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이익모멘텀</w:t>
            </w:r>
          </w:p>
        </w:tc>
        <w:tc>
          <w:tcPr>
            <w:tcW w:type="dxa" w:w="11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8FA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배당성장률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FCF배당성향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연속배당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EEF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진입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타이밍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MA풀백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Breakout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MACD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피벗돌파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거래량150%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BuyZone5%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골든크로스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MACD0선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내부자매수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RSI반전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캔들패턴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피보나치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신고가돌파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ADX&gt;25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MACD양전환</w:t>
            </w:r>
          </w:p>
        </w:tc>
        <w:tc>
          <w:tcPr>
            <w:tcW w:type="dxa" w:w="11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배당밴드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PER하단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배당락후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EEF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손절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기준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8FA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ATR 2~3배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50MA이탈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8FA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7~8%고정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피벗이탈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8FA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Thesis붕괴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펀더멘털악화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8FA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ATR 1.5~2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직전저점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8FA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절대모멘텀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음전환</w:t>
            </w:r>
          </w:p>
        </w:tc>
        <w:tc>
          <w:tcPr>
            <w:tcW w:type="dxa" w:w="11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8FA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배당삭감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펀더멘털악화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EEF4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매도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신호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MA이탈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다이버전스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ADX하락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클라이맥스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MA이탈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어닝쇼크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내재가치도달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리레이팅완료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FCFY하락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2R목표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RSI70+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시간손절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RS순위하락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200MA이탈</w:t>
            </w:r>
          </w:p>
        </w:tc>
        <w:tc>
          <w:tcPr>
            <w:tcW w:type="dxa" w:w="11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배당삭감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과대평가</w:t>
            </w:r>
          </w:p>
          <w:p>
            <w:pPr>
              <w:spacing w:after="10" w:before="10"/>
            </w:pPr>
            <w:r>
              <w:rPr>
                <w:rFonts w:ascii="맑은 고딕" w:cs="맑은 고딕" w:eastAsia="맑은 고딕" w:hAnsi="맑은 고딕"/>
                <w:color w:val="2D2D2D"/>
                <w:sz w:val="16"/>
                <w:szCs w:val="16"/>
              </w:rPr>
              <w:t xml:space="preserve">해자약화</w:t>
            </w:r>
          </w:p>
        </w:tc>
      </w:tr>
    </w:tbl>
    <w:p>
      <w:pPr>
        <w:spacing w:after="0" w:before="120"/>
      </w:pPr>
    </w:p>
    <w:p>
      <w:pPr>
        <w:spacing w:after="160" w:before="3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기법 선택 가이드</w:t>
      </w:r>
    </w:p>
    <w:p>
      <w:pPr>
        <w:spacing w:after="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06"/>
      </w:tblGrid>
      <w:tr>
        <w:trPr>
          <w:tblHeader/>
        </w:trP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추천 기법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직장인, 매매 시간 부족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가치 / 배당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빈번한 모니터링 불필요, 장기 보유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시장 분석에 자신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포지션 / 모멘텀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추세 판단 능력 활용 극대화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빠른 피드백 선호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스윙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짧은 보유로 빠른 결과 확인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높은 수익 추구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성장주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큰 승자 발굴 시 높은 수익배수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안정적 현금흐름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배당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정기 배당 수입 + 복리 성장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체계적/정량적 접근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모멘텀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규칙 기반 자동화에 적합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복합 전략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가치 + 성장 + 배당</w:t>
            </w:r>
          </w:p>
        </w:tc>
        <w:tc>
          <w:tcPr>
            <w:tcW w:type="dxa" w:w="350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코어(배당/가치) + 위성(성장) 구조</w:t>
            </w:r>
          </w:p>
        </w:tc>
      </w:tr>
    </w:tbl>
    <w:p>
      <w:pPr>
        <w:spacing w:after="0" w:before="120"/>
      </w:pPr>
    </w:p>
    <w:p>
      <w:pPr>
        <w:spacing w:after="160" w:before="34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■ </w:t>
      </w: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핵심 원칙</w:t>
      </w:r>
    </w:p>
    <w:p>
      <w:pPr>
        <w:spacing w:after="0" w:before="40"/>
      </w:pP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어떤 기법을 선택하든, 다음 원칙은 반드시 지켜야 합니다.</w:t>
      </w:r>
    </w:p>
    <w:p>
      <w:pPr>
        <w:spacing w:after="0" w:before="20"/>
      </w:pP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손실은 작게, 이익은 크게 (비대칭 손익비)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계좌 전체 리스크를 항상 통제 (포지션 사이징)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시장 방향에 역행하지 않기 (시장 &gt; 섹터 &gt; 종목)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매매 계획 없이 진입하지 않기 (계획 → 실행 → 복기)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감정이 아닌 규칙으로 매매하기 (시스템 트레이딩)</w:t>
      </w:r>
    </w:p>
    <w:p>
      <w:pPr>
        <w:spacing w:after="40" w:before="40" w:line="280"/>
        <w:ind w:left="36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•  복기를 통해 지속적으로 개선하기 (매매일지 필수)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D9" w:sz="1" w:space="4"/>
      </w:pBd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—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D9" w:sz="1" w:space="4"/>
      </w:pBdr>
      <w:jc w:val="right"/>
    </w:pPr>
    <w:r>
      <w:rPr>
        <w:rFonts w:ascii="맑은 고딕" w:cs="맑은 고딕" w:eastAsia="맑은 고딕" w:hAnsi="맑은 고딕"/>
        <w:i/>
        <w:iCs/>
        <w:color w:val="666666"/>
        <w:sz w:val="16"/>
        <w:szCs w:val="16"/>
      </w:rPr>
      <w:t xml:space="preserve">주식 투자 기법 종합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2026-03-12T02:50:42.221Z</dcterms:created>
  <dcterms:modified xsi:type="dcterms:W3CDTF">2026-03-12T02:50:42.222Z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