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курс. Блок 3: Криптография на практике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Луангсуваннавонг Сайпхачан,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Выполнение контрольных заданий третьего блока внешнего курса</w:t>
      </w:r>
      <w:r>
        <w:t xml:space="preserve"> </w:t>
      </w:r>
      <w:r>
        <w:t xml:space="preserve">“Основы Кибербезопасности”</w:t>
      </w:r>
    </w:p>
    <w:bookmarkEnd w:id="20"/>
    <w:bookmarkStart w:id="89" w:name="X47914d2b1e32627fcccc92d53c69a24bd73e7d3"/>
    <w:p>
      <w:pPr>
        <w:pStyle w:val="Heading1"/>
      </w:pPr>
      <w:r>
        <w:t xml:space="preserve">2. Выполнение заданий блока</w:t>
      </w:r>
      <w:r>
        <w:t xml:space="preserve"> </w:t>
      </w:r>
      <w:r>
        <w:t xml:space="preserve">“Криптография на практике”</w:t>
      </w:r>
    </w:p>
    <w:bookmarkStart w:id="41" w:name="введение-в-криптографию"/>
    <w:p>
      <w:pPr>
        <w:pStyle w:val="Heading2"/>
      </w:pPr>
      <w:r>
        <w:t xml:space="preserve">2.1 Введение в криптографию</w:t>
      </w:r>
    </w:p>
    <w:p>
      <w:pPr>
        <w:pStyle w:val="FirstParagraph"/>
      </w:pPr>
      <w:r>
        <w:t xml:space="preserve">В асимметричной криптографии каждая сторона имеет пару ключей (открытый + закрытый).(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71102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1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Асимметричная криптография</w:t>
            </w:r>
          </w:p>
          <w:bookmarkEnd w:id="24"/>
        </w:tc>
      </w:tr>
    </w:tbl>
    <w:p>
      <w:pPr>
        <w:pStyle w:val="BodyText"/>
      </w:pPr>
      <w:r>
        <w:t xml:space="preserve">Фиксированная длина вывода – например, SHA-256 всегда выводит 256 бит.</w:t>
      </w:r>
      <w:r>
        <w:t xml:space="preserve"> </w:t>
      </w:r>
      <w:r>
        <w:t xml:space="preserve">Эффективность вычисления – быстро вычисляется для любого входа.</w:t>
      </w:r>
      <w:r>
        <w:t xml:space="preserve"> </w:t>
      </w:r>
      <w:r>
        <w:t xml:space="preserve">Устойчивость к коллизиям – сложно найти два разных входа с одинаковым хешем.</w:t>
      </w:r>
      <w:r>
        <w:t xml:space="preserve"> </w:t>
      </w:r>
      <w:r>
        <w:t xml:space="preserve">Не обеспечивает конфиденциальность (хеширование является односторонним, а не шифрованием).(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98080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g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08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Криптографическая хэш-функция</w:t>
            </w:r>
          </w:p>
          <w:bookmarkEnd w:id="28"/>
        </w:tc>
      </w:tr>
    </w:tbl>
    <w:p>
      <w:pPr>
        <w:pStyle w:val="BodyText"/>
      </w:pPr>
      <w:r>
        <w:t xml:space="preserve">RSA – может использоваться для цифровых подписей.</w:t>
      </w:r>
      <w:r>
        <w:t xml:space="preserve"> </w:t>
      </w:r>
      <w:r>
        <w:t xml:space="preserve">ECDSA – алгоритм цифровой подписи на эллиптических кривых.</w:t>
      </w:r>
      <w:r>
        <w:t xml:space="preserve"> </w:t>
      </w:r>
      <w:r>
        <w:t xml:space="preserve">ГОСТ Р 34.10-2012 – российский национальный стандарт цифровой подписи.</w:t>
      </w:r>
      <w:r>
        <w:t xml:space="preserve"> </w:t>
      </w:r>
      <w:r>
        <w:t xml:space="preserve">AES – симметричное шифрование (не подпись).</w:t>
      </w:r>
      <w:r>
        <w:t xml:space="preserve"> </w:t>
      </w:r>
      <w:r>
        <w:t xml:space="preserve">SHA2 – хеш-функция (используется с подписями, но сама по себе не является алгоритмом подписи).(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320936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g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09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Алгоритм цифровой подписи.</w:t>
            </w:r>
          </w:p>
          <w:bookmarkEnd w:id="32"/>
        </w:tc>
      </w:tr>
    </w:tbl>
    <w:p>
      <w:pPr>
        <w:pStyle w:val="BodyText"/>
      </w:pPr>
      <w:r>
        <w:t xml:space="preserve">MAC (Message Authentication Code) использует один общий секретный ключ как для генерации, так и для проверки, что делает его симметричным.(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55422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g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4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Message Authentication Code</w:t>
            </w:r>
          </w:p>
          <w:bookmarkEnd w:id="36"/>
        </w:tc>
      </w:tr>
    </w:tbl>
    <w:p>
      <w:pPr>
        <w:pStyle w:val="BodyText"/>
      </w:pPr>
      <w:r>
        <w:t xml:space="preserve">Диффи-Хеллман позволяет двум сторонам безопасно сгенерировать общий секретный ключ по незащищённому каналу, используя асимметричные принципы (открытые/закрытые значения).(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83142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g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1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Обмен ключам Диффи-Хеллмана</w:t>
            </w:r>
          </w:p>
          <w:bookmarkEnd w:id="40"/>
        </w:tc>
      </w:tr>
    </w:tbl>
    <w:bookmarkEnd w:id="41"/>
    <w:bookmarkStart w:id="62" w:name="цифровая-подпись"/>
    <w:p>
      <w:pPr>
        <w:pStyle w:val="Heading2"/>
      </w:pPr>
      <w:r>
        <w:t xml:space="preserve">2.2 Цифровая подпись</w:t>
      </w:r>
    </w:p>
    <w:p>
      <w:pPr>
        <w:pStyle w:val="FirstParagraph"/>
      </w:pPr>
      <w:r>
        <w:t xml:space="preserve">Цифровые подписи используют асимметричную криптографию: подписание закрытым ключом, проверка открытым ключом.(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888509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img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8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Цифровые подписи</w:t>
            </w:r>
          </w:p>
          <w:bookmarkEnd w:id="45"/>
        </w:tc>
      </w:tr>
    </w:tbl>
    <w:p>
      <w:pPr>
        <w:pStyle w:val="BodyText"/>
      </w:pPr>
      <w:r>
        <w:t xml:space="preserve">Для проверки необходимы сообщение, подпись и открытый ключ отправителя.(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305901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59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Алгоритм проверки цифровых подписей</w:t>
            </w:r>
          </w:p>
          <w:bookmarkEnd w:id="49"/>
        </w:tc>
      </w:tr>
    </w:tbl>
    <w:p>
      <w:pPr>
        <w:pStyle w:val="BodyText"/>
      </w:pPr>
      <w:r>
        <w:t xml:space="preserve">Цифровые подписи обеспечивают целостность, аутентификацию и неотказуемость — но само сообщение остаётся видимым (не зашифрованным).(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300537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img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5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Цифровая подпись</w:t>
            </w:r>
          </w:p>
          <w:bookmarkEnd w:id="53"/>
        </w:tc>
      </w:tr>
    </w:tbl>
    <w:p>
      <w:pPr>
        <w:pStyle w:val="BodyText"/>
      </w:pPr>
      <w:r>
        <w:t xml:space="preserve">Подача налоговой отчётности в ФНС требует квалифицированной цифровой подписи (приравнивается к собственноручной подписи по закону).(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883585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img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3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Сертификат типа</w:t>
            </w:r>
          </w:p>
          <w:bookmarkEnd w:id="57"/>
        </w:tc>
      </w:tr>
    </w:tbl>
    <w:p>
      <w:pPr>
        <w:pStyle w:val="BodyText"/>
      </w:pPr>
      <w:r>
        <w:t xml:space="preserve">Квалифицированные сертификаты выдаются только аккредитованными удостоверяющими центрами.(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090928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img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0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Получение сертификата для проверки цифровых подписей</w:t>
            </w:r>
          </w:p>
          <w:bookmarkEnd w:id="61"/>
        </w:tc>
      </w:tr>
    </w:tbl>
    <w:bookmarkEnd w:id="62"/>
    <w:bookmarkStart w:id="75" w:name="электронные-платежи"/>
    <w:p>
      <w:pPr>
        <w:pStyle w:val="Heading2"/>
      </w:pPr>
      <w:r>
        <w:t xml:space="preserve">2.3 Электронные платежи</w:t>
      </w:r>
    </w:p>
    <w:p>
      <w:pPr>
        <w:pStyle w:val="FirstParagraph"/>
      </w:pPr>
      <w:r>
        <w:t xml:space="preserve">Оба являются платёжными системами (MasterCard — международная, МИР — российская).</w:t>
      </w:r>
      <w:r>
        <w:t xml:space="preserve"> </w:t>
      </w:r>
      <w:r>
        <w:t xml:space="preserve">BitCoin — это криптовалюта, а не традиционная платёжная система.</w:t>
      </w:r>
      <w:r>
        <w:t xml:space="preserve"> </w:t>
      </w:r>
      <w:r>
        <w:t xml:space="preserve">SecurePay — это платёжный шлюз.</w:t>
      </w:r>
      <w:r>
        <w:t xml:space="preserve"> </w:t>
      </w:r>
      <w:r>
        <w:t xml:space="preserve">POS-терминал и банкомат — это аппаратные устройства.(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3067697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img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676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Банк онлайн-платежей</w:t>
            </w:r>
          </w:p>
          <w:bookmarkEnd w:id="66"/>
        </w:tc>
      </w:tr>
    </w:tbl>
    <w:p>
      <w:pPr>
        <w:pStyle w:val="BodyText"/>
      </w:pPr>
      <w:r>
        <w:t xml:space="preserve">Многофакторная аутентификация использует два или более различных факторов (знание + владение, или владение + присущий признак).</w:t>
      </w:r>
      <w:r>
        <w:t xml:space="preserve"> </w:t>
      </w:r>
      <w:r>
        <w:t xml:space="preserve">Пароль + CAPTCHA → оба фактора знания (CAPTCHA не является независимым фактором).</w:t>
      </w:r>
      <w:r>
        <w:t xml:space="preserve"> </w:t>
      </w:r>
      <w:r>
        <w:t xml:space="preserve">PIN + пароль → оба фактора знания (один фактор).(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273961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img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9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Многофакторная аутентификация</w:t>
            </w:r>
          </w:p>
          <w:bookmarkEnd w:id="70"/>
        </w:tc>
      </w:tr>
    </w:tbl>
    <w:p>
      <w:pPr>
        <w:pStyle w:val="BodyText"/>
      </w:pPr>
      <w:r>
        <w:t xml:space="preserve">Онлайн-платежи обычно используют 3D Secure (пароль/SMS + данные карты), где банк-эмитент проверяет клиента с использованием нескольких факторов.(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2427196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71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Современные онлайн-платежи</w:t>
            </w:r>
          </w:p>
          <w:bookmarkEnd w:id="74"/>
        </w:tc>
      </w:tr>
    </w:tbl>
    <w:bookmarkEnd w:id="75"/>
    <w:bookmarkStart w:id="88" w:name="блокчейн"/>
    <w:p>
      <w:pPr>
        <w:pStyle w:val="Heading2"/>
      </w:pPr>
      <w:r>
        <w:t xml:space="preserve">2.4 Блокчейн</w:t>
      </w:r>
    </w:p>
    <w:p>
      <w:pPr>
        <w:pStyle w:val="FirstParagraph"/>
      </w:pPr>
      <w:r>
        <w:t xml:space="preserve">Доказательство работы (например, майнинг Bitcoin) требует нахождения входа, хеш которого находится ниже целевого значения — полагаясь на устойчивость к поиску прообраза (сложность обращения хеша).(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244133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1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Криптографическая хэш-функция</w:t>
            </w:r>
          </w:p>
          <w:bookmarkEnd w:id="79"/>
        </w:tc>
      </w:tr>
    </w:tbl>
    <w:p>
      <w:pPr>
        <w:pStyle w:val="BodyText"/>
      </w:pPr>
      <w:r>
        <w:t xml:space="preserve">Живучесть – система остаётся работоспособной и может добавлять новые блоки.</w:t>
      </w:r>
      <w:r>
        <w:t xml:space="preserve"> </w:t>
      </w:r>
      <w:r>
        <w:t xml:space="preserve">Консенсус – согласие между узлами о действительном состоянии/цепочке.</w:t>
      </w:r>
      <w:r>
        <w:t xml:space="preserve"> </w:t>
      </w:r>
      <w:r>
        <w:t xml:space="preserve">Постоянство – после подтверждения данные не могут быть изменены.</w:t>
      </w:r>
      <w:r>
        <w:t xml:space="preserve"> </w:t>
      </w:r>
      <w:r>
        <w:t xml:space="preserve">Открытость – любой может присоединиться к сети и проверять её.(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2804948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img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4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Блокчейн свойства</w:t>
            </w:r>
          </w:p>
          <w:bookmarkEnd w:id="83"/>
        </w:tc>
      </w:tr>
    </w:tbl>
    <w:p>
      <w:pPr>
        <w:pStyle w:val="BodyText"/>
      </w:pPr>
      <w:r>
        <w:t xml:space="preserve">Участники блокчейна используют закрытые ключи для подписания транзакций (цифровая подпись). Хеш-функции и обмен ключами не требуют хранения закрытых ключей всеми участниками; шифрование не является основным примитивом блокчейна.(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3733800" cy="2443442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img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3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Ключ блокчейна</w:t>
            </w:r>
          </w:p>
          <w:bookmarkEnd w:id="87"/>
        </w:tc>
      </w:tr>
    </w:tbl>
    <w:bookmarkEnd w:id="88"/>
    <w:bookmarkEnd w:id="89"/>
    <w:bookmarkStart w:id="90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Во время этого блока я узнал о криптографии, цифровых подписях, платежах и блокчейне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3: Криптография на практике</dc:title>
  <dc:creator>Луангсуваннавонг Сайпхачан, НКАбд-01-24</dc:creator>
  <dc:language>ru-RU</dc:language>
  <cp:keywords/>
  <dcterms:created xsi:type="dcterms:W3CDTF">2026-04-17T11:06:28Z</dcterms:created>
  <dcterms:modified xsi:type="dcterms:W3CDTF">2026-04-17T11:06:28Z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Основы информационной безопасности</vt:lpwstr>
  </property>
  <property fmtid="{D5CDD505-2E9C-101B-9397-08002B2CF9AE}" pid="13" name="toc-title">
    <vt:lpwstr>Содержание</vt:lpwstr>
  </property>
</Properties>
</file>