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3.png" ContentType="image/png"/>
  <Override PartName="/word/media/rId68.png" ContentType="image/png"/>
  <Override PartName="/word/media/rId72.png" ContentType="image/png"/>
  <Override PartName="/word/media/rId77.png" ContentType="image/png"/>
  <Override PartName="/word/media/rId81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 курс. Блок 2: Защита ПК/телефона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Луангсуваннавонг Сайпхачан, НКАбд-01-24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Выполнение контрольных заданий первого блока внешнего курса</w:t>
      </w:r>
      <w:r>
        <w:t xml:space="preserve"> </w:t>
      </w:r>
      <w:r>
        <w:t xml:space="preserve">“Основы Кибербезопасности”</w:t>
      </w:r>
    </w:p>
    <w:bookmarkEnd w:id="20"/>
    <w:bookmarkStart w:id="86" w:name="X993c5393760bdda4f48486af001e4e6d80f05cc"/>
    <w:p>
      <w:pPr>
        <w:pStyle w:val="Heading1"/>
      </w:pPr>
      <w:r>
        <w:t xml:space="preserve">2. Выполнение заданий блока</w:t>
      </w:r>
      <w:r>
        <w:t xml:space="preserve"> </w:t>
      </w:r>
      <w:r>
        <w:t xml:space="preserve">“Защита ПК/телефона”</w:t>
      </w:r>
    </w:p>
    <w:bookmarkStart w:id="33" w:name="шифрование-диска"/>
    <w:p>
      <w:pPr>
        <w:pStyle w:val="Heading2"/>
      </w:pPr>
      <w:r>
        <w:t xml:space="preserve">2.1 Шифрование диска</w:t>
      </w:r>
    </w:p>
    <w:p>
      <w:pPr>
        <w:pStyle w:val="FirstParagraph"/>
      </w:pPr>
      <w:r>
        <w:t xml:space="preserve">Полнодисковое шифрование (например, BitLocker, LUKS) шифрует загрузочный сектор и требует предзагрузочной аутентификации.(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2204892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g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048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Шифрование диска</w:t>
            </w:r>
          </w:p>
          <w:bookmarkEnd w:id="24"/>
        </w:tc>
      </w:tr>
    </w:tbl>
    <w:p>
      <w:pPr>
        <w:pStyle w:val="BodyText"/>
      </w:pPr>
      <w:r>
        <w:t xml:space="preserve">Дисковое шифрование использует симметричные шифры (например, AES) с одним ключом как для шифрования, так и для дешифрования, поскольку это быстрее для больших объёмов данных.(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2462315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img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6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Шифрование диска</w:t>
            </w:r>
          </w:p>
          <w:bookmarkEnd w:id="28"/>
        </w:tc>
      </w:tr>
    </w:tbl>
    <w:p>
      <w:pPr>
        <w:pStyle w:val="BodyText"/>
      </w:pPr>
      <w:r>
        <w:t xml:space="preserve">Дисковая утилита (Disk Utility) предназначена для управления дисками в macOS, но не является специализированным инструментом полнодискового шифрования, таким как VeraCrypt или BitLocker. Wireshark не имеет отношения к этому.(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2939654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img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396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Шифрование диска</w:t>
            </w:r>
          </w:p>
          <w:bookmarkEnd w:id="32"/>
        </w:tc>
      </w:tr>
    </w:tbl>
    <w:bookmarkEnd w:id="33"/>
    <w:bookmarkStart w:id="58" w:name="пароли"/>
    <w:p>
      <w:pPr>
        <w:pStyle w:val="Heading2"/>
      </w:pPr>
      <w:r>
        <w:t xml:space="preserve">2.2 Пароли</w:t>
      </w:r>
    </w:p>
    <w:p>
      <w:pPr>
        <w:pStyle w:val="FirstParagraph"/>
      </w:pPr>
      <w:r>
        <w:t xml:space="preserve">Ответ:</w:t>
      </w:r>
      <w:r>
        <w:t xml:space="preserve"> </w:t>
      </w:r>
      <w:r>
        <w:rPr>
          <w:rStyle w:val="VerbatimChar"/>
        </w:rPr>
        <w:t xml:space="preserve">UQr9@j4!S$</w:t>
      </w:r>
      <w:r>
        <w:t xml:space="preserve">, поскольку он использует заглавные и строчные буквы, цифры, символы и является достаточно длинным (случайным). Другие варианты являются предсказуемыми или основаны на словарных словах.(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2796922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img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969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Информация о пароле</w:t>
            </w:r>
          </w:p>
          <w:bookmarkEnd w:id="37"/>
        </w:tc>
      </w:tr>
    </w:tbl>
    <w:p>
      <w:pPr>
        <w:pStyle w:val="BodyText"/>
      </w:pPr>
      <w:r>
        <w:t xml:space="preserve">Менеджеры паролей хранят пароли в зашифрованном виде и требуют один мастер-пароль. Другие варианты физически или цифрово небезопасны.(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3044483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img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444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Информация о пароле</w:t>
            </w:r>
          </w:p>
          <w:bookmarkEnd w:id="41"/>
        </w:tc>
      </w:tr>
    </w:tbl>
    <w:p>
      <w:pPr>
        <w:pStyle w:val="BodyText"/>
      </w:pPr>
      <w:r>
        <w:t xml:space="preserve">CAPTCHA отличает людей от ботов, предотвращая автоматизированные атаки, такие как перебор паролей или спам.(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257301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img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730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CAPTCHA</w:t>
            </w:r>
          </w:p>
          <w:bookmarkEnd w:id="45"/>
        </w:tc>
      </w:tr>
    </w:tbl>
    <w:p>
      <w:pPr>
        <w:pStyle w:val="BodyText"/>
      </w:pPr>
      <w:r>
        <w:t xml:space="preserve">Хеширование преобразует пароли в хеши фиксированной длины, поэтому даже в случае утечки базы данных оригинальные пароли не раскрываются.(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2623983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img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239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Хеширование</w:t>
            </w:r>
          </w:p>
          <w:bookmarkEnd w:id="49"/>
        </w:tc>
      </w:tr>
    </w:tbl>
    <w:p>
      <w:pPr>
        <w:pStyle w:val="BodyText"/>
      </w:pPr>
      <w:r>
        <w:t xml:space="preserve">Соль (salt) делает каждый хеш пароля уникальным, предотвращая атаки с использованием предварительно вычисленных радужных таблиц, даже если злоумышленник имеет хеши паролей.(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168765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img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8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Хеширование</w:t>
            </w:r>
          </w:p>
          <w:bookmarkEnd w:id="53"/>
        </w:tc>
      </w:tr>
    </w:tbl>
    <w:p>
      <w:pPr>
        <w:pStyle w:val="BodyText"/>
      </w:pPr>
      <w:r>
        <w:t xml:space="preserve">Разные пароли — ограничивают ущерб от одной утечки.</w:t>
      </w:r>
      <w:r>
        <w:t xml:space="preserve"> </w:t>
      </w:r>
      <w:r>
        <w:t xml:space="preserve">Периодическая смена — сокращает окно возможности использования скомпрометированных учётных данных.</w:t>
      </w:r>
      <w:r>
        <w:t xml:space="preserve"> </w:t>
      </w:r>
      <w:r>
        <w:t xml:space="preserve">Сложные/длинные пароли — делают перебор непрактичным.</w:t>
      </w:r>
      <w:r>
        <w:t xml:space="preserve"> </w:t>
      </w:r>
      <w:r>
        <w:t xml:space="preserve">CAPTCHA — блокирует автоматизированные атаки перебора.(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2825692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img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256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Защита паролем</w:t>
            </w:r>
          </w:p>
          <w:bookmarkEnd w:id="57"/>
        </w:tc>
      </w:tr>
    </w:tbl>
    <w:bookmarkEnd w:id="58"/>
    <w:bookmarkStart w:id="67" w:name="фишинг"/>
    <w:p>
      <w:pPr>
        <w:pStyle w:val="Heading2"/>
      </w:pPr>
      <w:r>
        <w:t xml:space="preserve">2.3 Фишинг</w:t>
      </w:r>
    </w:p>
    <w:p>
      <w:pPr>
        <w:pStyle w:val="FirstParagraph"/>
      </w:pPr>
      <w:r>
        <w:t xml:space="preserve">wix.ru не является официальным доменом Сбербанка (должно быть sberbank.ru).</w:t>
      </w:r>
    </w:p>
    <w:p>
      <w:pPr>
        <w:pStyle w:val="BodyText"/>
      </w:pPr>
      <w:r>
        <w:t xml:space="preserve">ucoz.ru не является официальным доменом Яндекса (должно быть yandex.ru).</w:t>
      </w:r>
    </w:p>
    <w:p>
      <w:pPr>
        <w:pStyle w:val="BodyText"/>
      </w:pPr>
      <w:r>
        <w:t xml:space="preserve">Ссылки на Google и Mail.ru используют официальные домены.(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2258266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img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582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Фишинговая ссылка</w:t>
            </w:r>
          </w:p>
          <w:bookmarkEnd w:id="62"/>
        </w:tc>
      </w:tr>
    </w:tbl>
    <w:p>
      <w:pPr>
        <w:pStyle w:val="BodyText"/>
      </w:pPr>
      <w:r>
        <w:t xml:space="preserve">Злоумышленники могут подделать адреса электронной почты или взломать аккаунт друга, чтобы отправлять фишинговые письма.(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2586019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img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860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Возможность фишинга</w:t>
            </w:r>
          </w:p>
          <w:bookmarkEnd w:id="66"/>
        </w:tc>
      </w:tr>
    </w:tbl>
    <w:bookmarkEnd w:id="67"/>
    <w:bookmarkStart w:id="76" w:name="вирусы.-примеры"/>
    <w:p>
      <w:pPr>
        <w:pStyle w:val="Heading2"/>
      </w:pPr>
      <w:r>
        <w:t xml:space="preserve">2.4 Вирусы. Примеры</w:t>
      </w:r>
    </w:p>
    <w:p>
      <w:pPr>
        <w:pStyle w:val="FirstParagraph"/>
      </w:pPr>
      <w:r>
        <w:t xml:space="preserve">Подделка электронной почты (email spoofing) подделывает адрес «Отправитель», чтобы обмануть получателя и заставить его доверять источнику.(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2"/>
          <w:p>
            <w:pPr>
              <w:pStyle w:val="Compact"/>
              <w:jc w:val="center"/>
            </w:pPr>
            <w:r>
              <w:drawing>
                <wp:inline>
                  <wp:extent cx="3733800" cy="293738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img/12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37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Подделка электронной почты</w:t>
            </w:r>
          </w:p>
          <w:bookmarkEnd w:id="71"/>
        </w:tc>
      </w:tr>
    </w:tbl>
    <w:p>
      <w:pPr>
        <w:pStyle w:val="BodyText"/>
      </w:pPr>
      <w:r>
        <w:t xml:space="preserve">Троян (Trojan) маскируется под легальное программное обеспечение, чтобы обманом заставить пользователя запустить его.(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3"/>
          <w:p>
            <w:pPr>
              <w:pStyle w:val="Compact"/>
              <w:jc w:val="center"/>
            </w:pPr>
            <w:r>
              <w:drawing>
                <wp:inline>
                  <wp:extent cx="3733800" cy="2878334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img/13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783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Trojan</w:t>
            </w:r>
          </w:p>
          <w:bookmarkEnd w:id="75"/>
        </w:tc>
      </w:tr>
    </w:tbl>
    <w:bookmarkEnd w:id="76"/>
    <w:bookmarkStart w:id="85" w:name="безопасность-мессенджеров"/>
    <w:p>
      <w:pPr>
        <w:pStyle w:val="Heading2"/>
      </w:pPr>
      <w:r>
        <w:t xml:space="preserve">2.5 Безопасность мессенджеров</w:t>
      </w:r>
    </w:p>
    <w:p>
      <w:pPr>
        <w:pStyle w:val="FirstParagraph"/>
      </w:pPr>
      <w:r>
        <w:t xml:space="preserve">В протоколе Signal ключ шифрования устанавливается во время первоначального создания сессии, когда отправитель генерирует первое сообщение (с использованием согласования ключей X3DH).(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4"/>
          <w:p>
            <w:pPr>
              <w:pStyle w:val="Compact"/>
              <w:jc w:val="center"/>
            </w:pPr>
            <w:r>
              <w:drawing>
                <wp:inline>
                  <wp:extent cx="3733800" cy="2857168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img/14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57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Шифрование ключей</w:t>
            </w:r>
          </w:p>
          <w:bookmarkEnd w:id="80"/>
        </w:tc>
      </w:tr>
    </w:tbl>
    <w:p>
      <w:pPr>
        <w:pStyle w:val="BodyText"/>
      </w:pPr>
      <w:r>
        <w:t xml:space="preserve">Сквозное шифрование (end-to-end encryption) гарантирует, что только отправитель и получатель могут читать сообщения; серверы видят только зашифрованный текст.(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5"/>
          <w:p>
            <w:pPr>
              <w:pStyle w:val="Compact"/>
              <w:jc w:val="center"/>
            </w:pPr>
            <w:r>
              <w:drawing>
                <wp:inline>
                  <wp:extent cx="3733800" cy="2783378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img/15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83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Сквозное шифрование</w:t>
            </w:r>
          </w:p>
          <w:bookmarkEnd w:id="84"/>
        </w:tc>
      </w:tr>
    </w:tbl>
    <w:bookmarkEnd w:id="85"/>
    <w:bookmarkEnd w:id="86"/>
    <w:bookmarkStart w:id="8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Во время этого блока я узнал о правилах хранения паролей, основной информации о вирусах и методе фишинга</w:t>
      </w:r>
    </w:p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курс. Блок 2: Защита ПК/телефона</dc:title>
  <dc:creator>Луангсуваннавонг Сайпхачан, НКАбд-01-24</dc:creator>
  <dc:language>ru-RU</dc:language>
  <cp:keywords/>
  <dcterms:created xsi:type="dcterms:W3CDTF">2026-04-17T07:35:26Z</dcterms:created>
  <dcterms:modified xsi:type="dcterms:W3CDTF">2026-04-17T07:35:26Z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Основы информационной безопасности</vt:lpwstr>
  </property>
  <property fmtid="{D5CDD505-2E9C-101B-9397-08002B2CF9AE}" pid="13" name="toc-title">
    <vt:lpwstr>Содержание</vt:lpwstr>
  </property>
</Properties>
</file>