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fb55bd3a0fdc3e30593cd2d145255aff6de2f5"/>
      <w:r>
        <w:t xml:space="preserve">PROYECTO FINAL DE INTELIGENCIA DE NEGOCIOS</w:t>
      </w:r>
      <w:bookmarkEnd w:id="20"/>
    </w:p>
    <w:p>
      <w:pPr>
        <w:pStyle w:val="Heading2"/>
      </w:pPr>
      <w:bookmarkStart w:id="21" w:name="X2bb34c92d48369aafcd03aaa5676cc9f8a3a992"/>
      <w:r>
        <w:t xml:space="preserve">Empresa Textil ANAHUI INDUSTRIAL — Solución completa en Power BI</w:t>
      </w:r>
      <w:bookmarkEnd w:id="21"/>
    </w:p>
    <w:p>
      <w:pPr>
        <w:pStyle w:val="Heading3"/>
      </w:pPr>
      <w:bookmarkStart w:id="22" w:name="X13459ac1dc0ffe631ca9189dcbd92f6cc165dd5"/>
      <w:r>
        <w:t xml:space="preserve">Guía de desarrollo, dataset, modelo, DAX, EDA y storytelling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ómo-usar-esta-guía"/>
      <w:r>
        <w:t xml:space="preserve">0. Cómo usar esta guía</w:t>
      </w:r>
      <w:bookmarkEnd w:id="23"/>
    </w:p>
    <w:p>
      <w:pPr>
        <w:pStyle w:val="FirstParagraph"/>
      </w:pPr>
      <w:r>
        <w:t xml:space="preserve">Este documento te acompaña de principio a fin para cumplir</w:t>
      </w:r>
      <w:r>
        <w:t xml:space="preserve"> </w:t>
      </w:r>
      <w:r>
        <w:rPr>
          <w:b/>
        </w:rPr>
        <w:t xml:space="preserve">cada punto de la rúbrica</w:t>
      </w:r>
      <w:r>
        <w:t xml:space="preserve">. Está ordenado igual que la rúbrica (secciones IV a XIII) para que puedas ir tachando requisitos. Incluye un</w:t>
      </w:r>
      <w:r>
        <w:t xml:space="preserve"> </w:t>
      </w:r>
      <w:r>
        <w:rPr>
          <w:b/>
        </w:rPr>
        <w:t xml:space="preserve">dataset ya construido</w:t>
      </w:r>
      <w:r>
        <w:t xml:space="preserve"> </w:t>
      </w:r>
      <w:r>
        <w:t xml:space="preserve">(</w:t>
      </w:r>
      <w:r>
        <w:rPr>
          <w:rStyle w:val="VerbatimChar"/>
        </w:rPr>
        <w:t xml:space="preserve">ANAHUI_Dataset.xlsx</w:t>
      </w:r>
      <w:r>
        <w:t xml:space="preserve">) con 5 tablas relacionadas y 1.300 registros en la tabla de hechos; el</w:t>
      </w:r>
      <w:r>
        <w:t xml:space="preserve"> </w:t>
      </w:r>
      <w:r>
        <w:rPr>
          <w:b/>
        </w:rPr>
        <w:t xml:space="preserve">código exacto de las 8 medidas DAX</w:t>
      </w:r>
      <w:r>
        <w:t xml:space="preserve"> </w:t>
      </w:r>
      <w:r>
        <w:t xml:space="preserve">obligatorias; el</w:t>
      </w:r>
      <w:r>
        <w:t xml:space="preserve"> </w:t>
      </w:r>
      <w:r>
        <w:rPr>
          <w:b/>
        </w:rPr>
        <w:t xml:space="preserve">EDA</w:t>
      </w:r>
      <w:r>
        <w:t xml:space="preserve"> </w:t>
      </w:r>
      <w:r>
        <w:t xml:space="preserve">con las 6 preguntas ya respondidas con cifras reales; y el</w:t>
      </w:r>
      <w:r>
        <w:t xml:space="preserve"> </w:t>
      </w:r>
      <w:r>
        <w:rPr>
          <w:b/>
        </w:rPr>
        <w:t xml:space="preserve">storytelling</w:t>
      </w:r>
      <w:r>
        <w:t xml:space="preserve"> </w:t>
      </w:r>
      <w:r>
        <w:t xml:space="preserve">con 3 hallazgos, 3 recomendaciones gerenciales y conclusiones.</w:t>
      </w:r>
    </w:p>
    <w:p>
      <w:pPr>
        <w:pStyle w:val="BlockText"/>
      </w:pPr>
      <w:r>
        <w:t xml:space="preserve">Importante para la sustentación: el docente puede pedirte explicar cualquier transformación de Power Query, cualquier relación del modelo o cualquier medida DAX. Esta guía explica el</w:t>
      </w:r>
      <w:r>
        <w:t xml:space="preserve"> </w:t>
      </w:r>
      <w:r>
        <w:rPr>
          <w:i/>
        </w:rPr>
        <w:t xml:space="preserve">porqué</w:t>
      </w:r>
      <w:r>
        <w:t xml:space="preserve"> </w:t>
      </w:r>
      <w:r>
        <w:t xml:space="preserve">de cada decisión, no solo el</w:t>
      </w:r>
      <w:r>
        <w:t xml:space="preserve"> </w:t>
      </w:r>
      <w:r>
        <w:rPr>
          <w:i/>
        </w:rPr>
        <w:t xml:space="preserve">cómo</w:t>
      </w:r>
      <w:r>
        <w:t xml:space="preserve">, para que puedas defenderlo.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el-caso-de-negocio-anahui-industrial"/>
      <w:r>
        <w:t xml:space="preserve">1. El caso de negocio: ANAHUI INDUSTRIAL</w:t>
      </w:r>
      <w:bookmarkEnd w:id="24"/>
    </w:p>
    <w:p>
      <w:pPr>
        <w:pStyle w:val="FirstParagraph"/>
      </w:pPr>
      <w:r>
        <w:t xml:space="preserve">ANAHUI INDUSTRIAL es una empresa textil de producción que fabrica y comercializa cinco líneas:</w:t>
      </w:r>
      <w:r>
        <w:t xml:space="preserve"> </w:t>
      </w:r>
      <w:r>
        <w:rPr>
          <w:b/>
        </w:rPr>
        <w:t xml:space="preserve">telas por metro, hilados (conos de hilo), prendas acabadas, confección a medida y línea de textil-hogar</w:t>
      </w:r>
      <w:r>
        <w:t xml:space="preserve">. Vende a mayoristas, minoristas, clientes corporativos y de exportación en las regiones Centro, Norte y Sur.</w:t>
      </w:r>
    </w:p>
    <w:p>
      <w:pPr>
        <w:pStyle w:val="BodyText"/>
      </w:pPr>
      <w:r>
        <w:t xml:space="preserve">El objetivo del tablero es responder una pregunta gerencial:</w:t>
      </w:r>
      <w:r>
        <w:t xml:space="preserve"> </w:t>
      </w:r>
      <w:r>
        <w:rPr>
          <w:b/>
        </w:rPr>
        <w:t xml:space="preserve">¿qué líneas, clientes y regiones generan el valor, y dónde están las oportunidades y riesgos para el próximo año?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ataset-obligatorio-rúbrica-iv"/>
      <w:r>
        <w:t xml:space="preserve">2. Dataset obligatorio (Rúbrica IV)</w:t>
      </w:r>
      <w:bookmarkEnd w:id="25"/>
    </w:p>
    <w:p>
      <w:pPr>
        <w:pStyle w:val="FirstParagraph"/>
      </w:pPr>
      <w:r>
        <w:t xml:space="preserve">El modelo cumple el mínimo exigido:</w:t>
      </w:r>
      <w:r>
        <w:t xml:space="preserve"> </w:t>
      </w:r>
      <w:r>
        <w:rPr>
          <w:b/>
        </w:rPr>
        <w:t xml:space="preserve">5 tablas relacionadas — 1 de hechos y 4 dimensiones</w:t>
      </w:r>
      <w:r>
        <w:t xml:space="preserve">. La tabla principal supera los 1.000 registros.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Registros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FactVentas</w:t>
            </w:r>
          </w:p>
        </w:tc>
        <w:tc>
          <w:p>
            <w:pPr>
              <w:pStyle w:val="Compact"/>
              <w:jc w:val="left"/>
            </w:pPr>
            <w:r>
              <w:t xml:space="preserve">Hechos</w:t>
            </w:r>
          </w:p>
        </w:tc>
        <w:tc>
          <w:p>
            <w:pPr>
              <w:pStyle w:val="Compact"/>
              <w:jc w:val="left"/>
            </w:pPr>
            <w:r>
              <w:t xml:space="preserve">1.300</w:t>
            </w:r>
          </w:p>
        </w:tc>
        <w:tc>
          <w:p>
            <w:pPr>
              <w:pStyle w:val="Compact"/>
              <w:jc w:val="left"/>
            </w:pPr>
            <w:r>
              <w:t xml:space="preserve">Una fila por línea de venta: cantidad, precio, descuento, monto y costo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DimProducto</w:t>
            </w:r>
          </w:p>
        </w:tc>
        <w:tc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Producto, categoría, línea, costo y precio 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DimCliente</w:t>
            </w:r>
          </w:p>
        </w:tc>
        <w:tc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Cliente, tipo, ciudad y segmento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DimVendedor</w:t>
            </w:r>
          </w:p>
        </w:tc>
        <w:tc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Vendedor, región y canal de venta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DimTiempo</w:t>
            </w:r>
          </w:p>
        </w:tc>
        <w:tc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p>
            <w:pPr>
              <w:pStyle w:val="Compact"/>
              <w:jc w:val="left"/>
            </w:pPr>
            <w:r>
              <w:t xml:space="preserve">911 días</w:t>
            </w:r>
          </w:p>
        </w:tc>
        <w:tc>
          <w:p>
            <w:pPr>
              <w:pStyle w:val="Compact"/>
              <w:jc w:val="left"/>
            </w:pPr>
            <w:r>
              <w:t xml:space="preserve">Calendario 01-01-2023 a 30-06-2025 con año, mes, trimestre</w:t>
            </w:r>
          </w:p>
        </w:tc>
      </w:tr>
    </w:tbl>
    <w:p>
      <w:pPr>
        <w:pStyle w:val="BodyText"/>
      </w:pPr>
      <w:r>
        <w:rPr>
          <w:b/>
        </w:rPr>
        <w:t xml:space="preserve">Justificación del modelo (esto lo pueden preguntar):</w:t>
      </w:r>
      <w:r>
        <w:t xml:space="preserve"> </w:t>
      </w:r>
      <w:r>
        <w:t xml:space="preserve">se eligió un</w:t>
      </w:r>
      <w:r>
        <w:t xml:space="preserve"> </w:t>
      </w:r>
      <w:r>
        <w:rPr>
          <w:b/>
        </w:rPr>
        <w:t xml:space="preserve">esquema estrella</w:t>
      </w:r>
      <w:r>
        <w:t xml:space="preserve">. La tabla de hechos guarda solo las transacciones y las claves (IDs); todos los atributos descriptivos viven en las dimensiones. Esto reduce redundancia, acelera los cálculos y permite que un mismo filtro (por ejemplo</w:t>
      </w:r>
      <w:r>
        <w:t xml:space="preserve"> </w:t>
      </w:r>
      <w:r>
        <w:t xml:space="preserve">“</w:t>
      </w:r>
      <w:r>
        <w:t xml:space="preserve">Región Norte</w:t>
      </w:r>
      <w:r>
        <w:t xml:space="preserve">”</w:t>
      </w:r>
      <w:r>
        <w:t xml:space="preserve">) se propague a todas las medidas. No es un dataset descargado tal cual: los datos fueron diseñados con estacionalidad textil real (pico en marzo por uniformes escolares, alza en mayo–julio por prendas de abrigo) y crecimiento interanual.</w:t>
      </w:r>
    </w:p>
    <w:p>
      <w:pPr>
        <w:pStyle w:val="BodyText"/>
      </w:pPr>
      <w:r>
        <w:rPr>
          <w:b/>
        </w:rPr>
        <w:t xml:space="preserve">Diccionario de la tabla de hechos (FactVentas):</w:t>
      </w:r>
      <w:r>
        <w:t xml:space="preserve"> </w:t>
      </w:r>
      <w:r>
        <w:rPr>
          <w:rStyle w:val="VerbatimChar"/>
        </w:rPr>
        <w:t xml:space="preserve">IDVenta</w:t>
      </w:r>
      <w:r>
        <w:t xml:space="preserve"> </w:t>
      </w:r>
      <w:r>
        <w:t xml:space="preserve">(identificador único),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(se relaciona con DimTiempo),</w:t>
      </w:r>
      <w:r>
        <w:t xml:space="preserve"> </w:t>
      </w:r>
      <w:r>
        <w:rPr>
          <w:rStyle w:val="VerbatimChar"/>
        </w:rPr>
        <w:t xml:space="preserve">IDProducto</w:t>
      </w:r>
      <w:r>
        <w:t xml:space="preserve">/</w:t>
      </w:r>
      <w:r>
        <w:rPr>
          <w:rStyle w:val="VerbatimChar"/>
        </w:rPr>
        <w:t xml:space="preserve">IDCliente</w:t>
      </w:r>
      <w:r>
        <w:t xml:space="preserve">/</w:t>
      </w:r>
      <w:r>
        <w:rPr>
          <w:rStyle w:val="VerbatimChar"/>
        </w:rPr>
        <w:t xml:space="preserve">IDVendedor</w:t>
      </w:r>
      <w:r>
        <w:t xml:space="preserve"> </w:t>
      </w:r>
      <w:r>
        <w:t xml:space="preserve">(claves foráneas),</w:t>
      </w:r>
      <w:r>
        <w:t xml:space="preserve"> </w:t>
      </w:r>
      <w:r>
        <w:rPr>
          <w:rStyle w:val="VerbatimChar"/>
        </w:rPr>
        <w:t xml:space="preserve">Cantidad</w:t>
      </w:r>
      <w:r>
        <w:t xml:space="preserve"> </w:t>
      </w:r>
      <w:r>
        <w:t xml:space="preserve">(unidades/metros/conos),</w:t>
      </w:r>
      <w:r>
        <w:t xml:space="preserve"> </w:t>
      </w:r>
      <w:r>
        <w:rPr>
          <w:rStyle w:val="VerbatimChar"/>
        </w:rPr>
        <w:t xml:space="preserve">PrecioUnitario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Descuento</w:t>
      </w:r>
      <w:r>
        <w:t xml:space="preserve"> </w:t>
      </w:r>
      <w:r>
        <w:t xml:space="preserve">(0 a 0,15),</w:t>
      </w:r>
      <w:r>
        <w:t xml:space="preserve"> </w:t>
      </w:r>
      <w:r>
        <w:rPr>
          <w:rStyle w:val="VerbatimChar"/>
        </w:rPr>
        <w:t xml:space="preserve">MontoTotal</w:t>
      </w:r>
      <w:r>
        <w:t xml:space="preserve"> </w:t>
      </w:r>
      <w:r>
        <w:t xml:space="preserve">(Cantidad × PrecioUnitario × (1 − Descuento)) y</w:t>
      </w:r>
      <w:r>
        <w:t xml:space="preserve"> </w:t>
      </w:r>
      <w:r>
        <w:rPr>
          <w:rStyle w:val="VerbatimChar"/>
        </w:rPr>
        <w:t xml:space="preserve">CostoTotal</w:t>
      </w:r>
      <w:r>
        <w:t xml:space="preserve"> </w:t>
      </w:r>
      <w:r>
        <w:t xml:space="preserve">(Cantidad × CostoUnitario).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ower-query-rúbrica-v"/>
      <w:r>
        <w:t xml:space="preserve">3. Power Query (Rúbrica V)</w:t>
      </w:r>
      <w:bookmarkEnd w:id="26"/>
    </w:p>
    <w:p>
      <w:pPr>
        <w:pStyle w:val="FirstParagraph"/>
      </w:pPr>
      <w:r>
        <w:t xml:space="preserve">La rúbrica exige evidenciar</w:t>
      </w:r>
      <w:r>
        <w:t xml:space="preserve"> </w:t>
      </w:r>
      <w:r>
        <w:rPr>
          <w:b/>
        </w:rPr>
        <w:t xml:space="preserve">seis transformaciones</w:t>
      </w:r>
      <w:r>
        <w:t xml:space="preserve">. Como el dataset viene casi limpio, debes generar las evidencias en el editor de Power Query. Qué hacer y dónde:</w:t>
      </w:r>
    </w:p>
    <w:p>
      <w:pPr>
        <w:pStyle w:val="BodyText"/>
      </w:pPr>
      <w:r>
        <w:rPr>
          <w:b/>
        </w:rPr>
        <w:t xml:space="preserve">3.1 Cambio de tipos de datos.</w:t>
      </w:r>
      <w:r>
        <w:t xml:space="preserve"> </w:t>
      </w:r>
      <w:r>
        <w:t xml:space="preserve">En</w:t>
      </w:r>
      <w:r>
        <w:t xml:space="preserve"> </w:t>
      </w:r>
      <w:r>
        <w:rPr>
          <w:i/>
        </w:rPr>
        <w:t xml:space="preserve">Inicio → Tipo de datos</w:t>
      </w:r>
      <w:r>
        <w:t xml:space="preserve">, fija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como Fecha;</w:t>
      </w:r>
      <w:r>
        <w:t xml:space="preserve"> </w:t>
      </w:r>
      <w:r>
        <w:rPr>
          <w:rStyle w:val="VerbatimChar"/>
        </w:rPr>
        <w:t xml:space="preserve">MontoTotal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PrecioUnitario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CostoTotal</w:t>
      </w:r>
      <w:r>
        <w:t xml:space="preserve"> </w:t>
      </w:r>
      <w:r>
        <w:t xml:space="preserve">como decimal;</w:t>
      </w:r>
      <w:r>
        <w:t xml:space="preserve"> </w:t>
      </w:r>
      <w:r>
        <w:rPr>
          <w:rStyle w:val="VerbatimChar"/>
        </w:rPr>
        <w:t xml:space="preserve">Cantidad</w:t>
      </w:r>
      <w:r>
        <w:t xml:space="preserve"> </w:t>
      </w:r>
      <w:r>
        <w:t xml:space="preserve">como entero;</w:t>
      </w:r>
      <w:r>
        <w:t xml:space="preserve"> </w:t>
      </w:r>
      <w:r>
        <w:rPr>
          <w:rStyle w:val="VerbatimChar"/>
        </w:rPr>
        <w:t xml:space="preserve">Descuento</w:t>
      </w:r>
      <w:r>
        <w:t xml:space="preserve"> </w:t>
      </w:r>
      <w:r>
        <w:t xml:space="preserve">como porcentaje; los IDs como entero.</w:t>
      </w:r>
      <w:r>
        <w:t xml:space="preserve"> </w:t>
      </w:r>
      <w:r>
        <w:rPr>
          <w:i/>
        </w:rPr>
        <w:t xml:space="preserve">Defensa:</w:t>
      </w:r>
      <w:r>
        <w:t xml:space="preserve"> </w:t>
      </w:r>
      <w:r>
        <w:t xml:space="preserve">los IDs deben ser enteros para que las relaciones funcionen.</w:t>
      </w:r>
    </w:p>
    <w:p>
      <w:pPr>
        <w:pStyle w:val="BodyText"/>
      </w:pPr>
      <w:r>
        <w:rPr>
          <w:b/>
        </w:rPr>
        <w:t xml:space="preserve">3.2 División de columnas.</w:t>
      </w:r>
      <w:r>
        <w:t xml:space="preserve"> </w:t>
      </w:r>
      <w:r>
        <w:t xml:space="preserve">En DimCliente divide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con</w:t>
      </w:r>
      <w:r>
        <w:t xml:space="preserve"> </w:t>
      </w:r>
      <w:r>
        <w:rPr>
          <w:i/>
        </w:rPr>
        <w:t xml:space="preserve">Transformar → Dividir columna → Por delimitador (espacio)</w:t>
      </w:r>
      <w:r>
        <w:t xml:space="preserve">, o divide</w:t>
      </w:r>
      <w:r>
        <w:t xml:space="preserve"> </w:t>
      </w:r>
      <w:r>
        <w:rPr>
          <w:rStyle w:val="VerbatimChar"/>
        </w:rPr>
        <w:t xml:space="preserve">AnioMes</w:t>
      </w:r>
      <w:r>
        <w:t xml:space="preserve"> </w:t>
      </w:r>
      <w:r>
        <w:t xml:space="preserve">de DimTiempo por el guion.</w:t>
      </w:r>
      <w:r>
        <w:t xml:space="preserve"> </w:t>
      </w:r>
      <w:r>
        <w:rPr>
          <w:i/>
        </w:rPr>
        <w:t xml:space="preserve">Defensa:</w:t>
      </w:r>
      <w:r>
        <w:t xml:space="preserve"> </w:t>
      </w:r>
      <w:r>
        <w:t xml:space="preserve">separar columnas permite agrupar y segmentar por componentes.</w:t>
      </w:r>
    </w:p>
    <w:p>
      <w:pPr>
        <w:pStyle w:val="BodyText"/>
      </w:pPr>
      <w:r>
        <w:rPr>
          <w:b/>
        </w:rPr>
        <w:t xml:space="preserve">3.3 Reemplazo de valores.</w:t>
      </w:r>
      <w:r>
        <w:t xml:space="preserve"> </w:t>
      </w:r>
      <w:r>
        <w:t xml:space="preserve">En DimVendedor usa</w:t>
      </w:r>
      <w:r>
        <w:t xml:space="preserve"> </w:t>
      </w:r>
      <w:r>
        <w:rPr>
          <w:i/>
        </w:rPr>
        <w:t xml:space="preserve">Transformar → Reemplazar valores</w:t>
      </w:r>
      <w:r>
        <w:t xml:space="preserve"> </w:t>
      </w:r>
      <w:r>
        <w:t xml:space="preserve">para estandarizar (ej.</w:t>
      </w:r>
      <w:r>
        <w:t xml:space="preserve"> </w:t>
      </w:r>
      <w:r>
        <w:t xml:space="preserve">“</w:t>
      </w:r>
      <w:r>
        <w:t xml:space="preserve">Venta Directa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Directa</w:t>
      </w:r>
      <w:r>
        <w:t xml:space="preserve">”</w:t>
      </w:r>
      <w:r>
        <w:t xml:space="preserve">).</w:t>
      </w:r>
      <w:r>
        <w:t xml:space="preserve"> </w:t>
      </w:r>
      <w:r>
        <w:rPr>
          <w:i/>
        </w:rPr>
        <w:t xml:space="preserve">Defensa:</w:t>
      </w:r>
      <w:r>
        <w:t xml:space="preserve"> </w:t>
      </w:r>
      <w:r>
        <w:t xml:space="preserve">homogeneiza categorías y evita duplicados en segmentadores.</w:t>
      </w:r>
    </w:p>
    <w:p>
      <w:pPr>
        <w:pStyle w:val="BodyText"/>
      </w:pPr>
      <w:r>
        <w:rPr>
          <w:b/>
        </w:rPr>
        <w:t xml:space="preserve">3.4 Corrección de errores.</w:t>
      </w:r>
      <w:r>
        <w:t xml:space="preserve"> </w:t>
      </w:r>
      <w:r>
        <w:t xml:space="preserve">En una columna numérica →</w:t>
      </w:r>
      <w:r>
        <w:t xml:space="preserve"> </w:t>
      </w:r>
      <w:r>
        <w:rPr>
          <w:i/>
        </w:rPr>
        <w:t xml:space="preserve">Transformar → Reemplazar errores</w:t>
      </w:r>
      <w:r>
        <w:t xml:space="preserve"> </w:t>
      </w:r>
      <w:r>
        <w:t xml:space="preserve">con 0, o</w:t>
      </w:r>
      <w:r>
        <w:t xml:space="preserve"> </w:t>
      </w:r>
      <w:r>
        <w:rPr>
          <w:i/>
        </w:rPr>
        <w:t xml:space="preserve">Quitar errores</w:t>
      </w:r>
      <w:r>
        <w:t xml:space="preserve">.</w:t>
      </w:r>
      <w:r>
        <w:t xml:space="preserve"> </w:t>
      </w:r>
      <w:r>
        <w:rPr>
          <w:i/>
        </w:rPr>
        <w:t xml:space="preserve">Defensa:</w:t>
      </w:r>
      <w:r>
        <w:t xml:space="preserve"> </w:t>
      </w:r>
      <w:r>
        <w:t xml:space="preserve">evita que filas corruptas rompan las medidas DAX.</w:t>
      </w:r>
    </w:p>
    <w:p>
      <w:pPr>
        <w:pStyle w:val="BodyText"/>
      </w:pPr>
      <w:r>
        <w:rPr>
          <w:b/>
        </w:rPr>
        <w:t xml:space="preserve">3.5 Combinación o anexado de tablas.</w:t>
      </w:r>
      <w:r>
        <w:t xml:space="preserve"> </w:t>
      </w:r>
      <w:r>
        <w:t xml:space="preserve">Demuestra un</w:t>
      </w:r>
      <w:r>
        <w:t xml:space="preserve"> </w:t>
      </w:r>
      <w:r>
        <w:rPr>
          <w:b/>
        </w:rPr>
        <w:t xml:space="preserve">Merge</w:t>
      </w:r>
      <w:r>
        <w:t xml:space="preserve">: combina FactVentas con DimProducto por</w:t>
      </w:r>
      <w:r>
        <w:t xml:space="preserve"> </w:t>
      </w:r>
      <w:r>
        <w:rPr>
          <w:rStyle w:val="VerbatimChar"/>
        </w:rPr>
        <w:t xml:space="preserve">IDProducto</w:t>
      </w:r>
      <w:r>
        <w:t xml:space="preserve"> </w:t>
      </w:r>
      <w:r>
        <w:t xml:space="preserve">(</w:t>
      </w:r>
      <w:r>
        <w:rPr>
          <w:i/>
        </w:rPr>
        <w:t xml:space="preserve">Inicio → Combinar consultas</w:t>
      </w:r>
      <w:r>
        <w:t xml:space="preserve">). Alternativa: si separas ventas en dos archivos por año, usa</w:t>
      </w:r>
      <w:r>
        <w:t xml:space="preserve"> </w:t>
      </w:r>
      <w:r>
        <w:rPr>
          <w:b/>
        </w:rPr>
        <w:t xml:space="preserve">Anexar</w:t>
      </w:r>
      <w:r>
        <w:t xml:space="preserve">.</w:t>
      </w:r>
      <w:r>
        <w:t xml:space="preserve"> </w:t>
      </w:r>
      <w:r>
        <w:rPr>
          <w:i/>
        </w:rPr>
        <w:t xml:space="preserve">Defensa:</w:t>
      </w:r>
      <w:r>
        <w:t xml:space="preserve"> </w:t>
      </w:r>
      <w:r>
        <w:t xml:space="preserve">Merge agrega columnas por clave; Append apila filas de igual estructura.</w:t>
      </w:r>
    </w:p>
    <w:p>
      <w:pPr>
        <w:pStyle w:val="BodyText"/>
      </w:pPr>
      <w:r>
        <w:rPr>
          <w:b/>
        </w:rPr>
        <w:t xml:space="preserve">3.6 Limpieza de registros inconsistentes.</w:t>
      </w:r>
      <w:r>
        <w:t xml:space="preserve"> </w:t>
      </w:r>
      <w:r>
        <w:rPr>
          <w:i/>
        </w:rPr>
        <w:t xml:space="preserve">Inicio → Quitar filas → Quitar duplicados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IDVenta</w:t>
      </w:r>
      <w:r>
        <w:t xml:space="preserve">,</w:t>
      </w:r>
      <w:r>
        <w:t xml:space="preserve"> </w:t>
      </w:r>
      <w:r>
        <w:rPr>
          <w:i/>
        </w:rPr>
        <w:t xml:space="preserve">Quitar filas en blanco</w:t>
      </w:r>
      <w:r>
        <w:t xml:space="preserve">, y filtra cantidades ≤ 0.</w:t>
      </w:r>
      <w:r>
        <w:t xml:space="preserve"> </w:t>
      </w:r>
      <w:r>
        <w:rPr>
          <w:i/>
        </w:rPr>
        <w:t xml:space="preserve">Defensa:</w:t>
      </w:r>
      <w:r>
        <w:t xml:space="preserve"> </w:t>
      </w:r>
      <w:r>
        <w:t xml:space="preserve">garantiza integridad antes de modelar.</w:t>
      </w:r>
    </w:p>
    <w:p>
      <w:pPr>
        <w:pStyle w:val="BlockText"/>
      </w:pPr>
      <w:r>
        <w:t xml:space="preserve">Consejo: renombra cada paso aplicado (</w:t>
      </w:r>
      <w:r>
        <w:t xml:space="preserve">“</w:t>
      </w:r>
      <w:r>
        <w:t xml:space="preserve">Tipos corregidos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Duplicados quitados</w:t>
      </w:r>
      <w:r>
        <w:t xml:space="preserve">”</w:t>
      </w:r>
      <w:r>
        <w:t xml:space="preserve">). En la sustentación abres el panel de pasos y explicas cada uno.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odelo-de-datos-rúbrica-vi"/>
      <w:r>
        <w:t xml:space="preserve">4. Modelo de datos (Rúbrica VI)</w:t>
      </w:r>
      <w:bookmarkEnd w:id="27"/>
    </w:p>
    <w:p>
      <w:pPr>
        <w:pStyle w:val="FirstParagraph"/>
      </w:pPr>
      <w:r>
        <w:t xml:space="preserve">En la vista</w:t>
      </w:r>
      <w:r>
        <w:t xml:space="preserve"> </w:t>
      </w:r>
      <w:r>
        <w:rPr>
          <w:b/>
        </w:rPr>
        <w:t xml:space="preserve">Modelo</w:t>
      </w:r>
      <w:r>
        <w:t xml:space="preserve"> </w:t>
      </w:r>
      <w:r>
        <w:t xml:space="preserve">crea estas relaciones (todas</w:t>
      </w:r>
      <w:r>
        <w:t xml:space="preserve"> </w:t>
      </w:r>
      <w:r>
        <w:rPr>
          <w:b/>
        </w:rPr>
        <w:t xml:space="preserve">uno a varios</w:t>
      </w:r>
      <w:r>
        <w:t xml:space="preserve">, filtro simple desde la dimensión hacia los hechos):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Desde (1)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Hacia (varios)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Cardinalidad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DimProducto</w:t>
            </w:r>
          </w:p>
        </w:tc>
        <w:tc>
          <w:p>
            <w:pPr>
              <w:pStyle w:val="Compact"/>
              <w:jc w:val="left"/>
            </w:pPr>
            <w:r>
              <w:t xml:space="preserve">FactVentas</w:t>
            </w:r>
          </w:p>
        </w:tc>
        <w:tc>
          <w:p>
            <w:pPr>
              <w:pStyle w:val="Compact"/>
              <w:jc w:val="left"/>
            </w:pPr>
            <w:r>
              <w:t xml:space="preserve">IDProducto</w:t>
            </w:r>
          </w:p>
        </w:tc>
        <w:tc>
          <w:p>
            <w:pPr>
              <w:pStyle w:val="Compact"/>
              <w:jc w:val="left"/>
            </w:pPr>
            <w:r>
              <w:t xml:space="preserve">1 : 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DimCliente</w:t>
            </w:r>
          </w:p>
        </w:tc>
        <w:tc>
          <w:p>
            <w:pPr>
              <w:pStyle w:val="Compact"/>
              <w:jc w:val="left"/>
            </w:pPr>
            <w:r>
              <w:t xml:space="preserve">FactVentas</w:t>
            </w:r>
          </w:p>
        </w:tc>
        <w:tc>
          <w:p>
            <w:pPr>
              <w:pStyle w:val="Compact"/>
              <w:jc w:val="left"/>
            </w:pPr>
            <w:r>
              <w:t xml:space="preserve">IDCliente</w:t>
            </w:r>
          </w:p>
        </w:tc>
        <w:tc>
          <w:p>
            <w:pPr>
              <w:pStyle w:val="Compact"/>
              <w:jc w:val="left"/>
            </w:pPr>
            <w:r>
              <w:t xml:space="preserve">1 : 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DimVendedor</w:t>
            </w:r>
          </w:p>
        </w:tc>
        <w:tc>
          <w:p>
            <w:pPr>
              <w:pStyle w:val="Compact"/>
              <w:jc w:val="left"/>
            </w:pPr>
            <w:r>
              <w:t xml:space="preserve">FactVentas</w:t>
            </w:r>
          </w:p>
        </w:tc>
        <w:tc>
          <w:p>
            <w:pPr>
              <w:pStyle w:val="Compact"/>
              <w:jc w:val="left"/>
            </w:pPr>
            <w:r>
              <w:t xml:space="preserve">IDVendedor</w:t>
            </w:r>
          </w:p>
        </w:tc>
        <w:tc>
          <w:p>
            <w:pPr>
              <w:pStyle w:val="Compact"/>
              <w:jc w:val="left"/>
            </w:pPr>
            <w:r>
              <w:t xml:space="preserve">1 : 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DimTiempo</w:t>
            </w:r>
          </w:p>
        </w:tc>
        <w:tc>
          <w:p>
            <w:pPr>
              <w:pStyle w:val="Compact"/>
              <w:jc w:val="left"/>
            </w:pPr>
            <w:r>
              <w:t xml:space="preserve">FactVentas</w:t>
            </w:r>
          </w:p>
        </w:tc>
        <w:tc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p>
            <w:pPr>
              <w:pStyle w:val="Compact"/>
              <w:jc w:val="left"/>
            </w:pPr>
            <w:r>
              <w:t xml:space="preserve">1 : *</w:t>
            </w:r>
          </w:p>
        </w:tc>
      </w:tr>
    </w:tbl>
    <w:p>
      <w:pPr>
        <w:pStyle w:val="BodyText"/>
      </w:pPr>
      <w:r>
        <w:rPr>
          <w:b/>
        </w:rPr>
        <w:t xml:space="preserve">Por qué así (defensa):</w:t>
      </w:r>
      <w:r>
        <w:t xml:space="preserve"> </w:t>
      </w:r>
      <w:r>
        <w:t xml:space="preserve">cada dimensión tiene claves únicas (lado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) y la tabla de hechos repite esas claves (lado "*"). El filtro fluye de la dimensión a los hechos: al seleccionar una categoría, Power BI filtra FactVentas y</w:t>
      </w:r>
      <w:r>
        <w:t xml:space="preserve"> </w:t>
      </w:r>
      <w:r>
        <w:rPr>
          <w:b/>
        </w:rPr>
        <w:t xml:space="preserve">recalcula todas las medidas</w:t>
      </w:r>
      <w:r>
        <w:t xml:space="preserve">. Marca</w:t>
      </w:r>
      <w:r>
        <w:t xml:space="preserve"> </w:t>
      </w:r>
      <w:r>
        <w:rPr>
          <w:b/>
        </w:rPr>
        <w:t xml:space="preserve">DimTiempo como tabla de fechas</w:t>
      </w:r>
      <w:r>
        <w:t xml:space="preserve"> </w:t>
      </w:r>
      <w:r>
        <w:t xml:space="preserve">para que la inteligencia de tiempo (acumulados, crecimiento) funcione. Integridad referencial: ningún ID de los hechos debe faltar en su dimensión (por eso la limpieza previa).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edidas-dax-rúbrica-vii"/>
      <w:r>
        <w:t xml:space="preserve">5. Medidas DAX (Rúbrica VII)</w:t>
      </w:r>
      <w:bookmarkEnd w:id="28"/>
    </w:p>
    <w:p>
      <w:pPr>
        <w:pStyle w:val="FirstParagraph"/>
      </w:pPr>
      <w:r>
        <w:t xml:space="preserve">Las</w:t>
      </w:r>
      <w:r>
        <w:t xml:space="preserve"> </w:t>
      </w:r>
      <w:r>
        <w:rPr>
          <w:b/>
        </w:rPr>
        <w:t xml:space="preserve">8 obligatorias</w:t>
      </w:r>
      <w:r>
        <w:t xml:space="preserve"> </w:t>
      </w:r>
      <w:r>
        <w:t xml:space="preserve">más 2 de apoyo. Copia y pega:</w:t>
      </w:r>
    </w:p>
    <w:p>
      <w:pPr>
        <w:pStyle w:val="BodyText"/>
      </w:pPr>
      <w:r>
        <w:rPr>
          <w:b/>
        </w:rPr>
        <w:t xml:space="preserve">1) Ventas Totales</w:t>
      </w:r>
    </w:p>
    <w:p>
      <w:pPr>
        <w:pStyle w:val="SourceCode"/>
      </w:pPr>
      <w:r>
        <w:rPr>
          <w:rStyle w:val="VerbatimChar"/>
        </w:rPr>
        <w:t xml:space="preserve">Ventas Totales = SUM ( FactVentas[MontoTotal] )</w:t>
      </w:r>
    </w:p>
    <w:p>
      <w:pPr>
        <w:pStyle w:val="FirstParagraph"/>
      </w:pPr>
      <w:r>
        <w:rPr>
          <w:b/>
        </w:rPr>
        <w:t xml:space="preserve">2) Cantidad de Transacciones</w:t>
      </w:r>
    </w:p>
    <w:p>
      <w:pPr>
        <w:pStyle w:val="SourceCode"/>
      </w:pPr>
      <w:r>
        <w:rPr>
          <w:rStyle w:val="VerbatimChar"/>
        </w:rPr>
        <w:t xml:space="preserve">Cantidad de Transacciones = DISTINCTCOUNT ( FactVentas[IDVenta] )</w:t>
      </w:r>
    </w:p>
    <w:p>
      <w:pPr>
        <w:pStyle w:val="FirstParagraph"/>
      </w:pPr>
      <w:r>
        <w:rPr>
          <w:b/>
        </w:rPr>
        <w:t xml:space="preserve">3) Ticket Promedio</w:t>
      </w:r>
    </w:p>
    <w:p>
      <w:pPr>
        <w:pStyle w:val="SourceCode"/>
      </w:pPr>
      <w:r>
        <w:rPr>
          <w:rStyle w:val="VerbatimChar"/>
        </w:rPr>
        <w:t xml:space="preserve">Ticket Promedio = DIVIDE ( [Ventas Totales], [Cantidad de Transacciones] )</w:t>
      </w:r>
    </w:p>
    <w:p>
      <w:pPr>
        <w:pStyle w:val="FirstParagraph"/>
      </w:pPr>
      <w:r>
        <w:rPr>
          <w:b/>
        </w:rPr>
        <w:t xml:space="preserve">4) Participación %</w:t>
      </w:r>
    </w:p>
    <w:p>
      <w:pPr>
        <w:pStyle w:val="SourceCode"/>
      </w:pPr>
      <w:r>
        <w:rPr>
          <w:rStyle w:val="VerbatimChar"/>
        </w:rPr>
        <w:t xml:space="preserve">Participacion % =</w:t>
      </w:r>
      <w:r>
        <w:br/>
      </w:r>
      <w:r>
        <w:rPr>
          <w:rStyle w:val="VerbatimChar"/>
        </w:rPr>
        <w:t xml:space="preserve">DIVIDE ( [Ventas Totales], CALCULATE ( [Ventas Totales], ALL ( DimProducto ) ) )</w:t>
      </w:r>
    </w:p>
    <w:p>
      <w:pPr>
        <w:pStyle w:val="FirstParagraph"/>
      </w:pPr>
      <w:r>
        <w:rPr>
          <w:b/>
        </w:rPr>
        <w:t xml:space="preserve">5) Ranking</w:t>
      </w:r>
    </w:p>
    <w:p>
      <w:pPr>
        <w:pStyle w:val="SourceCode"/>
      </w:pPr>
      <w:r>
        <w:rPr>
          <w:rStyle w:val="VerbatimChar"/>
        </w:rPr>
        <w:t xml:space="preserve">Ranking Producto =</w:t>
      </w:r>
      <w:r>
        <w:br/>
      </w:r>
      <w:r>
        <w:rPr>
          <w:rStyle w:val="VerbatimChar"/>
        </w:rPr>
        <w:t xml:space="preserve">RANKX ( ALL ( DimProducto[Producto] ), [Ventas Totales], , DESC )</w:t>
      </w:r>
    </w:p>
    <w:p>
      <w:pPr>
        <w:pStyle w:val="FirstParagraph"/>
      </w:pPr>
      <w:r>
        <w:rPr>
          <w:b/>
        </w:rPr>
        <w:t xml:space="preserve">6) Crecimiento %</w:t>
      </w:r>
    </w:p>
    <w:p>
      <w:pPr>
        <w:pStyle w:val="SourceCode"/>
      </w:pPr>
      <w:r>
        <w:rPr>
          <w:rStyle w:val="VerbatimChar"/>
        </w:rPr>
        <w:t xml:space="preserve">Ventas Anio Anterior =</w:t>
      </w:r>
      <w:r>
        <w:br/>
      </w:r>
      <w:r>
        <w:rPr>
          <w:rStyle w:val="VerbatimChar"/>
        </w:rPr>
        <w:t xml:space="preserve">CALCULATE ( [Ventas Totales], SAMEPERIODLASTYEAR ( DimTiempo[Fecha] ) )</w:t>
      </w:r>
      <w:r>
        <w:br/>
      </w:r>
      <w:r>
        <w:br/>
      </w:r>
      <w:r>
        <w:rPr>
          <w:rStyle w:val="VerbatimChar"/>
        </w:rPr>
        <w:t xml:space="preserve">Crecimiento % =</w:t>
      </w:r>
      <w:r>
        <w:br/>
      </w:r>
      <w:r>
        <w:rPr>
          <w:rStyle w:val="VerbatimChar"/>
        </w:rPr>
        <w:t xml:space="preserve">DIVIDE ( [Ventas Totales] - [Ventas Anio Anterior], [Ventas Anio Anterior] )</w:t>
      </w:r>
    </w:p>
    <w:p>
      <w:pPr>
        <w:pStyle w:val="FirstParagraph"/>
      </w:pPr>
      <w:r>
        <w:rPr>
          <w:b/>
        </w:rPr>
        <w:t xml:space="preserve">7) Acumulado (YTD)</w:t>
      </w:r>
    </w:p>
    <w:p>
      <w:pPr>
        <w:pStyle w:val="SourceCode"/>
      </w:pPr>
      <w:r>
        <w:rPr>
          <w:rStyle w:val="VerbatimChar"/>
        </w:rPr>
        <w:t xml:space="preserve">Ventas Acumuladas YTD = TOTALYTD ( [Ventas Totales], DimTiempo[Fecha] )</w:t>
      </w:r>
    </w:p>
    <w:p>
      <w:pPr>
        <w:pStyle w:val="FirstParagraph"/>
      </w:pPr>
      <w:r>
        <w:rPr>
          <w:b/>
        </w:rPr>
        <w:t xml:space="preserve">8) Indicador del negocio — Margen Bruto %</w:t>
      </w:r>
    </w:p>
    <w:p>
      <w:pPr>
        <w:pStyle w:val="SourceCode"/>
      </w:pPr>
      <w:r>
        <w:rPr>
          <w:rStyle w:val="VerbatimChar"/>
        </w:rPr>
        <w:t xml:space="preserve">Utilidad Bruta = [Ventas Totales] - SUM ( FactVentas[CostoTotal] )</w:t>
      </w:r>
      <w:r>
        <w:br/>
      </w:r>
      <w:r>
        <w:br/>
      </w:r>
      <w:r>
        <w:rPr>
          <w:rStyle w:val="VerbatimChar"/>
        </w:rPr>
        <w:t xml:space="preserve">Margen Bruto % = DIVIDE ( [Utilidad Bruta], [Ventas Totales] )</w:t>
      </w:r>
    </w:p>
    <w:p>
      <w:pPr>
        <w:pStyle w:val="FirstParagraph"/>
      </w:pPr>
      <w:r>
        <w:t xml:space="preserve">Apoyo:</w:t>
      </w:r>
      <w:r>
        <w:t xml:space="preserve"> </w:t>
      </w:r>
      <w:r>
        <w:rPr>
          <w:rStyle w:val="VerbatimChar"/>
        </w:rPr>
        <w:t xml:space="preserve">Unidades Vendidas = SUM(FactVentas[Cantidad])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Clientes Activos = DISTINCTCOUNT(FactVentas[IDCliente])</w:t>
      </w:r>
      <w:r>
        <w:t xml:space="preserve">.</w:t>
      </w:r>
    </w:p>
    <w:p>
      <w:pPr>
        <w:pStyle w:val="BlockText"/>
      </w:pPr>
      <w:r>
        <w:t xml:space="preserve">Ejemplo de interpretación para la sustentación (</w:t>
      </w:r>
      <w:r>
        <w:rPr>
          <w:i/>
        </w:rPr>
        <w:t xml:space="preserve">Margen Bruto %</w:t>
      </w:r>
      <w:r>
        <w:t xml:space="preserve">):</w:t>
      </w:r>
      <w:r>
        <w:t xml:space="preserve"> </w:t>
      </w:r>
      <w:r>
        <w:t xml:space="preserve">“</w:t>
      </w:r>
      <w:r>
        <w:t xml:space="preserve">mide qué proporción de cada sol vendido queda como utilidad tras el costo de producción; en ANAHUI es 55,9% global pero varía por línea, y eso guía qué producir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ashboard-ejecutivo-rúbrica-viii"/>
      <w:r>
        <w:t xml:space="preserve">6. Dashboard ejecutivo (Rúbrica VIII)</w:t>
      </w:r>
      <w:bookmarkEnd w:id="29"/>
    </w:p>
    <w:p>
      <w:pPr>
        <w:pStyle w:val="FirstParagraph"/>
      </w:pPr>
      <w:r>
        <w:rPr>
          <w:b/>
        </w:rPr>
        <w:t xml:space="preserve">Página 1 — Resumen Ejecutivo.</w:t>
      </w:r>
      <w:r>
        <w:t xml:space="preserve"> </w:t>
      </w:r>
      <w:r>
        <w:t xml:space="preserve">5 KPIs (Ventas Totales, Utilidad Bruta, Margen Bruto %, Ticket Promedio, Cantidad de Transacciones); barras de Ventas por Categoría; columnas de Ventas por Región; dona de Participación % por Tipo de Cliente; 3 segmentadores (Año, Categoría, Región).</w:t>
      </w:r>
    </w:p>
    <w:p>
      <w:pPr>
        <w:pStyle w:val="BodyText"/>
      </w:pPr>
      <w:r>
        <w:rPr>
          <w:b/>
        </w:rPr>
        <w:t xml:space="preserve">Página 2 — Análisis Comercial.</w:t>
      </w:r>
      <w:r>
        <w:t xml:space="preserve"> </w:t>
      </w:r>
      <w:r>
        <w:t xml:space="preserve">Top 10 productos (barras); Top 10 clientes (barras); ventas por categoría y por región (columnas apiladas); matriz con Producto en filas y Ventas, Unidades, Margen Bruto % y Ranking en columnas.</w:t>
      </w:r>
    </w:p>
    <w:p>
      <w:pPr>
        <w:pStyle w:val="BodyText"/>
      </w:pPr>
      <w:r>
        <w:rPr>
          <w:b/>
        </w:rPr>
        <w:t xml:space="preserve">Página 3 — Tendencias.</w:t>
      </w:r>
      <w:r>
        <w:t xml:space="preserve"> </w:t>
      </w:r>
      <w:r>
        <w:t xml:space="preserve">Líneas de Ventas por mes; área de Ventas Acumuladas YTD; columnas de Ventas por Año con Crecimiento % como etiqueta/tarjeta.</w:t>
      </w:r>
    </w:p>
    <w:p>
      <w:pPr>
        <w:pStyle w:val="BodyText"/>
      </w:pPr>
      <w:r>
        <w:rPr>
          <w:b/>
        </w:rPr>
        <w:t xml:space="preserve">Página 4 — Storytelling.</w:t>
      </w:r>
      <w:r>
        <w:t xml:space="preserve"> </w:t>
      </w:r>
      <w:r>
        <w:t xml:space="preserve">Ver sección 8: 3 hallazgos, 3 recomendaciones y conclusiones en cuadros de texto, cada uno apoyado con un visual pequeño.</w:t>
      </w:r>
    </w:p>
    <w:p>
      <w:pPr>
        <w:pStyle w:val="BlockText"/>
      </w:pPr>
      <w:r>
        <w:t xml:space="preserve">Estética: paleta sobria (2–3 colores), títulos claros, interacción cruzada activa y segmentadores en posición consistente en todas las páginas.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86542b167457bafa4ce17c62f25074c5d24da6a"/>
      <w:r>
        <w:t xml:space="preserve">7. Análisis Exploratorio de Datos — EDA (Rúbrica IX)</w:t>
      </w:r>
      <w:bookmarkEnd w:id="30"/>
    </w:p>
    <w:p>
      <w:pPr>
        <w:pStyle w:val="FirstParagraph"/>
      </w:pPr>
      <w:r>
        <w:t xml:space="preserve">Respondido con cifras reales del dataset (ene-2023 a jun-2025).</w:t>
      </w:r>
    </w:p>
    <w:p>
      <w:pPr>
        <w:pStyle w:val="BodyText"/>
      </w:pPr>
      <w:r>
        <w:rPr>
          <w:b/>
        </w:rPr>
        <w:t xml:space="preserve">¿Qué ocurrió?</w:t>
      </w:r>
      <w:r>
        <w:t xml:space="preserve"> </w:t>
      </w:r>
      <w:r>
        <w:t xml:space="preserve">ANAHUI vendió</w:t>
      </w:r>
      <w:r>
        <w:t xml:space="preserve"> </w:t>
      </w:r>
      <w:r>
        <w:rPr>
          <w:b/>
        </w:rPr>
        <w:t xml:space="preserve">S/ 1.866.467</w:t>
      </w:r>
      <w:r>
        <w:t xml:space="preserve">, con utilidad bruta de</w:t>
      </w:r>
      <w:r>
        <w:t xml:space="preserve"> </w:t>
      </w:r>
      <w:r>
        <w:rPr>
          <w:b/>
        </w:rPr>
        <w:t xml:space="preserve">S/ 1.043.455</w:t>
      </w:r>
      <w:r>
        <w:t xml:space="preserve"> </w:t>
      </w:r>
      <w:r>
        <w:t xml:space="preserve">(margen global</w:t>
      </w:r>
      <w:r>
        <w:t xml:space="preserve"> </w:t>
      </w:r>
      <w:r>
        <w:rPr>
          <w:b/>
        </w:rPr>
        <w:t xml:space="preserve">55,9%</w:t>
      </w:r>
      <w:r>
        <w:t xml:space="preserve">) y ticket promedio de</w:t>
      </w:r>
      <w:r>
        <w:t xml:space="preserve"> </w:t>
      </w:r>
      <w:r>
        <w:rPr>
          <w:b/>
        </w:rPr>
        <w:t xml:space="preserve">S/ 1.436</w:t>
      </w:r>
      <w:r>
        <w:t xml:space="preserve"> </w:t>
      </w:r>
      <w:r>
        <w:t xml:space="preserve">en 1.300 transacciones. Líneas líderes:</w:t>
      </w:r>
      <w:r>
        <w:t xml:space="preserve"> </w:t>
      </w:r>
      <w:r>
        <w:rPr>
          <w:b/>
        </w:rPr>
        <w:t xml:space="preserve">Telas (28,9%)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Prendas (27,6%)</w:t>
      </w:r>
      <w:r>
        <w:t xml:space="preserve">, seguidas de Textil Hogar (17,3%), Confección (16,9%) e Hilados (9,3%).</w:t>
      </w:r>
    </w:p>
    <w:p>
      <w:pPr>
        <w:pStyle w:val="BodyText"/>
      </w:pPr>
      <w:r>
        <w:rPr>
          <w:b/>
        </w:rPr>
        <w:t xml:space="preserve">¿Por qué ocurrió?</w:t>
      </w:r>
      <w:r>
        <w:t xml:space="preserve"> </w:t>
      </w:r>
      <w:r>
        <w:t xml:space="preserve">El liderazgo de Telas viene por volumen (venta por metro), pero es la línea de</w:t>
      </w:r>
      <w:r>
        <w:t xml:space="preserve"> </w:t>
      </w:r>
      <w:r>
        <w:rPr>
          <w:b/>
        </w:rPr>
        <w:t xml:space="preserve">menor margen (49,1%)</w:t>
      </w:r>
      <w:r>
        <w:t xml:space="preserve">. Las Prendas combinan buen volumen con el</w:t>
      </w:r>
      <w:r>
        <w:t xml:space="preserve"> </w:t>
      </w:r>
      <w:r>
        <w:rPr>
          <w:b/>
        </w:rPr>
        <w:t xml:space="preserve">margen más alto (60,2%)</w:t>
      </w:r>
      <w:r>
        <w:t xml:space="preserve">. El producto estrella es la</w:t>
      </w:r>
      <w:r>
        <w:t xml:space="preserve"> </w:t>
      </w:r>
      <w:r>
        <w:rPr>
          <w:b/>
        </w:rPr>
        <w:t xml:space="preserve">Casaca Impermeable (S/ 196.750)</w:t>
      </w:r>
      <w:r>
        <w:t xml:space="preserve">, seguida de Tela Drill y Uniforme Industrial. Los</w:t>
      </w:r>
      <w:r>
        <w:t xml:space="preserve"> </w:t>
      </w:r>
      <w:r>
        <w:rPr>
          <w:b/>
        </w:rPr>
        <w:t xml:space="preserve">mayoristas (S/ 664.365)</w:t>
      </w:r>
      <w:r>
        <w:t xml:space="preserve"> </w:t>
      </w:r>
      <w:r>
        <w:t xml:space="preserve">y minoristas concentran la venta; corporativos y exportación aportan menos volumen pero segmento premium.</w:t>
      </w:r>
    </w:p>
    <w:p>
      <w:pPr>
        <w:pStyle w:val="BodyText"/>
      </w:pPr>
      <w:r>
        <w:rPr>
          <w:b/>
        </w:rPr>
        <w:t xml:space="preserve">¿Qué tendencia existe?</w:t>
      </w:r>
      <w:r>
        <w:t xml:space="preserve"> </w:t>
      </w:r>
      <w:r>
        <w:t xml:space="preserve">Ventas crecientes:</w:t>
      </w:r>
      <w:r>
        <w:t xml:space="preserve"> </w:t>
      </w:r>
      <w:r>
        <w:rPr>
          <w:b/>
        </w:rPr>
        <w:t xml:space="preserve">S/ 612.981 (2023) → S/ 792.832 (2024), +29,3%</w:t>
      </w:r>
      <w:r>
        <w:t xml:space="preserve">. 2025 muestra S/ 460.653 pero solo cubre medio año (ene–jun). Hay</w:t>
      </w:r>
      <w:r>
        <w:t xml:space="preserve"> </w:t>
      </w:r>
      <w:r>
        <w:rPr>
          <w:b/>
        </w:rPr>
        <w:t xml:space="preserve">estacionalidad marcada</w:t>
      </w:r>
      <w:r>
        <w:t xml:space="preserve">: mes pico</w:t>
      </w:r>
      <w:r>
        <w:t xml:space="preserve"> </w:t>
      </w:r>
      <w:r>
        <w:rPr>
          <w:b/>
        </w:rPr>
        <w:t xml:space="preserve">marzo</w:t>
      </w:r>
      <w:r>
        <w:t xml:space="preserve"> </w:t>
      </w:r>
      <w:r>
        <w:t xml:space="preserve">(uniformes escolares), alza en el semestre frío (mayo–julio) por prendas de abrigo y hogar; valle en</w:t>
      </w:r>
      <w:r>
        <w:t xml:space="preserve"> </w:t>
      </w:r>
      <w:r>
        <w:rPr>
          <w:b/>
        </w:rPr>
        <w:t xml:space="preserve">agosto</w:t>
      </w:r>
      <w:r>
        <w:t xml:space="preserve">.</w:t>
      </w:r>
    </w:p>
    <w:p>
      <w:pPr>
        <w:pStyle w:val="BodyText"/>
      </w:pPr>
      <w:r>
        <w:rPr>
          <w:b/>
        </w:rPr>
        <w:t xml:space="preserve">¿Qué oportunidades identifica?</w:t>
      </w:r>
      <w:r>
        <w:t xml:space="preserve"> </w:t>
      </w:r>
      <w:r>
        <w:t xml:space="preserve">(1) Empujar</w:t>
      </w:r>
      <w:r>
        <w:t xml:space="preserve"> </w:t>
      </w:r>
      <w:r>
        <w:rPr>
          <w:b/>
        </w:rPr>
        <w:t xml:space="preserve">Prendas y Confección</w:t>
      </w:r>
      <w:r>
        <w:t xml:space="preserve"> </w:t>
      </w:r>
      <w:r>
        <w:t xml:space="preserve">(mayor margen) para rentabilizar sin depender solo del volumen de Telas. (2) La región</w:t>
      </w:r>
      <w:r>
        <w:t xml:space="preserve"> </w:t>
      </w:r>
      <w:r>
        <w:rPr>
          <w:b/>
        </w:rPr>
        <w:t xml:space="preserve">Sur (S/ 449.698)</w:t>
      </w:r>
      <w:r>
        <w:t xml:space="preserve"> </w:t>
      </w:r>
      <w:r>
        <w:t xml:space="preserve">rinde muy por debajo de Norte y Centro (~S/ 710.000 c/u): hay espacio para crecer. (3) Anticipar la campaña de marzo con producción y stock.</w:t>
      </w:r>
    </w:p>
    <w:p>
      <w:pPr>
        <w:pStyle w:val="BodyText"/>
      </w:pPr>
      <w:r>
        <w:rPr>
          <w:b/>
        </w:rPr>
        <w:t xml:space="preserve">¿Qué riesgos identifica?</w:t>
      </w:r>
      <w:r>
        <w:t xml:space="preserve"> </w:t>
      </w:r>
      <w:r>
        <w:t xml:space="preserve">(1)</w:t>
      </w:r>
      <w:r>
        <w:t xml:space="preserve"> </w:t>
      </w:r>
      <w:r>
        <w:rPr>
          <w:b/>
        </w:rPr>
        <w:t xml:space="preserve">Concentración en Telas de bajo margen</w:t>
      </w:r>
      <w:r>
        <w:t xml:space="preserve">: si sube el costo del algodón, el margen global se comprime. (2)</w:t>
      </w:r>
      <w:r>
        <w:t xml:space="preserve"> </w:t>
      </w:r>
      <w:r>
        <w:rPr>
          <w:b/>
        </w:rPr>
        <w:t xml:space="preserve">Estacionalidad</w:t>
      </w:r>
      <w:r>
        <w:t xml:space="preserve">: agosto–octubre tensionan el flujo de caja. (3)</w:t>
      </w:r>
      <w:r>
        <w:t xml:space="preserve"> </w:t>
      </w:r>
      <w:r>
        <w:rPr>
          <w:b/>
        </w:rPr>
        <w:t xml:space="preserve">Descuentos</w:t>
      </w:r>
      <w:r>
        <w:t xml:space="preserve">: el 44,8% de las ventas llevan descuento (3,5% promedio); sin control erosionan margen.</w:t>
      </w:r>
    </w:p>
    <w:p>
      <w:pPr>
        <w:pStyle w:val="BodyText"/>
      </w:pPr>
      <w:r>
        <w:rPr>
          <w:b/>
        </w:rPr>
        <w:t xml:space="preserve">¿Qué decisión recomendaría?</w:t>
      </w:r>
      <w:r>
        <w:t xml:space="preserve"> </w:t>
      </w:r>
      <w:r>
        <w:t xml:space="preserve">Reorientar el mix hacia líneas de mayor margen (Prendas/Confección), reforzar la región Sur y planificar producción por estacionalidad.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bef4656b9b1ec8f8aa3de84b76b0566e6ee0abc"/>
      <w:r>
        <w:t xml:space="preserve">8. Storytelling gerencial (Rúbrica VIII, Página 4)</w:t>
      </w:r>
      <w:bookmarkEnd w:id="31"/>
    </w:p>
    <w:p>
      <w:pPr>
        <w:pStyle w:val="FirstParagraph"/>
      </w:pPr>
      <w:r>
        <w:rPr>
          <w:b/>
        </w:rPr>
        <w:t xml:space="preserve">Hallazgo 1 — Vendemos por volumen, pero ganamos por margen.</w:t>
      </w:r>
      <w:r>
        <w:t xml:space="preserve"> </w:t>
      </w:r>
      <w:r>
        <w:t xml:space="preserve">Telas lidera ventas (28,9%) pero es la menos rentable (49,1%), mientras Prendas rinde 60,2%. Dependemos de una línea de bajo margen para sostener la facturación.</w:t>
      </w:r>
    </w:p>
    <w:p>
      <w:pPr>
        <w:pStyle w:val="BodyText"/>
      </w:pPr>
      <w:r>
        <w:rPr>
          <w:b/>
        </w:rPr>
        <w:t xml:space="preserve">Hallazgo 2 — El negocio crece y es estacional.</w:t>
      </w:r>
      <w:r>
        <w:t xml:space="preserve"> </w:t>
      </w:r>
      <w:r>
        <w:t xml:space="preserve">Las ventas subieron 29,3% de 2023 a 2024. La demanda se concentra en marzo y en el semestre frío (mayo–julio); agosto es el mes más débil.</w:t>
      </w:r>
    </w:p>
    <w:p>
      <w:pPr>
        <w:pStyle w:val="BodyText"/>
      </w:pPr>
      <w:r>
        <w:rPr>
          <w:b/>
        </w:rPr>
        <w:t xml:space="preserve">Hallazgo 3 — El Sur está subaprovechado.</w:t>
      </w:r>
      <w:r>
        <w:t xml:space="preserve"> </w:t>
      </w:r>
      <w:r>
        <w:t xml:space="preserve">Norte y Centro facturan casi el doble que el Sur (S/ 710k vs. S/ 450k), pese a ser mercados comparables.</w:t>
      </w:r>
    </w:p>
    <w:p>
      <w:pPr>
        <w:pStyle w:val="BodyText"/>
      </w:pPr>
      <w:r>
        <w:rPr>
          <w:b/>
        </w:rPr>
        <w:t xml:space="preserve">Recomendación 1.</w:t>
      </w:r>
      <w:r>
        <w:t xml:space="preserve"> </w:t>
      </w:r>
      <w:r>
        <w:t xml:space="preserve">Rebalancear el mix hacia Prendas y Confección con metas e incentivos, subiendo su participación sin abandonar Telas; objetivo: elevar el margen global de 55,9% hacia 58%.</w:t>
      </w:r>
    </w:p>
    <w:p>
      <w:pPr>
        <w:pStyle w:val="BodyText"/>
      </w:pPr>
      <w:r>
        <w:rPr>
          <w:b/>
        </w:rPr>
        <w:t xml:space="preserve">Recomendación 2.</w:t>
      </w:r>
      <w:r>
        <w:t xml:space="preserve"> </w:t>
      </w:r>
      <w:r>
        <w:t xml:space="preserve">Planificar producción y compras por estacionalidad: adelantar stock para marzo y para las líneas de abrigo de mayo–julio; usar los meses valle (ago–oct) para promociones controladas que no dañen el margen.</w:t>
      </w:r>
    </w:p>
    <w:p>
      <w:pPr>
        <w:pStyle w:val="BodyText"/>
      </w:pPr>
      <w:r>
        <w:rPr>
          <w:b/>
        </w:rPr>
        <w:t xml:space="preserve">Recomendación 3.</w:t>
      </w:r>
      <w:r>
        <w:t xml:space="preserve"> </w:t>
      </w:r>
      <w:r>
        <w:t xml:space="preserve">Lanzar un plan comercial en la región Sur (más fuerza de venta y distribuidores) con meta de cerrar la brecha frente a Norte y Centro en 12 meses.</w:t>
      </w:r>
    </w:p>
    <w:p>
      <w:pPr>
        <w:pStyle w:val="BodyText"/>
      </w:pPr>
      <w:r>
        <w:rPr>
          <w:b/>
        </w:rPr>
        <w:t xml:space="preserve">Conclusiones.</w:t>
      </w:r>
      <w:r>
        <w:t xml:space="preserve"> </w:t>
      </w:r>
      <w:r>
        <w:t xml:space="preserve">ANAHUI INDUSTRIAL crece (29,3% interanual) y es saludable (margen 55,9%), pero su rentabilidad depende de una línea de bajo margen y de picos estacionales. Las tres palancas de valor para el próximo año son:</w:t>
      </w:r>
      <w:r>
        <w:t xml:space="preserve"> </w:t>
      </w:r>
      <w:r>
        <w:rPr>
          <w:b/>
        </w:rPr>
        <w:t xml:space="preserve">mejorar el mix de producto, aprovechar la estacionalidad y desarrollar la región Sur.</w:t>
      </w:r>
      <w:r>
        <w:t xml:space="preserve"> </w:t>
      </w:r>
      <w:r>
        <w:t xml:space="preserve">Juntas, elevan el margen y estabilizan el flujo de caja.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entregables-y-sustentación-rúbrica-xxi"/>
      <w:r>
        <w:t xml:space="preserve">9. Entregables y sustentación (Rúbrica X–XI)</w:t>
      </w:r>
      <w:bookmarkEnd w:id="32"/>
    </w:p>
    <w:p>
      <w:pPr>
        <w:pStyle w:val="FirstParagraph"/>
      </w:pPr>
      <w:r>
        <w:rPr>
          <w:b/>
        </w:rPr>
        <w:t xml:space="preserve">Entregables:</w:t>
      </w:r>
      <w:r>
        <w:t xml:space="preserve"> </w:t>
      </w:r>
      <w:r>
        <w:t xml:space="preserve">archivo</w:t>
      </w:r>
      <w:r>
        <w:t xml:space="preserve"> </w:t>
      </w:r>
      <w:r>
        <w:rPr>
          <w:b/>
        </w:rPr>
        <w:t xml:space="preserve">.PBIX</w:t>
      </w:r>
      <w:r>
        <w:t xml:space="preserve"> </w:t>
      </w:r>
      <w:r>
        <w:t xml:space="preserve">(lo construyes con esta guía y el dataset);</w:t>
      </w:r>
      <w:r>
        <w:t xml:space="preserve"> </w:t>
      </w:r>
      <w:r>
        <w:rPr>
          <w:b/>
        </w:rPr>
        <w:t xml:space="preserve">dataset</w:t>
      </w:r>
      <w:r>
        <w:t xml:space="preserve"> </w:t>
      </w:r>
      <w:r>
        <w:rPr>
          <w:rStyle w:val="VerbatimChar"/>
        </w:rPr>
        <w:t xml:space="preserve">ANAHUI_Dataset.xlsx</w:t>
      </w:r>
      <w:r>
        <w:t xml:space="preserve"> </w:t>
      </w:r>
      <w:r>
        <w:t xml:space="preserve">(adjunto, más CSV por separado);</w:t>
      </w:r>
      <w:r>
        <w:t xml:space="preserve"> </w:t>
      </w:r>
      <w:r>
        <w:rPr>
          <w:b/>
        </w:rPr>
        <w:t xml:space="preserve">informe PDF</w:t>
      </w:r>
      <w:r>
        <w:t xml:space="preserve"> </w:t>
      </w:r>
      <w:r>
        <w:t xml:space="preserve">(máx. 10 págs., exportando las partes 1, 2, 4, 7 y 8);</w:t>
      </w:r>
      <w:r>
        <w:t xml:space="preserve"> </w:t>
      </w:r>
      <w:r>
        <w:rPr>
          <w:b/>
        </w:rPr>
        <w:t xml:space="preserve">presentación</w:t>
      </w:r>
      <w:r>
        <w:t xml:space="preserve">; y</w:t>
      </w:r>
      <w:r>
        <w:t xml:space="preserve"> </w:t>
      </w:r>
      <w:r>
        <w:rPr>
          <w:b/>
        </w:rPr>
        <w:t xml:space="preserve">evidencias</w:t>
      </w:r>
      <w:r>
        <w:t xml:space="preserve"> </w:t>
      </w:r>
      <w:r>
        <w:t xml:space="preserve">de Power Query (capturas del panel de pasos) y del Modelo (captura del diagrama).</w:t>
      </w:r>
    </w:p>
    <w:p>
      <w:pPr>
        <w:pStyle w:val="BodyText"/>
      </w:pPr>
      <w:r>
        <w:rPr>
          <w:b/>
        </w:rPr>
        <w:t xml:space="preserve">Sustentación (10 min, participan los 4):</w:t>
      </w:r>
      <w:r>
        <w:t xml:space="preserve"> </w:t>
      </w:r>
      <w:r>
        <w:t xml:space="preserve">repártanse las secciones (dataset+Power Query / modelo+DAX / dashboard / EDA+storytelling), pero</w:t>
      </w:r>
      <w:r>
        <w:t xml:space="preserve"> </w:t>
      </w:r>
      <w:r>
        <w:rPr>
          <w:b/>
        </w:rPr>
        <w:t xml:space="preserve">todos deben poder responder cualquier pregunta</w:t>
      </w:r>
      <w:r>
        <w:t xml:space="preserve">:</w:t>
      </w:r>
      <w:r>
        <w:t xml:space="preserve"> </w:t>
      </w:r>
      <w:r>
        <w:t xml:space="preserve">“</w:t>
      </w:r>
      <w:r>
        <w:t xml:space="preserve">¿por qué esta relación?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¿qué hace esta medida?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¿qué transformación aplicaron y por qué?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fec32305ca4ebedeabdf0a84505b1c2e06cc842"/>
      <w:r>
        <w:t xml:space="preserve">10. Checklist final (Rúbrica XII) y pesos (Rúbrica XIII)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Mínimo 5 tablas</w:t>
            </w:r>
          </w:p>
        </w:tc>
        <w:tc>
          <w:p>
            <w:pPr>
              <w:pStyle w:val="Compact"/>
              <w:jc w:val="left"/>
            </w:pPr>
            <w:r>
              <w:t xml:space="preserve">Cumplido (5)</w:t>
            </w:r>
          </w:p>
        </w:tc>
        <w:tc>
          <w:p>
            <w:pPr>
              <w:pStyle w:val="Compact"/>
              <w:jc w:val="left"/>
            </w:pPr>
            <w:r>
              <w:t xml:space="preserve">Dataset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Mínimo 1.000 registros</w:t>
            </w:r>
          </w:p>
        </w:tc>
        <w:tc>
          <w:p>
            <w:pPr>
              <w:pStyle w:val="Compact"/>
              <w:jc w:val="left"/>
            </w:pPr>
            <w:r>
              <w:t xml:space="preserve">Cumplido (1.300)</w:t>
            </w:r>
          </w:p>
        </w:tc>
        <w:tc>
          <w:p>
            <w:pPr>
              <w:pStyle w:val="Compact"/>
              <w:jc w:val="left"/>
            </w:pPr>
            <w:r>
              <w:t xml:space="preserve">Dataset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Transformaciones Power Query</w:t>
            </w:r>
          </w:p>
        </w:tc>
        <w:tc>
          <w:p>
            <w:pPr>
              <w:pStyle w:val="Compact"/>
              <w:jc w:val="left"/>
            </w:pPr>
            <w:r>
              <w:t xml:space="preserve">Por evidenciar en PBIX (sección 3)</w:t>
            </w:r>
          </w:p>
        </w:tc>
        <w:tc>
          <w:p>
            <w:pPr>
              <w:pStyle w:val="Compact"/>
              <w:jc w:val="left"/>
            </w:pPr>
            <w:r>
              <w:t xml:space="preserve">Power Query 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Modelo con relaciones y cardinalidad</w:t>
            </w:r>
          </w:p>
        </w:tc>
        <w:tc>
          <w:p>
            <w:pPr>
              <w:pStyle w:val="Compact"/>
              <w:jc w:val="left"/>
            </w:pPr>
            <w:r>
              <w:t xml:space="preserve">Definido (sección 4)</w:t>
            </w:r>
          </w:p>
        </w:tc>
        <w:tc>
          <w:p>
            <w:pPr>
              <w:pStyle w:val="Compact"/>
              <w:jc w:val="left"/>
            </w:pPr>
            <w:r>
              <w:t xml:space="preserve">Modelo 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 medidas DAX</w:t>
            </w:r>
          </w:p>
        </w:tc>
        <w:tc>
          <w:p>
            <w:pPr>
              <w:pStyle w:val="Compact"/>
              <w:jc w:val="left"/>
            </w:pPr>
            <w:r>
              <w:t xml:space="preserve">Cumplido (8 + 2 apoyo)</w:t>
            </w:r>
          </w:p>
        </w:tc>
        <w:tc>
          <w:p>
            <w:pPr>
              <w:pStyle w:val="Compact"/>
              <w:jc w:val="left"/>
            </w:pPr>
            <w:r>
              <w:t xml:space="preserve">DAX 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páginas de Dashboard</w:t>
            </w:r>
          </w:p>
        </w:tc>
        <w:tc>
          <w:p>
            <w:pPr>
              <w:pStyle w:val="Compact"/>
              <w:jc w:val="left"/>
            </w:pPr>
            <w:r>
              <w:t xml:space="preserve">Guion listo (sección 6)</w:t>
            </w:r>
          </w:p>
        </w:tc>
        <w:tc>
          <w:p>
            <w:pPr>
              <w:pStyle w:val="Compact"/>
              <w:jc w:val="left"/>
            </w:pPr>
            <w:r>
              <w:t xml:space="preserve">Dashboard 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KPIs</w:t>
            </w:r>
          </w:p>
        </w:tc>
        <w:tc>
          <w:p>
            <w:pPr>
              <w:pStyle w:val="Compact"/>
              <w:jc w:val="left"/>
            </w:pPr>
            <w:r>
              <w:t xml:space="preserve">Definidos</w:t>
            </w:r>
          </w:p>
        </w:tc>
        <w:tc>
          <w:p>
            <w:pPr>
              <w:pStyle w:val="Compact"/>
              <w:jc w:val="left"/>
            </w:pPr>
            <w:r>
              <w:t xml:space="preserve">Dashboard 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segmentadores</w:t>
            </w:r>
          </w:p>
        </w:tc>
        <w:tc>
          <w:p>
            <w:pPr>
              <w:pStyle w:val="Compact"/>
              <w:jc w:val="left"/>
            </w:pPr>
            <w:r>
              <w:t xml:space="preserve">Definidos (Año, Categoría, Región)</w:t>
            </w:r>
          </w:p>
        </w:tc>
        <w:tc>
          <w:p>
            <w:pPr>
              <w:pStyle w:val="Compact"/>
              <w:jc w:val="left"/>
            </w:pPr>
            <w:r>
              <w:t xml:space="preserve">Dashboard 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EDA (6 preguntas)</w:t>
            </w:r>
          </w:p>
        </w:tc>
        <w:tc>
          <w:p>
            <w:pPr>
              <w:pStyle w:val="Compact"/>
              <w:jc w:val="left"/>
            </w:pPr>
            <w:r>
              <w:t xml:space="preserve">Cumplido (sección 7)</w:t>
            </w:r>
          </w:p>
        </w:tc>
        <w:tc>
          <w:p>
            <w:pPr>
              <w:pStyle w:val="Compact"/>
              <w:jc w:val="left"/>
            </w:pPr>
            <w:r>
              <w:t xml:space="preserve">EDA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Storytelling</w:t>
            </w:r>
          </w:p>
        </w:tc>
        <w:tc>
          <w:p>
            <w:pPr>
              <w:pStyle w:val="Compact"/>
              <w:jc w:val="left"/>
            </w:pPr>
            <w:r>
              <w:t xml:space="preserve">Cumplido (sección 8)</w:t>
            </w:r>
          </w:p>
        </w:tc>
        <w:tc>
          <w:p>
            <w:pPr>
              <w:pStyle w:val="Compact"/>
              <w:jc w:val="left"/>
            </w:pPr>
            <w:r>
              <w:t xml:space="preserve">Storytelling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Recomendaciones gerenciales</w:t>
            </w:r>
          </w:p>
        </w:tc>
        <w:tc>
          <w:p>
            <w:pPr>
              <w:pStyle w:val="Compact"/>
              <w:jc w:val="left"/>
            </w:pPr>
            <w:r>
              <w:t xml:space="preserve">Cumplido (3)</w:t>
            </w:r>
          </w:p>
        </w:tc>
        <w:tc>
          <w:p>
            <w:pPr>
              <w:pStyle w:val="Compact"/>
              <w:jc w:val="left"/>
            </w:pPr>
            <w:r>
              <w:t xml:space="preserve">Storytelling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Dominio en sustentación</w:t>
            </w:r>
          </w:p>
        </w:tc>
        <w:tc>
          <w:p>
            <w:pPr>
              <w:pStyle w:val="Compact"/>
              <w:jc w:val="left"/>
            </w:pPr>
            <w:r>
              <w:t xml:space="preserve">Preparar (sección 9)</w:t>
            </w:r>
          </w:p>
        </w:tc>
        <w:tc>
          <w:p>
            <w:pPr>
              <w:pStyle w:val="Compact"/>
              <w:jc w:val="left"/>
            </w:pPr>
            <w:r>
              <w:t xml:space="preserve">Sustentación 5%</w:t>
            </w:r>
          </w:p>
        </w:tc>
      </w:tr>
    </w:tbl>
    <w:p>
      <w:pPr>
        <w:pStyle w:val="BlockText"/>
      </w:pPr>
      <w:r>
        <w:t xml:space="preserve">Lo único que queda de tu lado es</w:t>
      </w:r>
      <w:r>
        <w:t xml:space="preserve"> </w:t>
      </w:r>
      <w:r>
        <w:rPr>
          <w:b/>
        </w:rPr>
        <w:t xml:space="preserve">construir el .PBIX en Power BI</w:t>
      </w:r>
      <w:r>
        <w:t xml:space="preserve"> </w:t>
      </w:r>
      <w:r>
        <w:t xml:space="preserve">siguiendo las secciones 3 a 6 e importando</w:t>
      </w:r>
      <w:r>
        <w:t xml:space="preserve"> </w:t>
      </w:r>
      <w:r>
        <w:rPr>
          <w:rStyle w:val="VerbatimChar"/>
        </w:rPr>
        <w:t xml:space="preserve">ANAHUI_Dataset.xlsx</w:t>
      </w:r>
      <w:r>
        <w:t xml:space="preserve">. Todo el contenido analítico (datos, DAX, EDA, storytelling) ya está resuelto en esta guía.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2026-07-25T15:53:19Z</dcterms:created>
  <dcterms:modified xsi:type="dcterms:W3CDTF">2026-07-25T15:53:19Z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