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26A4" w14:textId="4CBA63B8" w:rsidR="008D3620" w:rsidRDefault="00D45F08" w:rsidP="00D45F08">
      <w:r>
        <w:t>&lt;Logo&gt;</w:t>
      </w:r>
    </w:p>
    <w:p w14:paraId="306C7551" w14:textId="77777777" w:rsidR="00D45F08" w:rsidRDefault="00D45F08" w:rsidP="00D45F08"/>
    <w:p w14:paraId="06EC3A4C" w14:textId="77777777" w:rsidR="00D45F08" w:rsidRDefault="00D45F08" w:rsidP="00D45F08"/>
    <w:p w14:paraId="2520E4AA" w14:textId="77777777" w:rsidR="00D45F08" w:rsidRDefault="00D45F08" w:rsidP="00D45F08"/>
    <w:p w14:paraId="5C6071CE" w14:textId="1ECA94B8" w:rsidR="009B0DCA" w:rsidRDefault="008D3620" w:rsidP="008D3620">
      <w:pPr>
        <w:jc w:val="center"/>
        <w:rPr>
          <w:sz w:val="96"/>
          <w:szCs w:val="72"/>
        </w:rPr>
      </w:pPr>
      <w:r w:rsidRPr="008D3620">
        <w:rPr>
          <w:sz w:val="96"/>
          <w:szCs w:val="72"/>
        </w:rPr>
        <w:t>&lt;Organization Name&gt;</w:t>
      </w:r>
    </w:p>
    <w:p w14:paraId="67208741" w14:textId="77777777" w:rsidR="008D3620" w:rsidRDefault="008D3620" w:rsidP="008D3620"/>
    <w:p w14:paraId="2D7BE7E2" w14:textId="38B60790" w:rsidR="008D3620" w:rsidRDefault="00456B9D" w:rsidP="008D3620">
      <w:pPr>
        <w:jc w:val="center"/>
        <w:rPr>
          <w:b/>
          <w:bCs/>
          <w:sz w:val="48"/>
          <w:szCs w:val="44"/>
        </w:rPr>
      </w:pPr>
      <w:r w:rsidRPr="00456B9D">
        <w:rPr>
          <w:b/>
          <w:bCs/>
          <w:sz w:val="48"/>
          <w:szCs w:val="44"/>
        </w:rPr>
        <w:t>Return on Investment (ROI) Analysis for ISO 27001:2022 Implementation</w:t>
      </w:r>
    </w:p>
    <w:p w14:paraId="6F0218F1" w14:textId="77777777" w:rsidR="008D3620" w:rsidRDefault="008D3620" w:rsidP="008D3620"/>
    <w:p w14:paraId="2F1AFD02" w14:textId="77777777" w:rsidR="008D3620" w:rsidRPr="008D3620" w:rsidRDefault="008D3620" w:rsidP="008D3620"/>
    <w:p w14:paraId="09E99481" w14:textId="77777777" w:rsidR="008D3620" w:rsidRPr="008D3620" w:rsidRDefault="008D3620" w:rsidP="008D3620"/>
    <w:p w14:paraId="5E620E18" w14:textId="77777777" w:rsidR="008D3620" w:rsidRPr="008D3620" w:rsidRDefault="008D3620" w:rsidP="008D3620"/>
    <w:p w14:paraId="546E6FB2" w14:textId="77777777" w:rsidR="008D3620" w:rsidRPr="008D3620" w:rsidRDefault="008D3620" w:rsidP="008D3620"/>
    <w:p w14:paraId="7AB473C6" w14:textId="77777777" w:rsidR="008D3620" w:rsidRPr="008D3620" w:rsidRDefault="008D3620" w:rsidP="008D3620"/>
    <w:p w14:paraId="2A0F0F5D" w14:textId="77777777" w:rsidR="008D3620" w:rsidRPr="008D3620" w:rsidRDefault="008D3620" w:rsidP="008D3620"/>
    <w:p w14:paraId="3EA20594" w14:textId="77777777" w:rsidR="008D3620" w:rsidRPr="008D3620" w:rsidRDefault="008D3620" w:rsidP="008D3620"/>
    <w:tbl>
      <w:tblPr>
        <w:tblStyle w:val="TableGrid"/>
        <w:tblpPr w:leftFromText="180" w:rightFromText="180" w:vertAnchor="text" w:horzAnchor="margin" w:tblpY="193"/>
        <w:tblW w:w="0" w:type="auto"/>
        <w:tblLook w:val="04A0" w:firstRow="1" w:lastRow="0" w:firstColumn="1" w:lastColumn="0" w:noHBand="0" w:noVBand="1"/>
      </w:tblPr>
      <w:tblGrid>
        <w:gridCol w:w="4508"/>
        <w:gridCol w:w="4508"/>
      </w:tblGrid>
      <w:tr w:rsidR="003B5743" w14:paraId="0852020E" w14:textId="77777777" w:rsidTr="003B5743">
        <w:trPr>
          <w:trHeight w:val="440"/>
        </w:trPr>
        <w:tc>
          <w:tcPr>
            <w:tcW w:w="4508" w:type="dxa"/>
            <w:vAlign w:val="center"/>
          </w:tcPr>
          <w:p w14:paraId="381C03BC" w14:textId="535B658E" w:rsidR="003B5743" w:rsidRPr="008D3620" w:rsidRDefault="00456B9D" w:rsidP="003B5743">
            <w:pPr>
              <w:rPr>
                <w:b/>
                <w:bCs/>
              </w:rPr>
            </w:pPr>
            <w:r w:rsidRPr="00456B9D">
              <w:rPr>
                <w:b/>
                <w:bCs/>
              </w:rPr>
              <w:t>Prepared for</w:t>
            </w:r>
          </w:p>
        </w:tc>
        <w:tc>
          <w:tcPr>
            <w:tcW w:w="4508" w:type="dxa"/>
            <w:vAlign w:val="center"/>
          </w:tcPr>
          <w:p w14:paraId="25C8181E" w14:textId="5F5742ED" w:rsidR="003B5743" w:rsidRDefault="00456B9D" w:rsidP="003B5743">
            <w:r>
              <w:t>&lt;Organization name&gt;</w:t>
            </w:r>
          </w:p>
        </w:tc>
      </w:tr>
      <w:tr w:rsidR="00456B9D" w14:paraId="3E34CF8D" w14:textId="77777777" w:rsidTr="003B5743">
        <w:trPr>
          <w:trHeight w:val="440"/>
        </w:trPr>
        <w:tc>
          <w:tcPr>
            <w:tcW w:w="4508" w:type="dxa"/>
            <w:vMerge w:val="restart"/>
            <w:vAlign w:val="center"/>
          </w:tcPr>
          <w:p w14:paraId="4D258DAE" w14:textId="64D3B917" w:rsidR="00456B9D" w:rsidRPr="008D3620" w:rsidRDefault="00456B9D" w:rsidP="003B5743">
            <w:pPr>
              <w:rPr>
                <w:b/>
                <w:bCs/>
              </w:rPr>
            </w:pPr>
            <w:r w:rsidRPr="00456B9D">
              <w:rPr>
                <w:b/>
                <w:bCs/>
              </w:rPr>
              <w:t>Prepared by</w:t>
            </w:r>
          </w:p>
        </w:tc>
        <w:tc>
          <w:tcPr>
            <w:tcW w:w="4508" w:type="dxa"/>
            <w:vAlign w:val="center"/>
          </w:tcPr>
          <w:p w14:paraId="34B927B3" w14:textId="772334D3" w:rsidR="00456B9D" w:rsidRPr="008D3620" w:rsidRDefault="00456B9D" w:rsidP="003B5743">
            <w:pPr>
              <w:rPr>
                <w:color w:val="595959" w:themeColor="text1" w:themeTint="A6"/>
              </w:rPr>
            </w:pPr>
            <w:r w:rsidRPr="008D3620">
              <w:rPr>
                <w:color w:val="595959" w:themeColor="text1" w:themeTint="A6"/>
              </w:rPr>
              <w:t>&lt;</w:t>
            </w:r>
            <w:r>
              <w:rPr>
                <w:color w:val="595959" w:themeColor="text1" w:themeTint="A6"/>
              </w:rPr>
              <w:t>Name</w:t>
            </w:r>
            <w:r w:rsidRPr="008D3620">
              <w:rPr>
                <w:color w:val="595959" w:themeColor="text1" w:themeTint="A6"/>
              </w:rPr>
              <w:t>&gt;</w:t>
            </w:r>
          </w:p>
        </w:tc>
      </w:tr>
      <w:tr w:rsidR="00456B9D" w14:paraId="3BBE1C6E" w14:textId="77777777" w:rsidTr="003B5743">
        <w:trPr>
          <w:trHeight w:val="451"/>
        </w:trPr>
        <w:tc>
          <w:tcPr>
            <w:tcW w:w="4508" w:type="dxa"/>
            <w:vMerge/>
            <w:vAlign w:val="center"/>
          </w:tcPr>
          <w:p w14:paraId="0B0B1FAE" w14:textId="689124B7" w:rsidR="00456B9D" w:rsidRPr="008D3620" w:rsidRDefault="00456B9D" w:rsidP="003B5743">
            <w:pPr>
              <w:rPr>
                <w:b/>
                <w:bCs/>
              </w:rPr>
            </w:pPr>
          </w:p>
        </w:tc>
        <w:tc>
          <w:tcPr>
            <w:tcW w:w="4508" w:type="dxa"/>
            <w:vAlign w:val="center"/>
          </w:tcPr>
          <w:p w14:paraId="44CB0651" w14:textId="559F3521" w:rsidR="00456B9D" w:rsidRPr="008D3620" w:rsidRDefault="00456B9D" w:rsidP="003B5743">
            <w:pPr>
              <w:rPr>
                <w:color w:val="595959" w:themeColor="text1" w:themeTint="A6"/>
              </w:rPr>
            </w:pPr>
            <w:r>
              <w:rPr>
                <w:color w:val="595959" w:themeColor="text1" w:themeTint="A6"/>
              </w:rPr>
              <w:t>&lt;Title&gt;</w:t>
            </w:r>
          </w:p>
        </w:tc>
      </w:tr>
      <w:tr w:rsidR="003B5743" w14:paraId="5960B715" w14:textId="77777777" w:rsidTr="003B5743">
        <w:trPr>
          <w:trHeight w:val="451"/>
        </w:trPr>
        <w:tc>
          <w:tcPr>
            <w:tcW w:w="4508" w:type="dxa"/>
            <w:vAlign w:val="center"/>
          </w:tcPr>
          <w:p w14:paraId="34176A4E" w14:textId="39435E9B" w:rsidR="003B5743" w:rsidRPr="008D3620" w:rsidRDefault="003B5743" w:rsidP="003B5743">
            <w:pPr>
              <w:rPr>
                <w:b/>
                <w:bCs/>
              </w:rPr>
            </w:pPr>
            <w:r w:rsidRPr="003B5743">
              <w:rPr>
                <w:b/>
                <w:bCs/>
              </w:rPr>
              <w:t xml:space="preserve">Date </w:t>
            </w:r>
          </w:p>
        </w:tc>
        <w:tc>
          <w:tcPr>
            <w:tcW w:w="4508" w:type="dxa"/>
            <w:vAlign w:val="center"/>
          </w:tcPr>
          <w:p w14:paraId="0155F33A" w14:textId="670EAE58" w:rsidR="003B5743" w:rsidRPr="008D3620" w:rsidRDefault="003B5743" w:rsidP="003B5743">
            <w:pPr>
              <w:rPr>
                <w:color w:val="595959" w:themeColor="text1" w:themeTint="A6"/>
              </w:rPr>
            </w:pPr>
            <w:r>
              <w:rPr>
                <w:color w:val="595959" w:themeColor="text1" w:themeTint="A6"/>
              </w:rPr>
              <w:t>&lt;</w:t>
            </w:r>
            <w:r w:rsidRPr="003B5743">
              <w:rPr>
                <w:color w:val="595959" w:themeColor="text1" w:themeTint="A6"/>
              </w:rPr>
              <w:t>Date</w:t>
            </w:r>
            <w:r>
              <w:rPr>
                <w:color w:val="595959" w:themeColor="text1" w:themeTint="A6"/>
              </w:rPr>
              <w:t>&gt;</w:t>
            </w:r>
          </w:p>
        </w:tc>
      </w:tr>
    </w:tbl>
    <w:p w14:paraId="2FE582F2" w14:textId="77777777" w:rsidR="008D3620" w:rsidRPr="008D3620" w:rsidRDefault="008D3620" w:rsidP="008D3620"/>
    <w:p w14:paraId="513A1040" w14:textId="77777777" w:rsidR="008D3620" w:rsidRDefault="008D3620" w:rsidP="008D3620"/>
    <w:p w14:paraId="79DF4575" w14:textId="77777777" w:rsidR="003B5743" w:rsidRPr="008D3620" w:rsidRDefault="003B5743" w:rsidP="008D3620"/>
    <w:p w14:paraId="5ACE67C0" w14:textId="77777777" w:rsidR="008D3620" w:rsidRPr="008D3620" w:rsidRDefault="008D3620" w:rsidP="008D3620"/>
    <w:p w14:paraId="659681FD" w14:textId="77777777" w:rsidR="008D3620" w:rsidRPr="008D3620" w:rsidRDefault="008D3620" w:rsidP="008D3620"/>
    <w:p w14:paraId="07F5973B" w14:textId="77777777" w:rsidR="00624D11" w:rsidRDefault="00624D11">
      <w:pPr>
        <w:sectPr w:rsidR="00624D11" w:rsidSect="00624D11">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imes New Roman" w:eastAsiaTheme="minorHAnsi" w:hAnsi="Times New Roman" w:cstheme="minorBidi"/>
          <w:color w:val="auto"/>
          <w:kern w:val="2"/>
          <w:sz w:val="24"/>
          <w:szCs w:val="22"/>
          <w14:ligatures w14:val="standardContextual"/>
        </w:rPr>
        <w:id w:val="1177165007"/>
        <w:docPartObj>
          <w:docPartGallery w:val="Table of Contents"/>
          <w:docPartUnique/>
        </w:docPartObj>
      </w:sdtPr>
      <w:sdtEndPr>
        <w:rPr>
          <w:b/>
          <w:bCs/>
          <w:noProof/>
        </w:rPr>
      </w:sdtEndPr>
      <w:sdtContent>
        <w:p w14:paraId="7959DF10" w14:textId="52D72790" w:rsidR="00624D11" w:rsidRPr="00624D11" w:rsidRDefault="00624D11">
          <w:pPr>
            <w:pStyle w:val="TOCHeading"/>
            <w:rPr>
              <w:rFonts w:ascii="Times New Roman" w:hAnsi="Times New Roman" w:cs="Times New Roman"/>
              <w:b/>
              <w:bCs/>
              <w:color w:val="000000" w:themeColor="text1"/>
              <w:sz w:val="28"/>
              <w:szCs w:val="28"/>
            </w:rPr>
          </w:pPr>
          <w:r w:rsidRPr="00624D11">
            <w:rPr>
              <w:rFonts w:ascii="Times New Roman" w:hAnsi="Times New Roman" w:cs="Times New Roman"/>
              <w:b/>
              <w:bCs/>
              <w:color w:val="000000" w:themeColor="text1"/>
              <w:sz w:val="28"/>
              <w:szCs w:val="28"/>
            </w:rPr>
            <w:t>Table of Contents</w:t>
          </w:r>
        </w:p>
        <w:p w14:paraId="183410B8" w14:textId="77777777" w:rsidR="00624D11" w:rsidRPr="007B3EBE" w:rsidRDefault="00624D11">
          <w:pPr>
            <w:pStyle w:val="TOC1"/>
            <w:tabs>
              <w:tab w:val="right" w:leader="dot" w:pos="9016"/>
            </w:tabs>
            <w:rPr>
              <w:rFonts w:ascii="Times New Roman" w:hAnsi="Times New Roman"/>
            </w:rPr>
          </w:pPr>
        </w:p>
        <w:p w14:paraId="42F05D36" w14:textId="26EFBC2C" w:rsidR="00456B9D" w:rsidRPr="00456B9D" w:rsidRDefault="00624D11">
          <w:pPr>
            <w:pStyle w:val="TOC1"/>
            <w:tabs>
              <w:tab w:val="right" w:leader="dot" w:pos="9016"/>
            </w:tabs>
            <w:rPr>
              <w:rFonts w:ascii="Times New Roman" w:hAnsi="Times New Roman"/>
              <w:noProof/>
              <w:kern w:val="2"/>
              <w:sz w:val="24"/>
              <w:szCs w:val="24"/>
              <w14:ligatures w14:val="standardContextual"/>
            </w:rPr>
          </w:pPr>
          <w:r w:rsidRPr="007B3EBE">
            <w:rPr>
              <w:rFonts w:ascii="Times New Roman" w:hAnsi="Times New Roman"/>
            </w:rPr>
            <w:fldChar w:fldCharType="begin"/>
          </w:r>
          <w:r w:rsidRPr="007B3EBE">
            <w:rPr>
              <w:rFonts w:ascii="Times New Roman" w:hAnsi="Times New Roman"/>
            </w:rPr>
            <w:instrText xml:space="preserve"> TOC \o "1-3" \h \z \u </w:instrText>
          </w:r>
          <w:r w:rsidRPr="007B3EBE">
            <w:rPr>
              <w:rFonts w:ascii="Times New Roman" w:hAnsi="Times New Roman"/>
            </w:rPr>
            <w:fldChar w:fldCharType="separate"/>
          </w:r>
          <w:hyperlink w:anchor="_Toc179832360" w:history="1">
            <w:r w:rsidR="00456B9D" w:rsidRPr="00456B9D">
              <w:rPr>
                <w:rStyle w:val="Hyperlink"/>
                <w:rFonts w:ascii="Times New Roman" w:hAnsi="Times New Roman"/>
                <w:noProof/>
              </w:rPr>
              <w:t>Purpose</w:t>
            </w:r>
            <w:r w:rsidR="00456B9D" w:rsidRPr="00456B9D">
              <w:rPr>
                <w:rFonts w:ascii="Times New Roman" w:hAnsi="Times New Roman"/>
                <w:noProof/>
                <w:webHidden/>
              </w:rPr>
              <w:tab/>
            </w:r>
            <w:r w:rsidR="00456B9D" w:rsidRPr="00456B9D">
              <w:rPr>
                <w:rFonts w:ascii="Times New Roman" w:hAnsi="Times New Roman"/>
                <w:noProof/>
                <w:webHidden/>
              </w:rPr>
              <w:fldChar w:fldCharType="begin"/>
            </w:r>
            <w:r w:rsidR="00456B9D" w:rsidRPr="00456B9D">
              <w:rPr>
                <w:rFonts w:ascii="Times New Roman" w:hAnsi="Times New Roman"/>
                <w:noProof/>
                <w:webHidden/>
              </w:rPr>
              <w:instrText xml:space="preserve"> PAGEREF _Toc179832360 \h </w:instrText>
            </w:r>
            <w:r w:rsidR="00456B9D" w:rsidRPr="00456B9D">
              <w:rPr>
                <w:rFonts w:ascii="Times New Roman" w:hAnsi="Times New Roman"/>
                <w:noProof/>
                <w:webHidden/>
              </w:rPr>
            </w:r>
            <w:r w:rsidR="00456B9D" w:rsidRPr="00456B9D">
              <w:rPr>
                <w:rFonts w:ascii="Times New Roman" w:hAnsi="Times New Roman"/>
                <w:noProof/>
                <w:webHidden/>
              </w:rPr>
              <w:fldChar w:fldCharType="separate"/>
            </w:r>
            <w:r w:rsidR="00456B9D" w:rsidRPr="00456B9D">
              <w:rPr>
                <w:rFonts w:ascii="Times New Roman" w:hAnsi="Times New Roman"/>
                <w:noProof/>
                <w:webHidden/>
              </w:rPr>
              <w:t>1</w:t>
            </w:r>
            <w:r w:rsidR="00456B9D" w:rsidRPr="00456B9D">
              <w:rPr>
                <w:rFonts w:ascii="Times New Roman" w:hAnsi="Times New Roman"/>
                <w:noProof/>
                <w:webHidden/>
              </w:rPr>
              <w:fldChar w:fldCharType="end"/>
            </w:r>
          </w:hyperlink>
        </w:p>
        <w:p w14:paraId="1A34CA45" w14:textId="7B2360FD" w:rsidR="00456B9D" w:rsidRPr="00456B9D" w:rsidRDefault="00456B9D">
          <w:pPr>
            <w:pStyle w:val="TOC1"/>
            <w:tabs>
              <w:tab w:val="right" w:leader="dot" w:pos="9016"/>
            </w:tabs>
            <w:rPr>
              <w:rFonts w:ascii="Times New Roman" w:hAnsi="Times New Roman"/>
              <w:noProof/>
              <w:kern w:val="2"/>
              <w:sz w:val="24"/>
              <w:szCs w:val="24"/>
              <w14:ligatures w14:val="standardContextual"/>
            </w:rPr>
          </w:pPr>
          <w:hyperlink w:anchor="_Toc179832361" w:history="1">
            <w:r w:rsidRPr="00456B9D">
              <w:rPr>
                <w:rStyle w:val="Hyperlink"/>
                <w:rFonts w:ascii="Times New Roman" w:hAnsi="Times New Roman"/>
                <w:noProof/>
              </w:rPr>
              <w:t>Scope</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_Toc179832361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1</w:t>
            </w:r>
            <w:r w:rsidRPr="00456B9D">
              <w:rPr>
                <w:rFonts w:ascii="Times New Roman" w:hAnsi="Times New Roman"/>
                <w:noProof/>
                <w:webHidden/>
              </w:rPr>
              <w:fldChar w:fldCharType="end"/>
            </w:r>
          </w:hyperlink>
        </w:p>
        <w:p w14:paraId="764070E3" w14:textId="119E3DAE" w:rsidR="00456B9D" w:rsidRPr="00456B9D" w:rsidRDefault="00456B9D">
          <w:pPr>
            <w:pStyle w:val="TOC1"/>
            <w:tabs>
              <w:tab w:val="right" w:leader="dot" w:pos="9016"/>
            </w:tabs>
            <w:rPr>
              <w:rFonts w:ascii="Times New Roman" w:hAnsi="Times New Roman"/>
              <w:noProof/>
              <w:kern w:val="2"/>
              <w:sz w:val="24"/>
              <w:szCs w:val="24"/>
              <w14:ligatures w14:val="standardContextual"/>
            </w:rPr>
          </w:pPr>
          <w:hyperlink w:anchor="_Toc179832362" w:history="1">
            <w:r w:rsidRPr="00456B9D">
              <w:rPr>
                <w:rStyle w:val="Hyperlink"/>
                <w:rFonts w:ascii="Times New Roman" w:hAnsi="Times New Roman"/>
                <w:noProof/>
              </w:rPr>
              <w:t>ISO 27001:2022 Implementation Costs</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_Toc179832362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2</w:t>
            </w:r>
            <w:r w:rsidRPr="00456B9D">
              <w:rPr>
                <w:rFonts w:ascii="Times New Roman" w:hAnsi="Times New Roman"/>
                <w:noProof/>
                <w:webHidden/>
              </w:rPr>
              <w:fldChar w:fldCharType="end"/>
            </w:r>
          </w:hyperlink>
        </w:p>
        <w:p w14:paraId="21379AAB" w14:textId="7070A979" w:rsidR="00456B9D" w:rsidRPr="00456B9D" w:rsidRDefault="00456B9D">
          <w:pPr>
            <w:pStyle w:val="TOC2"/>
            <w:tabs>
              <w:tab w:val="right" w:leader="dot" w:pos="9016"/>
            </w:tabs>
            <w:rPr>
              <w:rFonts w:ascii="Times New Roman" w:hAnsi="Times New Roman"/>
              <w:noProof/>
              <w:kern w:val="2"/>
              <w:sz w:val="24"/>
              <w:szCs w:val="24"/>
              <w14:ligatures w14:val="standardContextual"/>
            </w:rPr>
          </w:pPr>
          <w:hyperlink w:anchor="_Toc179832363" w:history="1">
            <w:r w:rsidRPr="00456B9D">
              <w:rPr>
                <w:rStyle w:val="Hyperlink"/>
                <w:rFonts w:ascii="Times New Roman" w:hAnsi="Times New Roman"/>
                <w:noProof/>
              </w:rPr>
              <w:t>Initial Costs</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_Toc179832363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2</w:t>
            </w:r>
            <w:r w:rsidRPr="00456B9D">
              <w:rPr>
                <w:rFonts w:ascii="Times New Roman" w:hAnsi="Times New Roman"/>
                <w:noProof/>
                <w:webHidden/>
              </w:rPr>
              <w:fldChar w:fldCharType="end"/>
            </w:r>
          </w:hyperlink>
        </w:p>
        <w:p w14:paraId="6D3562AB" w14:textId="3DA54BA7" w:rsidR="00456B9D" w:rsidRPr="00456B9D" w:rsidRDefault="00456B9D">
          <w:pPr>
            <w:pStyle w:val="TOC2"/>
            <w:tabs>
              <w:tab w:val="right" w:leader="dot" w:pos="9016"/>
            </w:tabs>
            <w:rPr>
              <w:rFonts w:ascii="Times New Roman" w:hAnsi="Times New Roman"/>
              <w:noProof/>
              <w:kern w:val="2"/>
              <w:sz w:val="24"/>
              <w:szCs w:val="24"/>
              <w14:ligatures w14:val="standardContextual"/>
            </w:rPr>
          </w:pPr>
          <w:hyperlink w:anchor="_Toc179832364" w:history="1">
            <w:r w:rsidRPr="00456B9D">
              <w:rPr>
                <w:rStyle w:val="Hyperlink"/>
                <w:rFonts w:ascii="Times New Roman" w:hAnsi="Times New Roman"/>
                <w:noProof/>
              </w:rPr>
              <w:t>Ongoing Costs</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_Toc179832364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2</w:t>
            </w:r>
            <w:r w:rsidRPr="00456B9D">
              <w:rPr>
                <w:rFonts w:ascii="Times New Roman" w:hAnsi="Times New Roman"/>
                <w:noProof/>
                <w:webHidden/>
              </w:rPr>
              <w:fldChar w:fldCharType="end"/>
            </w:r>
          </w:hyperlink>
        </w:p>
        <w:p w14:paraId="34171E14" w14:textId="0716CD3C" w:rsidR="00456B9D" w:rsidRPr="00456B9D" w:rsidRDefault="00456B9D">
          <w:pPr>
            <w:pStyle w:val="TOC1"/>
            <w:tabs>
              <w:tab w:val="right" w:leader="dot" w:pos="9016"/>
            </w:tabs>
            <w:rPr>
              <w:rFonts w:ascii="Times New Roman" w:hAnsi="Times New Roman"/>
              <w:noProof/>
              <w:kern w:val="2"/>
              <w:sz w:val="24"/>
              <w:szCs w:val="24"/>
              <w14:ligatures w14:val="standardContextual"/>
            </w:rPr>
          </w:pPr>
          <w:hyperlink w:anchor="_Toc179832365" w:history="1">
            <w:r w:rsidRPr="00456B9D">
              <w:rPr>
                <w:rStyle w:val="Hyperlink"/>
                <w:rFonts w:ascii="Times New Roman" w:hAnsi="Times New Roman"/>
                <w:noProof/>
              </w:rPr>
              <w:t>ISO 27001:2022 Benefits</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_Toc179832365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3</w:t>
            </w:r>
            <w:r w:rsidRPr="00456B9D">
              <w:rPr>
                <w:rFonts w:ascii="Times New Roman" w:hAnsi="Times New Roman"/>
                <w:noProof/>
                <w:webHidden/>
              </w:rPr>
              <w:fldChar w:fldCharType="end"/>
            </w:r>
          </w:hyperlink>
        </w:p>
        <w:p w14:paraId="75E9A4BA" w14:textId="59289F14" w:rsidR="00456B9D" w:rsidRPr="00456B9D" w:rsidRDefault="00456B9D">
          <w:pPr>
            <w:pStyle w:val="TOC2"/>
            <w:tabs>
              <w:tab w:val="right" w:leader="dot" w:pos="9016"/>
            </w:tabs>
            <w:rPr>
              <w:rFonts w:ascii="Times New Roman" w:hAnsi="Times New Roman"/>
              <w:noProof/>
              <w:kern w:val="2"/>
              <w:sz w:val="24"/>
              <w:szCs w:val="24"/>
              <w14:ligatures w14:val="standardContextual"/>
            </w:rPr>
          </w:pPr>
          <w:hyperlink w:anchor="_Toc179832366" w:history="1">
            <w:r w:rsidRPr="00456B9D">
              <w:rPr>
                <w:rStyle w:val="Hyperlink"/>
                <w:rFonts w:ascii="Times New Roman" w:hAnsi="Times New Roman"/>
                <w:noProof/>
              </w:rPr>
              <w:t>Tangible Financial Benefits</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_Toc179832366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3</w:t>
            </w:r>
            <w:r w:rsidRPr="00456B9D">
              <w:rPr>
                <w:rFonts w:ascii="Times New Roman" w:hAnsi="Times New Roman"/>
                <w:noProof/>
                <w:webHidden/>
              </w:rPr>
              <w:fldChar w:fldCharType="end"/>
            </w:r>
          </w:hyperlink>
        </w:p>
        <w:p w14:paraId="1F616E01" w14:textId="16684C7E" w:rsidR="00456B9D" w:rsidRPr="00456B9D" w:rsidRDefault="00456B9D">
          <w:pPr>
            <w:pStyle w:val="TOC2"/>
            <w:tabs>
              <w:tab w:val="right" w:leader="dot" w:pos="9016"/>
            </w:tabs>
            <w:rPr>
              <w:rFonts w:ascii="Times New Roman" w:hAnsi="Times New Roman"/>
              <w:noProof/>
              <w:kern w:val="2"/>
              <w:sz w:val="24"/>
              <w:szCs w:val="24"/>
              <w14:ligatures w14:val="standardContextual"/>
            </w:rPr>
          </w:pPr>
          <w:hyperlink w:anchor="_Toc179832367" w:history="1">
            <w:r w:rsidRPr="00456B9D">
              <w:rPr>
                <w:rStyle w:val="Hyperlink"/>
                <w:rFonts w:ascii="Times New Roman" w:hAnsi="Times New Roman"/>
                <w:noProof/>
              </w:rPr>
              <w:t>Intangible Benefits (Optional)</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_Toc179832367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3</w:t>
            </w:r>
            <w:r w:rsidRPr="00456B9D">
              <w:rPr>
                <w:rFonts w:ascii="Times New Roman" w:hAnsi="Times New Roman"/>
                <w:noProof/>
                <w:webHidden/>
              </w:rPr>
              <w:fldChar w:fldCharType="end"/>
            </w:r>
          </w:hyperlink>
        </w:p>
        <w:p w14:paraId="77C5EEB5" w14:textId="24B5257D" w:rsidR="00456B9D" w:rsidRPr="00456B9D" w:rsidRDefault="00456B9D">
          <w:pPr>
            <w:pStyle w:val="TOC1"/>
            <w:tabs>
              <w:tab w:val="right" w:leader="dot" w:pos="9016"/>
            </w:tabs>
            <w:rPr>
              <w:rFonts w:ascii="Times New Roman" w:hAnsi="Times New Roman"/>
              <w:noProof/>
              <w:kern w:val="2"/>
              <w:sz w:val="24"/>
              <w:szCs w:val="24"/>
              <w14:ligatures w14:val="standardContextual"/>
            </w:rPr>
          </w:pPr>
          <w:hyperlink w:anchor="_Toc179832368" w:history="1">
            <w:r w:rsidRPr="00456B9D">
              <w:rPr>
                <w:rStyle w:val="Hyperlink"/>
                <w:rFonts w:ascii="Times New Roman" w:hAnsi="Times New Roman"/>
                <w:noProof/>
              </w:rPr>
              <w:t>ROI Calculation</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_Toc179832368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4</w:t>
            </w:r>
            <w:r w:rsidRPr="00456B9D">
              <w:rPr>
                <w:rFonts w:ascii="Times New Roman" w:hAnsi="Times New Roman"/>
                <w:noProof/>
                <w:webHidden/>
              </w:rPr>
              <w:fldChar w:fldCharType="end"/>
            </w:r>
          </w:hyperlink>
        </w:p>
        <w:p w14:paraId="7F63877E" w14:textId="1E3232DE" w:rsidR="00456B9D" w:rsidRPr="00456B9D" w:rsidRDefault="00456B9D">
          <w:pPr>
            <w:pStyle w:val="TOC1"/>
            <w:tabs>
              <w:tab w:val="right" w:leader="dot" w:pos="9016"/>
            </w:tabs>
            <w:rPr>
              <w:rFonts w:ascii="Times New Roman" w:hAnsi="Times New Roman"/>
              <w:noProof/>
              <w:kern w:val="2"/>
              <w:sz w:val="24"/>
              <w:szCs w:val="24"/>
              <w14:ligatures w14:val="standardContextual"/>
            </w:rPr>
          </w:pPr>
          <w:hyperlink w:anchor="_Toc179832369" w:history="1">
            <w:r w:rsidRPr="00456B9D">
              <w:rPr>
                <w:rStyle w:val="Hyperlink"/>
                <w:rFonts w:ascii="Times New Roman" w:hAnsi="Times New Roman"/>
                <w:noProof/>
              </w:rPr>
              <w:t>Conclusion</w:t>
            </w:r>
            <w:r w:rsidRPr="00456B9D">
              <w:rPr>
                <w:rFonts w:ascii="Times New Roman" w:hAnsi="Times New Roman"/>
                <w:noProof/>
                <w:webHidden/>
              </w:rPr>
              <w:tab/>
            </w:r>
            <w:r w:rsidRPr="00456B9D">
              <w:rPr>
                <w:rFonts w:ascii="Times New Roman" w:hAnsi="Times New Roman"/>
                <w:noProof/>
                <w:webHidden/>
              </w:rPr>
              <w:fldChar w:fldCharType="begin"/>
            </w:r>
            <w:r w:rsidRPr="00456B9D">
              <w:rPr>
                <w:rFonts w:ascii="Times New Roman" w:hAnsi="Times New Roman"/>
                <w:noProof/>
                <w:webHidden/>
              </w:rPr>
              <w:instrText xml:space="preserve"> PAGEREF _Toc179832369 \h </w:instrText>
            </w:r>
            <w:r w:rsidRPr="00456B9D">
              <w:rPr>
                <w:rFonts w:ascii="Times New Roman" w:hAnsi="Times New Roman"/>
                <w:noProof/>
                <w:webHidden/>
              </w:rPr>
            </w:r>
            <w:r w:rsidRPr="00456B9D">
              <w:rPr>
                <w:rFonts w:ascii="Times New Roman" w:hAnsi="Times New Roman"/>
                <w:noProof/>
                <w:webHidden/>
              </w:rPr>
              <w:fldChar w:fldCharType="separate"/>
            </w:r>
            <w:r w:rsidRPr="00456B9D">
              <w:rPr>
                <w:rFonts w:ascii="Times New Roman" w:hAnsi="Times New Roman"/>
                <w:noProof/>
                <w:webHidden/>
              </w:rPr>
              <w:t>5</w:t>
            </w:r>
            <w:r w:rsidRPr="00456B9D">
              <w:rPr>
                <w:rFonts w:ascii="Times New Roman" w:hAnsi="Times New Roman"/>
                <w:noProof/>
                <w:webHidden/>
              </w:rPr>
              <w:fldChar w:fldCharType="end"/>
            </w:r>
          </w:hyperlink>
        </w:p>
        <w:p w14:paraId="07CF56F6" w14:textId="2851E2CA" w:rsidR="00624D11" w:rsidRDefault="00624D11">
          <w:r w:rsidRPr="007B3EBE">
            <w:rPr>
              <w:rFonts w:cs="Times New Roman"/>
              <w:b/>
              <w:bCs/>
              <w:noProof/>
            </w:rPr>
            <w:fldChar w:fldCharType="end"/>
          </w:r>
        </w:p>
      </w:sdtContent>
    </w:sdt>
    <w:p w14:paraId="3CF06A48" w14:textId="77777777" w:rsidR="00624D11" w:rsidRDefault="00624D11">
      <w:pPr>
        <w:sectPr w:rsidR="00624D11" w:rsidSect="00624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F8C27A4" w14:textId="6AD0D414" w:rsidR="008D3620" w:rsidRDefault="00742D10" w:rsidP="00624D11">
      <w:pPr>
        <w:pStyle w:val="Heading1"/>
      </w:pPr>
      <w:bookmarkStart w:id="0" w:name="_Toc179832360"/>
      <w:r w:rsidRPr="00742D10">
        <w:lastRenderedPageBreak/>
        <w:t>Purpose</w:t>
      </w:r>
      <w:bookmarkEnd w:id="0"/>
    </w:p>
    <w:p w14:paraId="6888E2C8" w14:textId="77777777" w:rsidR="008D3620" w:rsidRDefault="008D3620" w:rsidP="008D3620"/>
    <w:p w14:paraId="29C59006" w14:textId="77777777" w:rsidR="00403100" w:rsidRPr="00403100" w:rsidRDefault="00403100" w:rsidP="00403100">
      <w:r w:rsidRPr="00403100">
        <w:t>The purpose of this document is to evaluate the Return on Investment (ROI) for implementing ISO 27001:2022 in &lt;Organization Name&gt;. This analysis will help the organization understand the financial impact, potential savings, and long-term benefits of the ISO 27001:2022 Information Security Management System (ISMS) framework.</w:t>
      </w:r>
    </w:p>
    <w:p w14:paraId="692DDFBA" w14:textId="6531BA4B" w:rsidR="008D3620" w:rsidRDefault="00742D10" w:rsidP="008D3620">
      <w:pPr>
        <w:pStyle w:val="Heading1"/>
      </w:pPr>
      <w:bookmarkStart w:id="1" w:name="_Toc179832361"/>
      <w:r w:rsidRPr="00742D10">
        <w:t>Scope</w:t>
      </w:r>
      <w:bookmarkEnd w:id="1"/>
    </w:p>
    <w:p w14:paraId="2A221C1A" w14:textId="77777777" w:rsidR="008D3620" w:rsidRDefault="008D3620" w:rsidP="008D3620"/>
    <w:p w14:paraId="3CA3323C" w14:textId="7A1BFD13" w:rsidR="00403100" w:rsidRDefault="00403100" w:rsidP="00403100">
      <w:r>
        <w:t>This ROI analysis covers the following areas of ISO 27001:2022 implementation</w:t>
      </w:r>
    </w:p>
    <w:p w14:paraId="5BCB04C8" w14:textId="77777777" w:rsidR="00403100" w:rsidRDefault="00403100" w:rsidP="00403100">
      <w:pPr>
        <w:pStyle w:val="ListParagraph"/>
        <w:numPr>
          <w:ilvl w:val="0"/>
          <w:numId w:val="5"/>
        </w:numPr>
        <w:contextualSpacing w:val="0"/>
      </w:pPr>
      <w:r>
        <w:t>Initial Investment Costs: Costs associated with implementation, consulting, tools, and training.</w:t>
      </w:r>
    </w:p>
    <w:p w14:paraId="16835675" w14:textId="77777777" w:rsidR="00403100" w:rsidRDefault="00403100" w:rsidP="00403100">
      <w:pPr>
        <w:pStyle w:val="ListParagraph"/>
        <w:numPr>
          <w:ilvl w:val="0"/>
          <w:numId w:val="5"/>
        </w:numPr>
        <w:contextualSpacing w:val="0"/>
      </w:pPr>
      <w:r>
        <w:t>Ongoing Costs: Maintenance, re-certifications, and operational expenditures.</w:t>
      </w:r>
    </w:p>
    <w:p w14:paraId="47988C43" w14:textId="77777777" w:rsidR="00403100" w:rsidRDefault="00403100" w:rsidP="00403100">
      <w:pPr>
        <w:pStyle w:val="ListParagraph"/>
        <w:numPr>
          <w:ilvl w:val="0"/>
          <w:numId w:val="5"/>
        </w:numPr>
        <w:contextualSpacing w:val="0"/>
      </w:pPr>
      <w:r>
        <w:t>Financial Benefits: Savings in incident response, compliance penalty avoidance, and operational efficiencies.</w:t>
      </w:r>
    </w:p>
    <w:p w14:paraId="14E58D7D" w14:textId="77777777" w:rsidR="00403100" w:rsidRDefault="00403100" w:rsidP="00403100">
      <w:pPr>
        <w:pStyle w:val="ListParagraph"/>
      </w:pPr>
    </w:p>
    <w:p w14:paraId="59574D5D" w14:textId="77777777" w:rsidR="00403100" w:rsidRPr="00403100" w:rsidRDefault="00403100" w:rsidP="00403100">
      <w:pPr>
        <w:rPr>
          <w:b/>
          <w:bCs/>
        </w:rPr>
      </w:pPr>
      <w:r w:rsidRPr="00403100">
        <w:rPr>
          <w:b/>
          <w:bCs/>
        </w:rPr>
        <w:t>ROI Calculation</w:t>
      </w:r>
    </w:p>
    <w:p w14:paraId="7B0E9ACD" w14:textId="77777777" w:rsidR="00403100" w:rsidRDefault="00403100" w:rsidP="00403100"/>
    <w:p w14:paraId="411F3802" w14:textId="7A55A534" w:rsidR="00403100" w:rsidRPr="00403100" w:rsidRDefault="00403100" w:rsidP="00403100">
      <m:oMathPara>
        <m:oMathParaPr>
          <m:jc m:val="left"/>
        </m:oMathParaPr>
        <m:oMath>
          <m:r>
            <w:rPr>
              <w:rFonts w:ascii="Cambria Math" w:hAnsi="Cambria Math"/>
            </w:rPr>
            <m:t>R</m:t>
          </m:r>
          <m:r>
            <w:rPr>
              <w:rFonts w:ascii="Cambria Math" w:hAnsi="Cambria Math"/>
            </w:rPr>
            <m:t>OI</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Total Benefits</m:t>
                  </m:r>
                  <m:r>
                    <w:rPr>
                      <w:rFonts w:ascii="Cambria Math" w:hAnsi="Cambria Math"/>
                    </w:rPr>
                    <m:t>-</m:t>
                  </m:r>
                  <m:r>
                    <w:rPr>
                      <w:rFonts w:ascii="Cambria Math" w:hAnsi="Cambria Math"/>
                    </w:rPr>
                    <m:t>Total Costs</m:t>
                  </m:r>
                </m:e>
              </m:d>
            </m:num>
            <m:den>
              <m:r>
                <w:rPr>
                  <w:rFonts w:ascii="Cambria Math" w:hAnsi="Cambria Math"/>
                </w:rPr>
                <m:t>Total Costs</m:t>
              </m:r>
            </m:den>
          </m:f>
          <m:r>
            <w:rPr>
              <w:rFonts w:ascii="Cambria Math" w:hAnsi="Cambria Math"/>
            </w:rPr>
            <m:t>×10</m:t>
          </m:r>
          <m:r>
            <w:rPr>
              <w:rFonts w:ascii="Cambria Math" w:hAnsi="Cambria Math"/>
            </w:rPr>
            <m:t>0</m:t>
          </m:r>
        </m:oMath>
      </m:oMathPara>
    </w:p>
    <w:p w14:paraId="5662E9A0" w14:textId="1E4CE233" w:rsidR="00403100" w:rsidRDefault="00403100" w:rsidP="00403100"/>
    <w:p w14:paraId="00A51023" w14:textId="77777777" w:rsidR="00403100" w:rsidRDefault="00403100" w:rsidP="00403100"/>
    <w:p w14:paraId="681DD580" w14:textId="77777777" w:rsidR="00403100" w:rsidRDefault="00403100">
      <w:pPr>
        <w:jc w:val="left"/>
        <w:rPr>
          <w:rFonts w:eastAsiaTheme="majorEastAsia" w:cstheme="majorBidi"/>
          <w:b/>
          <w:color w:val="000000" w:themeColor="text1"/>
          <w:sz w:val="28"/>
          <w:szCs w:val="40"/>
        </w:rPr>
      </w:pPr>
      <w:r>
        <w:br w:type="page"/>
      </w:r>
    </w:p>
    <w:p w14:paraId="17AC91A9" w14:textId="224067AF" w:rsidR="00742D10" w:rsidRDefault="00403100" w:rsidP="00742D10">
      <w:pPr>
        <w:pStyle w:val="Heading1"/>
      </w:pPr>
      <w:bookmarkStart w:id="2" w:name="_Toc179832362"/>
      <w:r w:rsidRPr="00403100">
        <w:lastRenderedPageBreak/>
        <w:t>ISO 27001:2022 Implementation Costs</w:t>
      </w:r>
      <w:bookmarkEnd w:id="2"/>
    </w:p>
    <w:p w14:paraId="2D2649E3" w14:textId="77777777" w:rsidR="00742D10" w:rsidRDefault="00742D10" w:rsidP="00742D10"/>
    <w:p w14:paraId="3AA0D040" w14:textId="3CEFE03C" w:rsidR="00742D10" w:rsidRDefault="00403100" w:rsidP="00403100">
      <w:pPr>
        <w:pStyle w:val="Heading2"/>
      </w:pPr>
      <w:bookmarkStart w:id="3" w:name="_Toc179832363"/>
      <w:r w:rsidRPr="00403100">
        <w:t>Initial Costs</w:t>
      </w:r>
      <w:bookmarkEnd w:id="3"/>
    </w:p>
    <w:p w14:paraId="4475454F" w14:textId="77777777" w:rsidR="00403100" w:rsidRDefault="00403100" w:rsidP="00403100"/>
    <w:tbl>
      <w:tblPr>
        <w:tblStyle w:val="TableGrid"/>
        <w:tblW w:w="8928" w:type="dxa"/>
        <w:tblLook w:val="04A0" w:firstRow="1" w:lastRow="0" w:firstColumn="1" w:lastColumn="0" w:noHBand="0" w:noVBand="1"/>
      </w:tblPr>
      <w:tblGrid>
        <w:gridCol w:w="2605"/>
        <w:gridCol w:w="4320"/>
        <w:gridCol w:w="2003"/>
      </w:tblGrid>
      <w:tr w:rsidR="00403100" w:rsidRPr="00321659" w14:paraId="1B9F5993" w14:textId="77777777" w:rsidTr="00AA4035">
        <w:trPr>
          <w:trHeight w:val="607"/>
        </w:trPr>
        <w:tc>
          <w:tcPr>
            <w:tcW w:w="2605" w:type="dxa"/>
            <w:vAlign w:val="center"/>
          </w:tcPr>
          <w:p w14:paraId="1C7FAC62" w14:textId="0A0B7C67" w:rsidR="00403100" w:rsidRPr="00AA4035" w:rsidRDefault="00403100" w:rsidP="00AA4035">
            <w:pPr>
              <w:jc w:val="left"/>
              <w:rPr>
                <w:b/>
                <w:bCs/>
                <w:color w:val="000000" w:themeColor="text1"/>
              </w:rPr>
            </w:pPr>
            <w:r w:rsidRPr="00AA4035">
              <w:rPr>
                <w:b/>
                <w:bCs/>
                <w:color w:val="000000" w:themeColor="text1"/>
              </w:rPr>
              <w:t>Category</w:t>
            </w:r>
          </w:p>
        </w:tc>
        <w:tc>
          <w:tcPr>
            <w:tcW w:w="4320" w:type="dxa"/>
            <w:vAlign w:val="center"/>
          </w:tcPr>
          <w:p w14:paraId="1BCCB339" w14:textId="16A76FC9" w:rsidR="00403100" w:rsidRPr="00AA4035" w:rsidRDefault="00403100" w:rsidP="00AA4035">
            <w:pPr>
              <w:jc w:val="left"/>
              <w:rPr>
                <w:b/>
                <w:bCs/>
                <w:color w:val="000000" w:themeColor="text1"/>
              </w:rPr>
            </w:pPr>
            <w:r w:rsidRPr="00AA4035">
              <w:rPr>
                <w:b/>
                <w:bCs/>
                <w:color w:val="000000" w:themeColor="text1"/>
              </w:rPr>
              <w:t>Description</w:t>
            </w:r>
          </w:p>
        </w:tc>
        <w:tc>
          <w:tcPr>
            <w:tcW w:w="2003" w:type="dxa"/>
            <w:vAlign w:val="center"/>
          </w:tcPr>
          <w:p w14:paraId="170450E0" w14:textId="2AD8DF19" w:rsidR="00403100" w:rsidRPr="00AA4035" w:rsidRDefault="00AA4035" w:rsidP="00AA4035">
            <w:pPr>
              <w:jc w:val="left"/>
              <w:rPr>
                <w:b/>
                <w:bCs/>
                <w:color w:val="000000" w:themeColor="text1"/>
              </w:rPr>
            </w:pPr>
            <w:r w:rsidRPr="00AA4035">
              <w:rPr>
                <w:b/>
                <w:bCs/>
                <w:color w:val="000000" w:themeColor="text1"/>
              </w:rPr>
              <w:t>Cost</w:t>
            </w:r>
          </w:p>
        </w:tc>
      </w:tr>
      <w:tr w:rsidR="00403100" w:rsidRPr="007B74F9" w14:paraId="5209F0A2" w14:textId="77777777" w:rsidTr="00AA4035">
        <w:trPr>
          <w:trHeight w:val="607"/>
        </w:trPr>
        <w:tc>
          <w:tcPr>
            <w:tcW w:w="2605" w:type="dxa"/>
            <w:vAlign w:val="center"/>
          </w:tcPr>
          <w:p w14:paraId="7AA1376D" w14:textId="54035819" w:rsidR="00403100" w:rsidRPr="00AA4035" w:rsidRDefault="00AA4035" w:rsidP="00AA4035">
            <w:pPr>
              <w:jc w:val="left"/>
              <w:rPr>
                <w:color w:val="000000" w:themeColor="text1"/>
              </w:rPr>
            </w:pPr>
            <w:r w:rsidRPr="00AA4035">
              <w:rPr>
                <w:color w:val="000000" w:themeColor="text1"/>
              </w:rPr>
              <w:t>Consulting Fees</w:t>
            </w:r>
          </w:p>
        </w:tc>
        <w:tc>
          <w:tcPr>
            <w:tcW w:w="4320" w:type="dxa"/>
            <w:vAlign w:val="center"/>
          </w:tcPr>
          <w:p w14:paraId="4B3C18B8" w14:textId="6D6FBD73" w:rsidR="00403100" w:rsidRPr="00AA4035" w:rsidRDefault="00AA4035" w:rsidP="00AA4035">
            <w:pPr>
              <w:jc w:val="left"/>
              <w:rPr>
                <w:color w:val="000000" w:themeColor="text1"/>
              </w:rPr>
            </w:pPr>
            <w:r w:rsidRPr="00AA4035">
              <w:rPr>
                <w:color w:val="000000" w:themeColor="text1"/>
              </w:rPr>
              <w:t>External consultants for ISO 27001 advisory</w:t>
            </w:r>
          </w:p>
        </w:tc>
        <w:tc>
          <w:tcPr>
            <w:tcW w:w="2003" w:type="dxa"/>
            <w:vAlign w:val="center"/>
          </w:tcPr>
          <w:p w14:paraId="5B8D2D26" w14:textId="209FD529" w:rsidR="00403100" w:rsidRPr="00AA4035" w:rsidRDefault="00403100" w:rsidP="00AA4035">
            <w:pPr>
              <w:jc w:val="left"/>
              <w:rPr>
                <w:color w:val="000000" w:themeColor="text1"/>
              </w:rPr>
            </w:pPr>
          </w:p>
        </w:tc>
      </w:tr>
      <w:tr w:rsidR="00403100" w:rsidRPr="007B74F9" w14:paraId="6AB0BB43" w14:textId="77777777" w:rsidTr="00AA4035">
        <w:trPr>
          <w:trHeight w:val="607"/>
        </w:trPr>
        <w:tc>
          <w:tcPr>
            <w:tcW w:w="2605" w:type="dxa"/>
            <w:vAlign w:val="center"/>
          </w:tcPr>
          <w:p w14:paraId="25FCC1AB" w14:textId="1E6E4124" w:rsidR="00403100" w:rsidRPr="00AA4035" w:rsidRDefault="00AA4035" w:rsidP="00AA4035">
            <w:pPr>
              <w:jc w:val="left"/>
              <w:rPr>
                <w:color w:val="000000" w:themeColor="text1"/>
              </w:rPr>
            </w:pPr>
            <w:r w:rsidRPr="00AA4035">
              <w:rPr>
                <w:color w:val="000000" w:themeColor="text1"/>
              </w:rPr>
              <w:t>Training Costs</w:t>
            </w:r>
          </w:p>
        </w:tc>
        <w:tc>
          <w:tcPr>
            <w:tcW w:w="4320" w:type="dxa"/>
            <w:vAlign w:val="center"/>
          </w:tcPr>
          <w:p w14:paraId="62614AEB" w14:textId="553B2E00" w:rsidR="00403100" w:rsidRPr="00AA4035" w:rsidRDefault="00AA4035" w:rsidP="00AA4035">
            <w:pPr>
              <w:jc w:val="left"/>
              <w:rPr>
                <w:color w:val="000000" w:themeColor="text1"/>
              </w:rPr>
            </w:pPr>
            <w:r w:rsidRPr="00AA4035">
              <w:rPr>
                <w:color w:val="000000" w:themeColor="text1"/>
              </w:rPr>
              <w:t>Employee training on ISMS processes</w:t>
            </w:r>
          </w:p>
        </w:tc>
        <w:tc>
          <w:tcPr>
            <w:tcW w:w="2003" w:type="dxa"/>
            <w:vAlign w:val="center"/>
          </w:tcPr>
          <w:p w14:paraId="498411EE" w14:textId="45DF81E4" w:rsidR="00403100" w:rsidRPr="00AA4035" w:rsidRDefault="00403100" w:rsidP="00AA4035">
            <w:pPr>
              <w:jc w:val="left"/>
              <w:rPr>
                <w:color w:val="000000" w:themeColor="text1"/>
              </w:rPr>
            </w:pPr>
          </w:p>
        </w:tc>
      </w:tr>
      <w:tr w:rsidR="00403100" w:rsidRPr="007B74F9" w14:paraId="6B418512" w14:textId="77777777" w:rsidTr="00AA4035">
        <w:trPr>
          <w:trHeight w:val="607"/>
        </w:trPr>
        <w:tc>
          <w:tcPr>
            <w:tcW w:w="2605" w:type="dxa"/>
            <w:vAlign w:val="center"/>
          </w:tcPr>
          <w:p w14:paraId="180CEFD5" w14:textId="7AF57254" w:rsidR="00403100" w:rsidRPr="00AA4035" w:rsidRDefault="00AA4035" w:rsidP="00AA4035">
            <w:pPr>
              <w:jc w:val="left"/>
              <w:rPr>
                <w:color w:val="000000" w:themeColor="text1"/>
              </w:rPr>
            </w:pPr>
            <w:r w:rsidRPr="00AA4035">
              <w:rPr>
                <w:color w:val="000000" w:themeColor="text1"/>
              </w:rPr>
              <w:t>Audit Fees</w:t>
            </w:r>
          </w:p>
        </w:tc>
        <w:tc>
          <w:tcPr>
            <w:tcW w:w="4320" w:type="dxa"/>
            <w:vAlign w:val="center"/>
          </w:tcPr>
          <w:p w14:paraId="190CF772" w14:textId="1D33E752" w:rsidR="00403100" w:rsidRPr="00AA4035" w:rsidRDefault="00AA4035" w:rsidP="00AA4035">
            <w:pPr>
              <w:jc w:val="left"/>
              <w:rPr>
                <w:color w:val="000000" w:themeColor="text1"/>
              </w:rPr>
            </w:pPr>
            <w:r w:rsidRPr="00AA4035">
              <w:rPr>
                <w:color w:val="000000" w:themeColor="text1"/>
              </w:rPr>
              <w:t>Initial audit and certification fees</w:t>
            </w:r>
          </w:p>
        </w:tc>
        <w:tc>
          <w:tcPr>
            <w:tcW w:w="2003" w:type="dxa"/>
            <w:vAlign w:val="center"/>
          </w:tcPr>
          <w:p w14:paraId="217D9ECB" w14:textId="130DB47D" w:rsidR="00403100" w:rsidRPr="00AA4035" w:rsidRDefault="00403100" w:rsidP="00AA4035">
            <w:pPr>
              <w:jc w:val="left"/>
              <w:rPr>
                <w:color w:val="000000" w:themeColor="text1"/>
              </w:rPr>
            </w:pPr>
          </w:p>
        </w:tc>
      </w:tr>
      <w:tr w:rsidR="00403100" w:rsidRPr="007B74F9" w14:paraId="11EBBD50" w14:textId="77777777" w:rsidTr="00AA4035">
        <w:trPr>
          <w:trHeight w:val="607"/>
        </w:trPr>
        <w:tc>
          <w:tcPr>
            <w:tcW w:w="2605" w:type="dxa"/>
            <w:vAlign w:val="center"/>
          </w:tcPr>
          <w:p w14:paraId="58CAF7BB" w14:textId="0C4192DD" w:rsidR="00403100" w:rsidRPr="00AA4035" w:rsidRDefault="00AA4035" w:rsidP="00AA4035">
            <w:pPr>
              <w:jc w:val="left"/>
              <w:rPr>
                <w:color w:val="000000" w:themeColor="text1"/>
              </w:rPr>
            </w:pPr>
            <w:r w:rsidRPr="00AA4035">
              <w:rPr>
                <w:color w:val="000000" w:themeColor="text1"/>
              </w:rPr>
              <w:t>Software &amp; Tools</w:t>
            </w:r>
          </w:p>
        </w:tc>
        <w:tc>
          <w:tcPr>
            <w:tcW w:w="4320" w:type="dxa"/>
            <w:vAlign w:val="center"/>
          </w:tcPr>
          <w:p w14:paraId="4B9AEDA3" w14:textId="1003EBA1" w:rsidR="00403100" w:rsidRPr="00AA4035" w:rsidRDefault="00AA4035" w:rsidP="00AA4035">
            <w:pPr>
              <w:jc w:val="left"/>
              <w:rPr>
                <w:color w:val="000000" w:themeColor="text1"/>
              </w:rPr>
            </w:pPr>
            <w:r w:rsidRPr="00AA4035">
              <w:rPr>
                <w:color w:val="000000" w:themeColor="text1"/>
              </w:rPr>
              <w:t>ISMS management software &amp; tools</w:t>
            </w:r>
          </w:p>
        </w:tc>
        <w:tc>
          <w:tcPr>
            <w:tcW w:w="2003" w:type="dxa"/>
            <w:vAlign w:val="center"/>
          </w:tcPr>
          <w:p w14:paraId="119B67D9" w14:textId="7DF07304" w:rsidR="00403100" w:rsidRPr="00AA4035" w:rsidRDefault="00403100" w:rsidP="00AA4035">
            <w:pPr>
              <w:jc w:val="left"/>
              <w:rPr>
                <w:color w:val="000000" w:themeColor="text1"/>
              </w:rPr>
            </w:pPr>
          </w:p>
        </w:tc>
      </w:tr>
      <w:tr w:rsidR="00403100" w:rsidRPr="007B74F9" w14:paraId="0DEADA82" w14:textId="77777777" w:rsidTr="00AA4035">
        <w:trPr>
          <w:trHeight w:val="607"/>
        </w:trPr>
        <w:tc>
          <w:tcPr>
            <w:tcW w:w="2605" w:type="dxa"/>
            <w:vAlign w:val="center"/>
          </w:tcPr>
          <w:p w14:paraId="6416611D" w14:textId="3AE49BF1" w:rsidR="00403100" w:rsidRPr="00AA4035" w:rsidRDefault="00AA4035" w:rsidP="00AA4035">
            <w:pPr>
              <w:jc w:val="left"/>
              <w:rPr>
                <w:color w:val="000000" w:themeColor="text1"/>
              </w:rPr>
            </w:pPr>
            <w:r w:rsidRPr="00AA4035">
              <w:rPr>
                <w:color w:val="000000" w:themeColor="text1"/>
              </w:rPr>
              <w:t>Infrastructure Upgrades</w:t>
            </w:r>
          </w:p>
        </w:tc>
        <w:tc>
          <w:tcPr>
            <w:tcW w:w="4320" w:type="dxa"/>
            <w:vAlign w:val="center"/>
          </w:tcPr>
          <w:p w14:paraId="1BCA527F" w14:textId="6407176C" w:rsidR="00403100" w:rsidRPr="00AA4035" w:rsidRDefault="00AA4035" w:rsidP="00AA4035">
            <w:pPr>
              <w:jc w:val="left"/>
              <w:rPr>
                <w:color w:val="000000" w:themeColor="text1"/>
              </w:rPr>
            </w:pPr>
            <w:r w:rsidRPr="00AA4035">
              <w:rPr>
                <w:color w:val="000000" w:themeColor="text1"/>
              </w:rPr>
              <w:t>Necessary hardware or network updates</w:t>
            </w:r>
          </w:p>
        </w:tc>
        <w:tc>
          <w:tcPr>
            <w:tcW w:w="2003" w:type="dxa"/>
            <w:vAlign w:val="center"/>
          </w:tcPr>
          <w:p w14:paraId="3BCBA0F6" w14:textId="259AF482" w:rsidR="00403100" w:rsidRPr="00AA4035" w:rsidRDefault="00403100" w:rsidP="00AA4035">
            <w:pPr>
              <w:jc w:val="left"/>
              <w:rPr>
                <w:color w:val="000000" w:themeColor="text1"/>
              </w:rPr>
            </w:pPr>
          </w:p>
        </w:tc>
      </w:tr>
      <w:tr w:rsidR="00AA4035" w:rsidRPr="007B74F9" w14:paraId="01B1A090" w14:textId="77777777" w:rsidTr="00AA4035">
        <w:trPr>
          <w:trHeight w:val="607"/>
        </w:trPr>
        <w:tc>
          <w:tcPr>
            <w:tcW w:w="2605" w:type="dxa"/>
            <w:vAlign w:val="center"/>
          </w:tcPr>
          <w:p w14:paraId="7D7BC7EA" w14:textId="042A815D" w:rsidR="00AA4035" w:rsidRPr="00AA4035" w:rsidRDefault="00AA4035" w:rsidP="00403100">
            <w:pPr>
              <w:jc w:val="left"/>
              <w:rPr>
                <w:color w:val="000000" w:themeColor="text1"/>
              </w:rPr>
            </w:pPr>
            <w:r w:rsidRPr="00AA4035">
              <w:rPr>
                <w:color w:val="000000" w:themeColor="text1"/>
              </w:rPr>
              <w:t>Total Initial Investment</w:t>
            </w:r>
          </w:p>
        </w:tc>
        <w:tc>
          <w:tcPr>
            <w:tcW w:w="6323" w:type="dxa"/>
            <w:gridSpan w:val="2"/>
            <w:vAlign w:val="center"/>
          </w:tcPr>
          <w:p w14:paraId="31BED9AD" w14:textId="1A6520DC" w:rsidR="00AA4035" w:rsidRPr="00AA4035" w:rsidRDefault="00AA4035" w:rsidP="00AA4035">
            <w:pPr>
              <w:jc w:val="right"/>
              <w:rPr>
                <w:color w:val="000000" w:themeColor="text1"/>
              </w:rPr>
            </w:pPr>
            <w:r w:rsidRPr="00AA4035">
              <w:rPr>
                <w:color w:val="000000" w:themeColor="text1"/>
              </w:rPr>
              <w:t>$</w:t>
            </w:r>
            <w:r w:rsidRPr="00AA4035">
              <w:rPr>
                <w:color w:val="000000" w:themeColor="text1"/>
              </w:rPr>
              <w:t>_______________</w:t>
            </w:r>
          </w:p>
        </w:tc>
      </w:tr>
    </w:tbl>
    <w:p w14:paraId="6BDEC112" w14:textId="77777777" w:rsidR="00403100" w:rsidRPr="00403100" w:rsidRDefault="00403100" w:rsidP="00403100"/>
    <w:p w14:paraId="5CB4CCFC" w14:textId="77777777" w:rsidR="00AA4035" w:rsidRDefault="00AA4035"/>
    <w:p w14:paraId="1F28CFF1" w14:textId="7898BFB6" w:rsidR="00AA4035" w:rsidRDefault="00AA4035" w:rsidP="00AA4035">
      <w:pPr>
        <w:pStyle w:val="Heading2"/>
      </w:pPr>
      <w:bookmarkStart w:id="4" w:name="_Toc179832364"/>
      <w:r>
        <w:t>Ongoing</w:t>
      </w:r>
      <w:r w:rsidRPr="00403100">
        <w:t xml:space="preserve"> Costs</w:t>
      </w:r>
      <w:bookmarkEnd w:id="4"/>
    </w:p>
    <w:p w14:paraId="7BBE15B5" w14:textId="77777777" w:rsidR="00AA4035" w:rsidRDefault="00AA4035" w:rsidP="00AA4035"/>
    <w:tbl>
      <w:tblPr>
        <w:tblStyle w:val="TableGrid"/>
        <w:tblW w:w="8928" w:type="dxa"/>
        <w:tblLook w:val="04A0" w:firstRow="1" w:lastRow="0" w:firstColumn="1" w:lastColumn="0" w:noHBand="0" w:noVBand="1"/>
      </w:tblPr>
      <w:tblGrid>
        <w:gridCol w:w="2605"/>
        <w:gridCol w:w="4320"/>
        <w:gridCol w:w="2003"/>
      </w:tblGrid>
      <w:tr w:rsidR="00AA4035" w:rsidRPr="00321659" w14:paraId="3F47C847" w14:textId="77777777" w:rsidTr="00AA4035">
        <w:trPr>
          <w:trHeight w:val="607"/>
        </w:trPr>
        <w:tc>
          <w:tcPr>
            <w:tcW w:w="2605" w:type="dxa"/>
            <w:vAlign w:val="center"/>
          </w:tcPr>
          <w:p w14:paraId="4653B3B2" w14:textId="77777777" w:rsidR="00AA4035" w:rsidRPr="00AA4035" w:rsidRDefault="00AA4035" w:rsidP="00AA4035">
            <w:pPr>
              <w:jc w:val="left"/>
              <w:rPr>
                <w:b/>
                <w:bCs/>
                <w:color w:val="000000" w:themeColor="text1"/>
              </w:rPr>
            </w:pPr>
            <w:r w:rsidRPr="00AA4035">
              <w:rPr>
                <w:b/>
                <w:bCs/>
                <w:color w:val="000000" w:themeColor="text1"/>
              </w:rPr>
              <w:t>Category</w:t>
            </w:r>
          </w:p>
        </w:tc>
        <w:tc>
          <w:tcPr>
            <w:tcW w:w="4320" w:type="dxa"/>
            <w:vAlign w:val="center"/>
          </w:tcPr>
          <w:p w14:paraId="14217FB8" w14:textId="77777777" w:rsidR="00AA4035" w:rsidRPr="00AA4035" w:rsidRDefault="00AA4035" w:rsidP="00AA4035">
            <w:pPr>
              <w:jc w:val="left"/>
              <w:rPr>
                <w:b/>
                <w:bCs/>
                <w:color w:val="000000" w:themeColor="text1"/>
              </w:rPr>
            </w:pPr>
            <w:r w:rsidRPr="00AA4035">
              <w:rPr>
                <w:b/>
                <w:bCs/>
                <w:color w:val="000000" w:themeColor="text1"/>
              </w:rPr>
              <w:t>Description</w:t>
            </w:r>
          </w:p>
        </w:tc>
        <w:tc>
          <w:tcPr>
            <w:tcW w:w="2003" w:type="dxa"/>
            <w:vAlign w:val="center"/>
          </w:tcPr>
          <w:p w14:paraId="642D7754" w14:textId="77777777" w:rsidR="00AA4035" w:rsidRPr="00AA4035" w:rsidRDefault="00AA4035" w:rsidP="00403D9F">
            <w:pPr>
              <w:jc w:val="center"/>
              <w:rPr>
                <w:b/>
                <w:bCs/>
                <w:color w:val="000000" w:themeColor="text1"/>
              </w:rPr>
            </w:pPr>
            <w:r w:rsidRPr="00AA4035">
              <w:rPr>
                <w:b/>
                <w:bCs/>
                <w:color w:val="000000" w:themeColor="text1"/>
              </w:rPr>
              <w:t>Cost</w:t>
            </w:r>
          </w:p>
        </w:tc>
      </w:tr>
      <w:tr w:rsidR="00AA4035" w:rsidRPr="007B74F9" w14:paraId="3F2D8D6C" w14:textId="77777777" w:rsidTr="00AA4035">
        <w:trPr>
          <w:trHeight w:val="607"/>
        </w:trPr>
        <w:tc>
          <w:tcPr>
            <w:tcW w:w="2605" w:type="dxa"/>
            <w:vAlign w:val="center"/>
          </w:tcPr>
          <w:p w14:paraId="3FDB21D0" w14:textId="307AC2ED" w:rsidR="00AA4035" w:rsidRPr="00AA4035" w:rsidRDefault="00AA4035" w:rsidP="00AA4035">
            <w:pPr>
              <w:jc w:val="left"/>
              <w:rPr>
                <w:color w:val="000000" w:themeColor="text1"/>
              </w:rPr>
            </w:pPr>
            <w:r w:rsidRPr="00AA4035">
              <w:rPr>
                <w:color w:val="000000" w:themeColor="text1"/>
              </w:rPr>
              <w:t>Annual Re-certification Fees</w:t>
            </w:r>
          </w:p>
        </w:tc>
        <w:tc>
          <w:tcPr>
            <w:tcW w:w="4320" w:type="dxa"/>
            <w:vAlign w:val="center"/>
          </w:tcPr>
          <w:p w14:paraId="54ACF01E" w14:textId="763F8297" w:rsidR="00AA4035" w:rsidRPr="00AA4035" w:rsidRDefault="00AA4035" w:rsidP="00AA4035">
            <w:pPr>
              <w:jc w:val="left"/>
              <w:rPr>
                <w:color w:val="000000" w:themeColor="text1"/>
              </w:rPr>
            </w:pPr>
            <w:r>
              <w:rPr>
                <w:color w:val="000000" w:themeColor="text1"/>
              </w:rPr>
              <w:t>Y</w:t>
            </w:r>
            <w:r w:rsidRPr="00AA4035">
              <w:rPr>
                <w:color w:val="000000" w:themeColor="text1"/>
              </w:rPr>
              <w:t>early audit and re-certification fees</w:t>
            </w:r>
          </w:p>
        </w:tc>
        <w:tc>
          <w:tcPr>
            <w:tcW w:w="2003" w:type="dxa"/>
            <w:vAlign w:val="center"/>
          </w:tcPr>
          <w:p w14:paraId="09849AA6" w14:textId="77777777" w:rsidR="00AA4035" w:rsidRPr="00AA4035" w:rsidRDefault="00AA4035" w:rsidP="00403D9F">
            <w:pPr>
              <w:jc w:val="left"/>
              <w:rPr>
                <w:color w:val="000000" w:themeColor="text1"/>
              </w:rPr>
            </w:pPr>
          </w:p>
        </w:tc>
      </w:tr>
      <w:tr w:rsidR="00AA4035" w:rsidRPr="007B74F9" w14:paraId="0667CE9F" w14:textId="77777777" w:rsidTr="00AA4035">
        <w:trPr>
          <w:trHeight w:val="607"/>
        </w:trPr>
        <w:tc>
          <w:tcPr>
            <w:tcW w:w="2605" w:type="dxa"/>
            <w:vAlign w:val="center"/>
          </w:tcPr>
          <w:p w14:paraId="51974E23" w14:textId="489051D6" w:rsidR="00AA4035" w:rsidRPr="00AA4035" w:rsidRDefault="00AA4035" w:rsidP="00AA4035">
            <w:pPr>
              <w:jc w:val="left"/>
              <w:rPr>
                <w:color w:val="000000" w:themeColor="text1"/>
              </w:rPr>
            </w:pPr>
            <w:r w:rsidRPr="00AA4035">
              <w:rPr>
                <w:color w:val="000000" w:themeColor="text1"/>
              </w:rPr>
              <w:t>System Maintenance</w:t>
            </w:r>
          </w:p>
        </w:tc>
        <w:tc>
          <w:tcPr>
            <w:tcW w:w="4320" w:type="dxa"/>
            <w:vAlign w:val="center"/>
          </w:tcPr>
          <w:p w14:paraId="349D6FC1" w14:textId="72421901" w:rsidR="00AA4035" w:rsidRPr="00AA4035" w:rsidRDefault="00AA4035" w:rsidP="00AA4035">
            <w:pPr>
              <w:jc w:val="left"/>
              <w:rPr>
                <w:color w:val="000000" w:themeColor="text1"/>
              </w:rPr>
            </w:pPr>
            <w:r w:rsidRPr="00AA4035">
              <w:rPr>
                <w:color w:val="000000" w:themeColor="text1"/>
              </w:rPr>
              <w:t>IT systems and software maintenance</w:t>
            </w:r>
          </w:p>
        </w:tc>
        <w:tc>
          <w:tcPr>
            <w:tcW w:w="2003" w:type="dxa"/>
            <w:vAlign w:val="center"/>
          </w:tcPr>
          <w:p w14:paraId="16D50D31" w14:textId="77777777" w:rsidR="00AA4035" w:rsidRPr="00AA4035" w:rsidRDefault="00AA4035" w:rsidP="00403D9F">
            <w:pPr>
              <w:jc w:val="left"/>
              <w:rPr>
                <w:color w:val="000000" w:themeColor="text1"/>
              </w:rPr>
            </w:pPr>
          </w:p>
        </w:tc>
      </w:tr>
      <w:tr w:rsidR="00AA4035" w:rsidRPr="007B74F9" w14:paraId="02183697" w14:textId="77777777" w:rsidTr="00AA4035">
        <w:trPr>
          <w:trHeight w:val="607"/>
        </w:trPr>
        <w:tc>
          <w:tcPr>
            <w:tcW w:w="2605" w:type="dxa"/>
            <w:vAlign w:val="center"/>
          </w:tcPr>
          <w:p w14:paraId="576E579E" w14:textId="5945EB24" w:rsidR="00AA4035" w:rsidRPr="00AA4035" w:rsidRDefault="00AA4035" w:rsidP="00AA4035">
            <w:pPr>
              <w:jc w:val="left"/>
              <w:rPr>
                <w:color w:val="000000" w:themeColor="text1"/>
              </w:rPr>
            </w:pPr>
            <w:r w:rsidRPr="00AA4035">
              <w:rPr>
                <w:color w:val="000000" w:themeColor="text1"/>
              </w:rPr>
              <w:t>Training &amp; Awareness</w:t>
            </w:r>
          </w:p>
        </w:tc>
        <w:tc>
          <w:tcPr>
            <w:tcW w:w="4320" w:type="dxa"/>
            <w:vAlign w:val="center"/>
          </w:tcPr>
          <w:p w14:paraId="3F242888" w14:textId="07B4DEE9" w:rsidR="00AA4035" w:rsidRPr="00AA4035" w:rsidRDefault="00AA4035" w:rsidP="00AA4035">
            <w:pPr>
              <w:jc w:val="left"/>
              <w:rPr>
                <w:color w:val="000000" w:themeColor="text1"/>
              </w:rPr>
            </w:pPr>
            <w:r w:rsidRPr="00AA4035">
              <w:rPr>
                <w:color w:val="000000" w:themeColor="text1"/>
              </w:rPr>
              <w:t>Ongoing employee training</w:t>
            </w:r>
          </w:p>
        </w:tc>
        <w:tc>
          <w:tcPr>
            <w:tcW w:w="2003" w:type="dxa"/>
            <w:vAlign w:val="center"/>
          </w:tcPr>
          <w:p w14:paraId="6933C4F7" w14:textId="77777777" w:rsidR="00AA4035" w:rsidRPr="00AA4035" w:rsidRDefault="00AA4035" w:rsidP="00403D9F">
            <w:pPr>
              <w:jc w:val="left"/>
              <w:rPr>
                <w:color w:val="000000" w:themeColor="text1"/>
              </w:rPr>
            </w:pPr>
          </w:p>
        </w:tc>
      </w:tr>
      <w:tr w:rsidR="00AA4035" w:rsidRPr="007B74F9" w14:paraId="7E1E7579" w14:textId="77777777" w:rsidTr="00AA4035">
        <w:trPr>
          <w:trHeight w:val="607"/>
        </w:trPr>
        <w:tc>
          <w:tcPr>
            <w:tcW w:w="2605" w:type="dxa"/>
            <w:vAlign w:val="center"/>
          </w:tcPr>
          <w:p w14:paraId="75F2DFD2" w14:textId="4AE104D0" w:rsidR="00AA4035" w:rsidRPr="00AA4035" w:rsidRDefault="00AA4035" w:rsidP="00AA4035">
            <w:pPr>
              <w:jc w:val="left"/>
              <w:rPr>
                <w:color w:val="000000" w:themeColor="text1"/>
              </w:rPr>
            </w:pPr>
            <w:r w:rsidRPr="00AA4035">
              <w:rPr>
                <w:color w:val="000000" w:themeColor="text1"/>
              </w:rPr>
              <w:t>Other Operational Costs</w:t>
            </w:r>
          </w:p>
        </w:tc>
        <w:tc>
          <w:tcPr>
            <w:tcW w:w="4320" w:type="dxa"/>
            <w:vAlign w:val="center"/>
          </w:tcPr>
          <w:p w14:paraId="01817880" w14:textId="2D93892C" w:rsidR="00AA4035" w:rsidRPr="00AA4035" w:rsidRDefault="00AA4035" w:rsidP="00AA4035">
            <w:pPr>
              <w:jc w:val="left"/>
              <w:rPr>
                <w:color w:val="000000" w:themeColor="text1"/>
              </w:rPr>
            </w:pPr>
            <w:r w:rsidRPr="00AA4035">
              <w:rPr>
                <w:color w:val="000000" w:themeColor="text1"/>
              </w:rPr>
              <w:t>Additional related costs</w:t>
            </w:r>
          </w:p>
        </w:tc>
        <w:tc>
          <w:tcPr>
            <w:tcW w:w="2003" w:type="dxa"/>
            <w:vAlign w:val="center"/>
          </w:tcPr>
          <w:p w14:paraId="5EF87E9F" w14:textId="77777777" w:rsidR="00AA4035" w:rsidRPr="00AA4035" w:rsidRDefault="00AA4035" w:rsidP="00403D9F">
            <w:pPr>
              <w:jc w:val="left"/>
              <w:rPr>
                <w:color w:val="000000" w:themeColor="text1"/>
              </w:rPr>
            </w:pPr>
          </w:p>
        </w:tc>
      </w:tr>
      <w:tr w:rsidR="00AA4035" w:rsidRPr="007B74F9" w14:paraId="79ABC11D" w14:textId="77777777" w:rsidTr="00AA4035">
        <w:trPr>
          <w:trHeight w:val="607"/>
        </w:trPr>
        <w:tc>
          <w:tcPr>
            <w:tcW w:w="2605" w:type="dxa"/>
            <w:vAlign w:val="center"/>
          </w:tcPr>
          <w:p w14:paraId="1F81BC96" w14:textId="77777777" w:rsidR="00AA4035" w:rsidRPr="00AA4035" w:rsidRDefault="00AA4035" w:rsidP="00403D9F">
            <w:pPr>
              <w:jc w:val="left"/>
              <w:rPr>
                <w:color w:val="000000" w:themeColor="text1"/>
              </w:rPr>
            </w:pPr>
            <w:r w:rsidRPr="00AA4035">
              <w:rPr>
                <w:color w:val="000000" w:themeColor="text1"/>
              </w:rPr>
              <w:t>Total Initial Investment</w:t>
            </w:r>
          </w:p>
        </w:tc>
        <w:tc>
          <w:tcPr>
            <w:tcW w:w="6323" w:type="dxa"/>
            <w:gridSpan w:val="2"/>
            <w:vAlign w:val="center"/>
          </w:tcPr>
          <w:p w14:paraId="4F2C8309" w14:textId="24CE9370" w:rsidR="00AA4035" w:rsidRPr="00AA4035" w:rsidRDefault="00AA4035" w:rsidP="00403D9F">
            <w:pPr>
              <w:jc w:val="right"/>
              <w:rPr>
                <w:color w:val="000000" w:themeColor="text1"/>
              </w:rPr>
            </w:pPr>
            <w:r w:rsidRPr="00AA4035">
              <w:rPr>
                <w:color w:val="000000" w:themeColor="text1"/>
              </w:rPr>
              <w:t>$_______________</w:t>
            </w:r>
          </w:p>
        </w:tc>
      </w:tr>
    </w:tbl>
    <w:p w14:paraId="17623AD4" w14:textId="56538226" w:rsidR="00742D10" w:rsidRDefault="00742D10">
      <w:r>
        <w:br w:type="page"/>
      </w:r>
    </w:p>
    <w:p w14:paraId="387A1F88" w14:textId="3570E182" w:rsidR="00742D10" w:rsidRDefault="00AA4035" w:rsidP="00742D10">
      <w:pPr>
        <w:pStyle w:val="Heading1"/>
      </w:pPr>
      <w:bookmarkStart w:id="5" w:name="_Toc179832365"/>
      <w:r w:rsidRPr="00AA4035">
        <w:lastRenderedPageBreak/>
        <w:t>ISO 27001:2022 Benefits</w:t>
      </w:r>
      <w:bookmarkEnd w:id="5"/>
    </w:p>
    <w:p w14:paraId="24DCD84F" w14:textId="77777777" w:rsidR="00742D10" w:rsidRDefault="00742D10" w:rsidP="00742D10"/>
    <w:p w14:paraId="2924713A" w14:textId="37BE6A2C" w:rsidR="00AA4035" w:rsidRDefault="00AA4035" w:rsidP="00AA4035">
      <w:pPr>
        <w:pStyle w:val="Heading2"/>
      </w:pPr>
      <w:bookmarkStart w:id="6" w:name="_Toc179832366"/>
      <w:r w:rsidRPr="00AA4035">
        <w:t>Tangible Financial Benefits</w:t>
      </w:r>
      <w:bookmarkEnd w:id="6"/>
    </w:p>
    <w:p w14:paraId="761885ED" w14:textId="77777777" w:rsidR="00AA4035" w:rsidRDefault="00AA4035" w:rsidP="00AA4035"/>
    <w:tbl>
      <w:tblPr>
        <w:tblStyle w:val="TableGrid"/>
        <w:tblW w:w="8928" w:type="dxa"/>
        <w:tblLook w:val="04A0" w:firstRow="1" w:lastRow="0" w:firstColumn="1" w:lastColumn="0" w:noHBand="0" w:noVBand="1"/>
      </w:tblPr>
      <w:tblGrid>
        <w:gridCol w:w="2605"/>
        <w:gridCol w:w="4320"/>
        <w:gridCol w:w="2003"/>
      </w:tblGrid>
      <w:tr w:rsidR="00AA4035" w:rsidRPr="00321659" w14:paraId="6527C280" w14:textId="77777777" w:rsidTr="00403D9F">
        <w:trPr>
          <w:trHeight w:val="607"/>
        </w:trPr>
        <w:tc>
          <w:tcPr>
            <w:tcW w:w="2605" w:type="dxa"/>
            <w:vAlign w:val="center"/>
          </w:tcPr>
          <w:p w14:paraId="25D6CD5C" w14:textId="77777777" w:rsidR="00AA4035" w:rsidRPr="00AA4035" w:rsidRDefault="00AA4035" w:rsidP="00403D9F">
            <w:pPr>
              <w:jc w:val="left"/>
              <w:rPr>
                <w:b/>
                <w:bCs/>
                <w:color w:val="000000" w:themeColor="text1"/>
              </w:rPr>
            </w:pPr>
            <w:r w:rsidRPr="00AA4035">
              <w:rPr>
                <w:b/>
                <w:bCs/>
                <w:color w:val="000000" w:themeColor="text1"/>
              </w:rPr>
              <w:t>Category</w:t>
            </w:r>
          </w:p>
        </w:tc>
        <w:tc>
          <w:tcPr>
            <w:tcW w:w="4320" w:type="dxa"/>
            <w:vAlign w:val="center"/>
          </w:tcPr>
          <w:p w14:paraId="3C910A6E" w14:textId="77777777" w:rsidR="00AA4035" w:rsidRPr="00AA4035" w:rsidRDefault="00AA4035" w:rsidP="00403D9F">
            <w:pPr>
              <w:jc w:val="left"/>
              <w:rPr>
                <w:b/>
                <w:bCs/>
                <w:color w:val="000000" w:themeColor="text1"/>
              </w:rPr>
            </w:pPr>
            <w:r w:rsidRPr="00AA4035">
              <w:rPr>
                <w:b/>
                <w:bCs/>
                <w:color w:val="000000" w:themeColor="text1"/>
              </w:rPr>
              <w:t>Description</w:t>
            </w:r>
          </w:p>
        </w:tc>
        <w:tc>
          <w:tcPr>
            <w:tcW w:w="2003" w:type="dxa"/>
            <w:vAlign w:val="center"/>
          </w:tcPr>
          <w:p w14:paraId="2349E6CB" w14:textId="77777777" w:rsidR="00AA4035" w:rsidRPr="00AA4035" w:rsidRDefault="00AA4035" w:rsidP="00403D9F">
            <w:pPr>
              <w:jc w:val="center"/>
              <w:rPr>
                <w:b/>
                <w:bCs/>
                <w:color w:val="000000" w:themeColor="text1"/>
              </w:rPr>
            </w:pPr>
            <w:r w:rsidRPr="00AA4035">
              <w:rPr>
                <w:b/>
                <w:bCs/>
                <w:color w:val="000000" w:themeColor="text1"/>
              </w:rPr>
              <w:t>Cost</w:t>
            </w:r>
          </w:p>
        </w:tc>
      </w:tr>
      <w:tr w:rsidR="00AA4035" w:rsidRPr="007B74F9" w14:paraId="22799608" w14:textId="77777777" w:rsidTr="00403D9F">
        <w:trPr>
          <w:trHeight w:val="607"/>
        </w:trPr>
        <w:tc>
          <w:tcPr>
            <w:tcW w:w="2605" w:type="dxa"/>
            <w:vAlign w:val="center"/>
          </w:tcPr>
          <w:p w14:paraId="415D90A7" w14:textId="132C4DED" w:rsidR="00AA4035" w:rsidRPr="00AA4035" w:rsidRDefault="00AA4035" w:rsidP="00403D9F">
            <w:pPr>
              <w:jc w:val="left"/>
              <w:rPr>
                <w:color w:val="000000" w:themeColor="text1"/>
              </w:rPr>
            </w:pPr>
            <w:r w:rsidRPr="00AA4035">
              <w:rPr>
                <w:color w:val="000000" w:themeColor="text1"/>
              </w:rPr>
              <w:t>Reduced Incident Response Costs</w:t>
            </w:r>
          </w:p>
        </w:tc>
        <w:tc>
          <w:tcPr>
            <w:tcW w:w="4320" w:type="dxa"/>
            <w:vAlign w:val="center"/>
          </w:tcPr>
          <w:p w14:paraId="3D831C94" w14:textId="462CFDBA" w:rsidR="00AA4035" w:rsidRPr="00AA4035" w:rsidRDefault="00AA4035" w:rsidP="00403D9F">
            <w:pPr>
              <w:jc w:val="left"/>
              <w:rPr>
                <w:color w:val="000000" w:themeColor="text1"/>
              </w:rPr>
            </w:pPr>
            <w:r w:rsidRPr="00AA4035">
              <w:rPr>
                <w:color w:val="000000" w:themeColor="text1"/>
              </w:rPr>
              <w:t>Decrease in expenses related to data breaches</w:t>
            </w:r>
          </w:p>
        </w:tc>
        <w:tc>
          <w:tcPr>
            <w:tcW w:w="2003" w:type="dxa"/>
            <w:vAlign w:val="center"/>
          </w:tcPr>
          <w:p w14:paraId="69EC1F4C" w14:textId="77777777" w:rsidR="00AA4035" w:rsidRPr="00AA4035" w:rsidRDefault="00AA4035" w:rsidP="00403D9F">
            <w:pPr>
              <w:jc w:val="left"/>
              <w:rPr>
                <w:color w:val="000000" w:themeColor="text1"/>
              </w:rPr>
            </w:pPr>
          </w:p>
        </w:tc>
      </w:tr>
      <w:tr w:rsidR="00AA4035" w:rsidRPr="007B74F9" w14:paraId="2D06BBDB" w14:textId="77777777" w:rsidTr="00403D9F">
        <w:trPr>
          <w:trHeight w:val="607"/>
        </w:trPr>
        <w:tc>
          <w:tcPr>
            <w:tcW w:w="2605" w:type="dxa"/>
            <w:vAlign w:val="center"/>
          </w:tcPr>
          <w:p w14:paraId="2D7D6834" w14:textId="1515A18D" w:rsidR="00AA4035" w:rsidRPr="00AA4035" w:rsidRDefault="00AA4035" w:rsidP="00403D9F">
            <w:pPr>
              <w:jc w:val="left"/>
              <w:rPr>
                <w:color w:val="000000" w:themeColor="text1"/>
              </w:rPr>
            </w:pPr>
            <w:r w:rsidRPr="00AA4035">
              <w:rPr>
                <w:color w:val="000000" w:themeColor="text1"/>
              </w:rPr>
              <w:t>Operational Efficiency Gains</w:t>
            </w:r>
          </w:p>
        </w:tc>
        <w:tc>
          <w:tcPr>
            <w:tcW w:w="4320" w:type="dxa"/>
            <w:vAlign w:val="center"/>
          </w:tcPr>
          <w:p w14:paraId="3F136EAE" w14:textId="1B8FCB7D" w:rsidR="00AA4035" w:rsidRPr="00AA4035" w:rsidRDefault="00AA4035" w:rsidP="00403D9F">
            <w:pPr>
              <w:jc w:val="left"/>
              <w:rPr>
                <w:color w:val="000000" w:themeColor="text1"/>
              </w:rPr>
            </w:pPr>
            <w:r w:rsidRPr="00AA4035">
              <w:rPr>
                <w:color w:val="000000" w:themeColor="text1"/>
              </w:rPr>
              <w:t>Efficiency improvements reducing internal costs</w:t>
            </w:r>
          </w:p>
        </w:tc>
        <w:tc>
          <w:tcPr>
            <w:tcW w:w="2003" w:type="dxa"/>
            <w:vAlign w:val="center"/>
          </w:tcPr>
          <w:p w14:paraId="6789D03E" w14:textId="77777777" w:rsidR="00AA4035" w:rsidRPr="00AA4035" w:rsidRDefault="00AA4035" w:rsidP="00403D9F">
            <w:pPr>
              <w:jc w:val="left"/>
              <w:rPr>
                <w:color w:val="000000" w:themeColor="text1"/>
              </w:rPr>
            </w:pPr>
          </w:p>
        </w:tc>
      </w:tr>
      <w:tr w:rsidR="00AA4035" w:rsidRPr="007B74F9" w14:paraId="1E55FA65" w14:textId="77777777" w:rsidTr="00403D9F">
        <w:trPr>
          <w:trHeight w:val="607"/>
        </w:trPr>
        <w:tc>
          <w:tcPr>
            <w:tcW w:w="2605" w:type="dxa"/>
            <w:vAlign w:val="center"/>
          </w:tcPr>
          <w:p w14:paraId="76619885" w14:textId="4D43AC84" w:rsidR="00AA4035" w:rsidRPr="00AA4035" w:rsidRDefault="00AA4035" w:rsidP="00403D9F">
            <w:pPr>
              <w:jc w:val="left"/>
              <w:rPr>
                <w:color w:val="000000" w:themeColor="text1"/>
              </w:rPr>
            </w:pPr>
            <w:r w:rsidRPr="00AA4035">
              <w:rPr>
                <w:color w:val="000000" w:themeColor="text1"/>
              </w:rPr>
              <w:t>Compliance Penalty Avoidance</w:t>
            </w:r>
          </w:p>
        </w:tc>
        <w:tc>
          <w:tcPr>
            <w:tcW w:w="4320" w:type="dxa"/>
            <w:vAlign w:val="center"/>
          </w:tcPr>
          <w:p w14:paraId="19252FF6" w14:textId="7F6BF260" w:rsidR="00AA4035" w:rsidRPr="00AA4035" w:rsidRDefault="00AA4035" w:rsidP="00403D9F">
            <w:pPr>
              <w:jc w:val="left"/>
              <w:rPr>
                <w:color w:val="000000" w:themeColor="text1"/>
              </w:rPr>
            </w:pPr>
            <w:r w:rsidRPr="00AA4035">
              <w:rPr>
                <w:color w:val="000000" w:themeColor="text1"/>
              </w:rPr>
              <w:t>Savings from avoiding fines or penalties</w:t>
            </w:r>
          </w:p>
        </w:tc>
        <w:tc>
          <w:tcPr>
            <w:tcW w:w="2003" w:type="dxa"/>
            <w:vAlign w:val="center"/>
          </w:tcPr>
          <w:p w14:paraId="42ADBDC5" w14:textId="77777777" w:rsidR="00AA4035" w:rsidRPr="00AA4035" w:rsidRDefault="00AA4035" w:rsidP="00403D9F">
            <w:pPr>
              <w:jc w:val="left"/>
              <w:rPr>
                <w:color w:val="000000" w:themeColor="text1"/>
              </w:rPr>
            </w:pPr>
          </w:p>
        </w:tc>
      </w:tr>
      <w:tr w:rsidR="00AA4035" w:rsidRPr="007B74F9" w14:paraId="2B75B1AE" w14:textId="77777777" w:rsidTr="00403D9F">
        <w:trPr>
          <w:trHeight w:val="607"/>
        </w:trPr>
        <w:tc>
          <w:tcPr>
            <w:tcW w:w="2605" w:type="dxa"/>
            <w:vAlign w:val="center"/>
          </w:tcPr>
          <w:p w14:paraId="6373C7A3" w14:textId="0091444B" w:rsidR="00AA4035" w:rsidRPr="00AA4035" w:rsidRDefault="00AA4035" w:rsidP="00403D9F">
            <w:pPr>
              <w:jc w:val="left"/>
              <w:rPr>
                <w:color w:val="000000" w:themeColor="text1"/>
              </w:rPr>
            </w:pPr>
            <w:r w:rsidRPr="00AA4035">
              <w:rPr>
                <w:color w:val="000000" w:themeColor="text1"/>
              </w:rPr>
              <w:t>Insurance Premium Savings</w:t>
            </w:r>
          </w:p>
        </w:tc>
        <w:tc>
          <w:tcPr>
            <w:tcW w:w="4320" w:type="dxa"/>
            <w:vAlign w:val="center"/>
          </w:tcPr>
          <w:p w14:paraId="6BBE94F9" w14:textId="6C9F430F" w:rsidR="00AA4035" w:rsidRPr="00AA4035" w:rsidRDefault="00AA4035" w:rsidP="00403D9F">
            <w:pPr>
              <w:jc w:val="left"/>
              <w:rPr>
                <w:color w:val="000000" w:themeColor="text1"/>
              </w:rPr>
            </w:pPr>
            <w:r w:rsidRPr="00AA4035">
              <w:rPr>
                <w:color w:val="000000" w:themeColor="text1"/>
              </w:rPr>
              <w:t>Reduction in cybersecurity insurance premiums</w:t>
            </w:r>
            <w:r w:rsidRPr="00AA4035">
              <w:rPr>
                <w:color w:val="000000" w:themeColor="text1"/>
              </w:rPr>
              <w:tab/>
            </w:r>
          </w:p>
        </w:tc>
        <w:tc>
          <w:tcPr>
            <w:tcW w:w="2003" w:type="dxa"/>
            <w:vAlign w:val="center"/>
          </w:tcPr>
          <w:p w14:paraId="09660FB8" w14:textId="77777777" w:rsidR="00AA4035" w:rsidRPr="00AA4035" w:rsidRDefault="00AA4035" w:rsidP="00403D9F">
            <w:pPr>
              <w:jc w:val="left"/>
              <w:rPr>
                <w:color w:val="000000" w:themeColor="text1"/>
              </w:rPr>
            </w:pPr>
          </w:p>
        </w:tc>
      </w:tr>
      <w:tr w:rsidR="00AA4035" w:rsidRPr="007B74F9" w14:paraId="0752B14E" w14:textId="77777777" w:rsidTr="00403D9F">
        <w:trPr>
          <w:trHeight w:val="607"/>
        </w:trPr>
        <w:tc>
          <w:tcPr>
            <w:tcW w:w="2605" w:type="dxa"/>
            <w:vAlign w:val="center"/>
          </w:tcPr>
          <w:p w14:paraId="40F9191E" w14:textId="718B0922" w:rsidR="00AA4035" w:rsidRPr="00AA4035" w:rsidRDefault="00AA4035" w:rsidP="00403D9F">
            <w:pPr>
              <w:jc w:val="left"/>
              <w:rPr>
                <w:color w:val="000000" w:themeColor="text1"/>
              </w:rPr>
            </w:pPr>
            <w:r w:rsidRPr="00AA4035">
              <w:rPr>
                <w:color w:val="000000" w:themeColor="text1"/>
              </w:rPr>
              <w:t>Other Benefits</w:t>
            </w:r>
          </w:p>
        </w:tc>
        <w:tc>
          <w:tcPr>
            <w:tcW w:w="4320" w:type="dxa"/>
            <w:vAlign w:val="center"/>
          </w:tcPr>
          <w:p w14:paraId="2F456F16" w14:textId="77777777" w:rsidR="00AA4035" w:rsidRPr="00AA4035" w:rsidRDefault="00AA4035" w:rsidP="00403D9F">
            <w:pPr>
              <w:jc w:val="left"/>
              <w:rPr>
                <w:color w:val="000000" w:themeColor="text1"/>
              </w:rPr>
            </w:pPr>
          </w:p>
        </w:tc>
        <w:tc>
          <w:tcPr>
            <w:tcW w:w="2003" w:type="dxa"/>
            <w:vAlign w:val="center"/>
          </w:tcPr>
          <w:p w14:paraId="15C37B02" w14:textId="77777777" w:rsidR="00AA4035" w:rsidRPr="00AA4035" w:rsidRDefault="00AA4035" w:rsidP="00403D9F">
            <w:pPr>
              <w:jc w:val="left"/>
              <w:rPr>
                <w:color w:val="000000" w:themeColor="text1"/>
              </w:rPr>
            </w:pPr>
          </w:p>
        </w:tc>
      </w:tr>
      <w:tr w:rsidR="00AA4035" w:rsidRPr="007B74F9" w14:paraId="6E6FF584" w14:textId="77777777" w:rsidTr="00403D9F">
        <w:trPr>
          <w:trHeight w:val="607"/>
        </w:trPr>
        <w:tc>
          <w:tcPr>
            <w:tcW w:w="2605" w:type="dxa"/>
            <w:vAlign w:val="center"/>
          </w:tcPr>
          <w:p w14:paraId="5D2E1DA7" w14:textId="77777777" w:rsidR="00AA4035" w:rsidRPr="00AA4035" w:rsidRDefault="00AA4035" w:rsidP="00403D9F">
            <w:pPr>
              <w:jc w:val="left"/>
              <w:rPr>
                <w:color w:val="000000" w:themeColor="text1"/>
              </w:rPr>
            </w:pPr>
            <w:r w:rsidRPr="00AA4035">
              <w:rPr>
                <w:color w:val="000000" w:themeColor="text1"/>
              </w:rPr>
              <w:t>Total Initial Investment</w:t>
            </w:r>
          </w:p>
        </w:tc>
        <w:tc>
          <w:tcPr>
            <w:tcW w:w="6323" w:type="dxa"/>
            <w:gridSpan w:val="2"/>
            <w:vAlign w:val="center"/>
          </w:tcPr>
          <w:p w14:paraId="4D346769" w14:textId="2BA1E734" w:rsidR="00AA4035" w:rsidRPr="00AA4035" w:rsidRDefault="00AA4035" w:rsidP="00403D9F">
            <w:pPr>
              <w:jc w:val="right"/>
              <w:rPr>
                <w:color w:val="000000" w:themeColor="text1"/>
              </w:rPr>
            </w:pPr>
            <w:r w:rsidRPr="00AA4035">
              <w:rPr>
                <w:color w:val="000000" w:themeColor="text1"/>
              </w:rPr>
              <w:t>$_______________</w:t>
            </w:r>
          </w:p>
        </w:tc>
      </w:tr>
    </w:tbl>
    <w:p w14:paraId="089E6F1E" w14:textId="77777777" w:rsidR="00AA4035" w:rsidRDefault="00AA4035" w:rsidP="00742D10"/>
    <w:p w14:paraId="0BF61BDA" w14:textId="77777777" w:rsidR="00AA4035" w:rsidRDefault="00AA4035" w:rsidP="00742D10"/>
    <w:p w14:paraId="00F9F22A" w14:textId="77777777" w:rsidR="00AA4035" w:rsidRDefault="00AA4035" w:rsidP="00AA4035">
      <w:pPr>
        <w:pStyle w:val="Heading2"/>
      </w:pPr>
      <w:bookmarkStart w:id="7" w:name="_Toc179832367"/>
      <w:r w:rsidRPr="00AA4035">
        <w:t>Intangible Benefits (Optional)</w:t>
      </w:r>
      <w:bookmarkEnd w:id="7"/>
    </w:p>
    <w:p w14:paraId="0E1C4E5E" w14:textId="77777777" w:rsidR="00AA4035" w:rsidRDefault="00AA4035" w:rsidP="00AA4035"/>
    <w:tbl>
      <w:tblPr>
        <w:tblStyle w:val="TableGrid"/>
        <w:tblW w:w="8928" w:type="dxa"/>
        <w:tblLook w:val="04A0" w:firstRow="1" w:lastRow="0" w:firstColumn="1" w:lastColumn="0" w:noHBand="0" w:noVBand="1"/>
      </w:tblPr>
      <w:tblGrid>
        <w:gridCol w:w="2605"/>
        <w:gridCol w:w="4320"/>
        <w:gridCol w:w="2003"/>
      </w:tblGrid>
      <w:tr w:rsidR="00AA4035" w:rsidRPr="00AA4035" w14:paraId="7FE8A625" w14:textId="77777777" w:rsidTr="00403D9F">
        <w:trPr>
          <w:trHeight w:val="607"/>
        </w:trPr>
        <w:tc>
          <w:tcPr>
            <w:tcW w:w="2605" w:type="dxa"/>
            <w:vAlign w:val="center"/>
          </w:tcPr>
          <w:p w14:paraId="11977B79" w14:textId="77777777" w:rsidR="00AA4035" w:rsidRPr="00AA4035" w:rsidRDefault="00AA4035" w:rsidP="00403D9F">
            <w:pPr>
              <w:jc w:val="left"/>
              <w:rPr>
                <w:b/>
                <w:bCs/>
                <w:color w:val="000000" w:themeColor="text1"/>
              </w:rPr>
            </w:pPr>
            <w:r w:rsidRPr="00AA4035">
              <w:rPr>
                <w:b/>
                <w:bCs/>
                <w:color w:val="000000" w:themeColor="text1"/>
              </w:rPr>
              <w:t>Category</w:t>
            </w:r>
          </w:p>
        </w:tc>
        <w:tc>
          <w:tcPr>
            <w:tcW w:w="4320" w:type="dxa"/>
            <w:vAlign w:val="center"/>
          </w:tcPr>
          <w:p w14:paraId="7B688674" w14:textId="77777777" w:rsidR="00AA4035" w:rsidRPr="00AA4035" w:rsidRDefault="00AA4035" w:rsidP="00403D9F">
            <w:pPr>
              <w:jc w:val="left"/>
              <w:rPr>
                <w:b/>
                <w:bCs/>
                <w:color w:val="000000" w:themeColor="text1"/>
              </w:rPr>
            </w:pPr>
            <w:r w:rsidRPr="00AA4035">
              <w:rPr>
                <w:b/>
                <w:bCs/>
                <w:color w:val="000000" w:themeColor="text1"/>
              </w:rPr>
              <w:t>Description</w:t>
            </w:r>
          </w:p>
        </w:tc>
        <w:tc>
          <w:tcPr>
            <w:tcW w:w="2003" w:type="dxa"/>
            <w:vAlign w:val="center"/>
          </w:tcPr>
          <w:p w14:paraId="73FB0480" w14:textId="77777777" w:rsidR="00AA4035" w:rsidRPr="00AA4035" w:rsidRDefault="00AA4035" w:rsidP="00403D9F">
            <w:pPr>
              <w:jc w:val="center"/>
              <w:rPr>
                <w:b/>
                <w:bCs/>
                <w:color w:val="000000" w:themeColor="text1"/>
              </w:rPr>
            </w:pPr>
            <w:r w:rsidRPr="00AA4035">
              <w:rPr>
                <w:b/>
                <w:bCs/>
                <w:color w:val="000000" w:themeColor="text1"/>
              </w:rPr>
              <w:t>Cost</w:t>
            </w:r>
          </w:p>
        </w:tc>
      </w:tr>
      <w:tr w:rsidR="00AA4035" w:rsidRPr="00AA4035" w14:paraId="59B0FCB8" w14:textId="77777777" w:rsidTr="00403D9F">
        <w:trPr>
          <w:trHeight w:val="607"/>
        </w:trPr>
        <w:tc>
          <w:tcPr>
            <w:tcW w:w="2605" w:type="dxa"/>
            <w:vAlign w:val="center"/>
          </w:tcPr>
          <w:p w14:paraId="1B3ADF31" w14:textId="77CD767C" w:rsidR="00AA4035" w:rsidRPr="00AA4035" w:rsidRDefault="00AA4035" w:rsidP="00403D9F">
            <w:pPr>
              <w:jc w:val="left"/>
              <w:rPr>
                <w:color w:val="000000" w:themeColor="text1"/>
              </w:rPr>
            </w:pPr>
            <w:r w:rsidRPr="00AA4035">
              <w:rPr>
                <w:color w:val="000000" w:themeColor="text1"/>
              </w:rPr>
              <w:t>Enhanced Reputation</w:t>
            </w:r>
          </w:p>
        </w:tc>
        <w:tc>
          <w:tcPr>
            <w:tcW w:w="4320" w:type="dxa"/>
            <w:vAlign w:val="center"/>
          </w:tcPr>
          <w:p w14:paraId="3C91171E" w14:textId="389522A9" w:rsidR="00AA4035" w:rsidRPr="00AA4035" w:rsidRDefault="00AA4035" w:rsidP="00403D9F">
            <w:pPr>
              <w:jc w:val="left"/>
              <w:rPr>
                <w:color w:val="000000" w:themeColor="text1"/>
              </w:rPr>
            </w:pPr>
            <w:r w:rsidRPr="00AA4035">
              <w:rPr>
                <w:color w:val="000000" w:themeColor="text1"/>
              </w:rPr>
              <w:t>Improved trust with customers and partners due to certification</w:t>
            </w:r>
          </w:p>
        </w:tc>
        <w:tc>
          <w:tcPr>
            <w:tcW w:w="2003" w:type="dxa"/>
            <w:vAlign w:val="center"/>
          </w:tcPr>
          <w:p w14:paraId="2530BC35" w14:textId="77777777" w:rsidR="00AA4035" w:rsidRPr="00AA4035" w:rsidRDefault="00AA4035" w:rsidP="00403D9F">
            <w:pPr>
              <w:jc w:val="left"/>
              <w:rPr>
                <w:color w:val="000000" w:themeColor="text1"/>
              </w:rPr>
            </w:pPr>
          </w:p>
        </w:tc>
      </w:tr>
      <w:tr w:rsidR="00AA4035" w:rsidRPr="00AA4035" w14:paraId="2C0D8F47" w14:textId="77777777" w:rsidTr="00403D9F">
        <w:trPr>
          <w:trHeight w:val="607"/>
        </w:trPr>
        <w:tc>
          <w:tcPr>
            <w:tcW w:w="2605" w:type="dxa"/>
            <w:vAlign w:val="center"/>
          </w:tcPr>
          <w:p w14:paraId="75DBF2E9" w14:textId="21301E35" w:rsidR="00AA4035" w:rsidRPr="00AA4035" w:rsidRDefault="00AA4035" w:rsidP="00403D9F">
            <w:pPr>
              <w:jc w:val="left"/>
              <w:rPr>
                <w:color w:val="000000" w:themeColor="text1"/>
              </w:rPr>
            </w:pPr>
            <w:r w:rsidRPr="00AA4035">
              <w:rPr>
                <w:color w:val="000000" w:themeColor="text1"/>
              </w:rPr>
              <w:t>Competitive Advantage</w:t>
            </w:r>
          </w:p>
        </w:tc>
        <w:tc>
          <w:tcPr>
            <w:tcW w:w="4320" w:type="dxa"/>
            <w:vAlign w:val="center"/>
          </w:tcPr>
          <w:p w14:paraId="1202CD35" w14:textId="1822E350" w:rsidR="00AA4035" w:rsidRPr="00AA4035" w:rsidRDefault="00AA4035" w:rsidP="00403D9F">
            <w:pPr>
              <w:jc w:val="left"/>
              <w:rPr>
                <w:color w:val="000000" w:themeColor="text1"/>
              </w:rPr>
            </w:pPr>
            <w:r w:rsidRPr="00AA4035">
              <w:rPr>
                <w:color w:val="000000" w:themeColor="text1"/>
              </w:rPr>
              <w:t>Strengthened market position with recognized certification</w:t>
            </w:r>
          </w:p>
        </w:tc>
        <w:tc>
          <w:tcPr>
            <w:tcW w:w="2003" w:type="dxa"/>
            <w:vAlign w:val="center"/>
          </w:tcPr>
          <w:p w14:paraId="108727C6" w14:textId="77777777" w:rsidR="00AA4035" w:rsidRPr="00AA4035" w:rsidRDefault="00AA4035" w:rsidP="00403D9F">
            <w:pPr>
              <w:jc w:val="left"/>
              <w:rPr>
                <w:color w:val="000000" w:themeColor="text1"/>
              </w:rPr>
            </w:pPr>
          </w:p>
        </w:tc>
      </w:tr>
      <w:tr w:rsidR="00AA4035" w:rsidRPr="00AA4035" w14:paraId="79E8D496" w14:textId="77777777" w:rsidTr="00403D9F">
        <w:trPr>
          <w:trHeight w:val="607"/>
        </w:trPr>
        <w:tc>
          <w:tcPr>
            <w:tcW w:w="2605" w:type="dxa"/>
            <w:vAlign w:val="center"/>
          </w:tcPr>
          <w:p w14:paraId="1F3E610D" w14:textId="6554015D" w:rsidR="00AA4035" w:rsidRPr="00AA4035" w:rsidRDefault="00AA4035" w:rsidP="00403D9F">
            <w:pPr>
              <w:jc w:val="left"/>
              <w:rPr>
                <w:color w:val="000000" w:themeColor="text1"/>
              </w:rPr>
            </w:pPr>
            <w:r w:rsidRPr="00AA4035">
              <w:rPr>
                <w:color w:val="000000" w:themeColor="text1"/>
              </w:rPr>
              <w:t>Employee Morale</w:t>
            </w:r>
          </w:p>
        </w:tc>
        <w:tc>
          <w:tcPr>
            <w:tcW w:w="4320" w:type="dxa"/>
            <w:vAlign w:val="center"/>
          </w:tcPr>
          <w:p w14:paraId="371DE36D" w14:textId="305079B6" w:rsidR="00AA4035" w:rsidRPr="00AA4035" w:rsidRDefault="00AA4035" w:rsidP="00403D9F">
            <w:pPr>
              <w:jc w:val="left"/>
              <w:rPr>
                <w:color w:val="000000" w:themeColor="text1"/>
              </w:rPr>
            </w:pPr>
            <w:r w:rsidRPr="00AA4035">
              <w:rPr>
                <w:color w:val="000000" w:themeColor="text1"/>
              </w:rPr>
              <w:t>Increased employee confidence in secure operational procedures</w:t>
            </w:r>
          </w:p>
        </w:tc>
        <w:tc>
          <w:tcPr>
            <w:tcW w:w="2003" w:type="dxa"/>
            <w:vAlign w:val="center"/>
          </w:tcPr>
          <w:p w14:paraId="10AA8CD0" w14:textId="77777777" w:rsidR="00AA4035" w:rsidRPr="00AA4035" w:rsidRDefault="00AA4035" w:rsidP="00403D9F">
            <w:pPr>
              <w:jc w:val="left"/>
              <w:rPr>
                <w:color w:val="000000" w:themeColor="text1"/>
              </w:rPr>
            </w:pPr>
          </w:p>
        </w:tc>
      </w:tr>
      <w:tr w:rsidR="00AA4035" w:rsidRPr="00AA4035" w14:paraId="1B17160B" w14:textId="77777777" w:rsidTr="00403D9F">
        <w:trPr>
          <w:trHeight w:val="607"/>
        </w:trPr>
        <w:tc>
          <w:tcPr>
            <w:tcW w:w="2605" w:type="dxa"/>
            <w:vAlign w:val="center"/>
          </w:tcPr>
          <w:p w14:paraId="53B710C6" w14:textId="77777777" w:rsidR="00AA4035" w:rsidRPr="00AA4035" w:rsidRDefault="00AA4035" w:rsidP="00403D9F">
            <w:pPr>
              <w:jc w:val="left"/>
              <w:rPr>
                <w:color w:val="000000" w:themeColor="text1"/>
              </w:rPr>
            </w:pPr>
            <w:r w:rsidRPr="00AA4035">
              <w:rPr>
                <w:color w:val="000000" w:themeColor="text1"/>
              </w:rPr>
              <w:t>Total Initial Investment</w:t>
            </w:r>
          </w:p>
        </w:tc>
        <w:tc>
          <w:tcPr>
            <w:tcW w:w="6323" w:type="dxa"/>
            <w:gridSpan w:val="2"/>
            <w:vAlign w:val="center"/>
          </w:tcPr>
          <w:p w14:paraId="310B570B" w14:textId="38C4C104" w:rsidR="00AA4035" w:rsidRPr="00AA4035" w:rsidRDefault="00AA4035" w:rsidP="00403D9F">
            <w:pPr>
              <w:jc w:val="right"/>
              <w:rPr>
                <w:color w:val="000000" w:themeColor="text1"/>
              </w:rPr>
            </w:pPr>
            <w:r w:rsidRPr="00AA4035">
              <w:rPr>
                <w:color w:val="000000" w:themeColor="text1"/>
              </w:rPr>
              <w:t>$_______________</w:t>
            </w:r>
          </w:p>
        </w:tc>
      </w:tr>
    </w:tbl>
    <w:p w14:paraId="0FFDAB0B" w14:textId="67C4DA27" w:rsidR="00AA4035" w:rsidRDefault="00AA4035" w:rsidP="00AA4035"/>
    <w:p w14:paraId="05F202A8" w14:textId="77777777" w:rsidR="00AA4035" w:rsidRDefault="00AA4035">
      <w:pPr>
        <w:jc w:val="left"/>
      </w:pPr>
      <w:r>
        <w:br w:type="page"/>
      </w:r>
    </w:p>
    <w:p w14:paraId="218AE01F" w14:textId="30B7F3F7" w:rsidR="00AA4035" w:rsidRDefault="00AA4035" w:rsidP="00AA4035">
      <w:pPr>
        <w:pStyle w:val="Heading1"/>
      </w:pPr>
      <w:bookmarkStart w:id="8" w:name="_Toc179832368"/>
      <w:r w:rsidRPr="00AA4035">
        <w:lastRenderedPageBreak/>
        <w:t>ROI Calculation</w:t>
      </w:r>
      <w:bookmarkEnd w:id="8"/>
    </w:p>
    <w:p w14:paraId="2E094EB5" w14:textId="77777777" w:rsidR="00AA4035" w:rsidRDefault="00AA4035" w:rsidP="00AA4035"/>
    <w:tbl>
      <w:tblPr>
        <w:tblStyle w:val="TableGrid"/>
        <w:tblW w:w="9030" w:type="dxa"/>
        <w:tblLook w:val="04A0" w:firstRow="1" w:lastRow="0" w:firstColumn="1" w:lastColumn="0" w:noHBand="0" w:noVBand="1"/>
      </w:tblPr>
      <w:tblGrid>
        <w:gridCol w:w="3505"/>
        <w:gridCol w:w="5525"/>
      </w:tblGrid>
      <w:tr w:rsidR="00AA4035" w:rsidRPr="00321659" w14:paraId="119C6441" w14:textId="77777777" w:rsidTr="00403D9F">
        <w:trPr>
          <w:trHeight w:val="607"/>
        </w:trPr>
        <w:tc>
          <w:tcPr>
            <w:tcW w:w="3505" w:type="dxa"/>
            <w:vAlign w:val="center"/>
          </w:tcPr>
          <w:p w14:paraId="63B2F44F" w14:textId="1F6CF3A1" w:rsidR="00AA4035" w:rsidRPr="0086457F" w:rsidRDefault="00AA4035" w:rsidP="00403D9F">
            <w:pPr>
              <w:jc w:val="center"/>
              <w:rPr>
                <w:b/>
                <w:bCs/>
              </w:rPr>
            </w:pPr>
            <w:r w:rsidRPr="00AA4035">
              <w:rPr>
                <w:b/>
                <w:bCs/>
              </w:rPr>
              <w:t>Category</w:t>
            </w:r>
          </w:p>
        </w:tc>
        <w:tc>
          <w:tcPr>
            <w:tcW w:w="5525" w:type="dxa"/>
            <w:vAlign w:val="center"/>
          </w:tcPr>
          <w:p w14:paraId="635366D2" w14:textId="0289E049" w:rsidR="00AA4035" w:rsidRPr="00321659" w:rsidRDefault="00AA4035" w:rsidP="00403D9F">
            <w:pPr>
              <w:jc w:val="center"/>
              <w:rPr>
                <w:b/>
                <w:bCs/>
                <w:color w:val="595959" w:themeColor="text1" w:themeTint="A6"/>
              </w:rPr>
            </w:pPr>
            <w:r w:rsidRPr="00AA4035">
              <w:rPr>
                <w:b/>
                <w:bCs/>
                <w:color w:val="000000" w:themeColor="text1"/>
              </w:rPr>
              <w:t>Value ($)</w:t>
            </w:r>
          </w:p>
        </w:tc>
      </w:tr>
      <w:tr w:rsidR="00AA4035" w:rsidRPr="00742D10" w14:paraId="55ED1F65" w14:textId="77777777" w:rsidTr="00403D9F">
        <w:trPr>
          <w:trHeight w:val="607"/>
        </w:trPr>
        <w:tc>
          <w:tcPr>
            <w:tcW w:w="3505" w:type="dxa"/>
            <w:vAlign w:val="center"/>
          </w:tcPr>
          <w:p w14:paraId="37BEBC8C" w14:textId="59BE2AA0" w:rsidR="00AA4035" w:rsidRPr="00110883" w:rsidRDefault="00AA4035" w:rsidP="00403D9F">
            <w:pPr>
              <w:jc w:val="left"/>
            </w:pPr>
            <w:r w:rsidRPr="00AA4035">
              <w:t>Total Financial Benefits</w:t>
            </w:r>
          </w:p>
        </w:tc>
        <w:tc>
          <w:tcPr>
            <w:tcW w:w="5525" w:type="dxa"/>
            <w:vAlign w:val="center"/>
          </w:tcPr>
          <w:p w14:paraId="2B5423C6" w14:textId="369848A0" w:rsidR="00AA4035" w:rsidRPr="00742D10" w:rsidRDefault="00AA4035" w:rsidP="00AA4035">
            <w:pPr>
              <w:jc w:val="right"/>
              <w:rPr>
                <w:color w:val="000000" w:themeColor="text1"/>
              </w:rPr>
            </w:pPr>
            <w:r w:rsidRPr="00AA4035">
              <w:rPr>
                <w:color w:val="000000" w:themeColor="text1"/>
              </w:rPr>
              <w:t>$</w:t>
            </w:r>
            <w:r>
              <w:rPr>
                <w:color w:val="000000" w:themeColor="text1"/>
              </w:rPr>
              <w:t>_____________________</w:t>
            </w:r>
          </w:p>
        </w:tc>
      </w:tr>
      <w:tr w:rsidR="00AA4035" w:rsidRPr="00742D10" w14:paraId="20CD83F7" w14:textId="77777777" w:rsidTr="00403D9F">
        <w:trPr>
          <w:trHeight w:val="607"/>
        </w:trPr>
        <w:tc>
          <w:tcPr>
            <w:tcW w:w="3505" w:type="dxa"/>
            <w:vAlign w:val="center"/>
          </w:tcPr>
          <w:p w14:paraId="04DA55F0" w14:textId="00A70BD0" w:rsidR="00AA4035" w:rsidRPr="00110883" w:rsidRDefault="00AA4035" w:rsidP="00403D9F">
            <w:pPr>
              <w:jc w:val="left"/>
            </w:pPr>
            <w:r w:rsidRPr="00AA4035">
              <w:t>Total Costs (Initial + Ongoing)</w:t>
            </w:r>
          </w:p>
        </w:tc>
        <w:tc>
          <w:tcPr>
            <w:tcW w:w="5525" w:type="dxa"/>
            <w:vAlign w:val="center"/>
          </w:tcPr>
          <w:p w14:paraId="471F8F69" w14:textId="70F0690D" w:rsidR="00AA4035" w:rsidRPr="00742D10" w:rsidRDefault="00AA4035" w:rsidP="00AA4035">
            <w:pPr>
              <w:jc w:val="right"/>
              <w:rPr>
                <w:color w:val="000000" w:themeColor="text1"/>
              </w:rPr>
            </w:pPr>
            <w:r w:rsidRPr="00AA4035">
              <w:rPr>
                <w:color w:val="000000" w:themeColor="text1"/>
              </w:rPr>
              <w:t>$</w:t>
            </w:r>
            <w:r>
              <w:rPr>
                <w:color w:val="000000" w:themeColor="text1"/>
              </w:rPr>
              <w:t>_____________________</w:t>
            </w:r>
          </w:p>
        </w:tc>
      </w:tr>
      <w:tr w:rsidR="00AA4035" w:rsidRPr="00742D10" w14:paraId="67F0CAEF" w14:textId="77777777" w:rsidTr="00AA4035">
        <w:trPr>
          <w:trHeight w:val="1331"/>
        </w:trPr>
        <w:tc>
          <w:tcPr>
            <w:tcW w:w="3505" w:type="dxa"/>
            <w:vAlign w:val="center"/>
          </w:tcPr>
          <w:p w14:paraId="074C65E3" w14:textId="1E88180B" w:rsidR="00AA4035" w:rsidRPr="00110883" w:rsidRDefault="00AA4035" w:rsidP="00403D9F">
            <w:pPr>
              <w:jc w:val="left"/>
            </w:pPr>
            <w:r w:rsidRPr="00AA4035">
              <w:t>ROI Calculation</w:t>
            </w:r>
          </w:p>
        </w:tc>
        <w:tc>
          <w:tcPr>
            <w:tcW w:w="5525" w:type="dxa"/>
            <w:vAlign w:val="center"/>
          </w:tcPr>
          <w:p w14:paraId="18ED7010" w14:textId="7B5F2579" w:rsidR="00AA4035" w:rsidRPr="00AA4035" w:rsidRDefault="00AA4035" w:rsidP="00AA4035">
            <m:oMathPara>
              <m:oMath>
                <m:r>
                  <w:rPr>
                    <w:rFonts w:ascii="Cambria Math" w:hAnsi="Cambria Math"/>
                  </w:rPr>
                  <m:t>R</m:t>
                </m:r>
                <m:r>
                  <w:rPr>
                    <w:rFonts w:ascii="Cambria Math" w:hAnsi="Cambria Math"/>
                  </w:rPr>
                  <m:t>OI</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Total Benefits</m:t>
                        </m:r>
                        <m:r>
                          <w:rPr>
                            <w:rFonts w:ascii="Cambria Math" w:hAnsi="Cambria Math"/>
                          </w:rPr>
                          <m:t>-</m:t>
                        </m:r>
                        <m:r>
                          <w:rPr>
                            <w:rFonts w:ascii="Cambria Math" w:hAnsi="Cambria Math"/>
                          </w:rPr>
                          <m:t>Total Costs</m:t>
                        </m:r>
                      </m:e>
                    </m:d>
                  </m:num>
                  <m:den>
                    <m:r>
                      <w:rPr>
                        <w:rFonts w:ascii="Cambria Math" w:hAnsi="Cambria Math"/>
                      </w:rPr>
                      <m:t>Total Costs</m:t>
                    </m:r>
                  </m:den>
                </m:f>
                <m:r>
                  <w:rPr>
                    <w:rFonts w:ascii="Cambria Math" w:hAnsi="Cambria Math"/>
                  </w:rPr>
                  <m:t>×10</m:t>
                </m:r>
                <m:r>
                  <w:rPr>
                    <w:rFonts w:ascii="Cambria Math" w:hAnsi="Cambria Math"/>
                  </w:rPr>
                  <m:t>0</m:t>
                </m:r>
              </m:oMath>
            </m:oMathPara>
          </w:p>
        </w:tc>
      </w:tr>
      <w:tr w:rsidR="00AA4035" w:rsidRPr="00742D10" w14:paraId="23AFDE82" w14:textId="77777777" w:rsidTr="00403D9F">
        <w:trPr>
          <w:trHeight w:val="607"/>
        </w:trPr>
        <w:tc>
          <w:tcPr>
            <w:tcW w:w="3505" w:type="dxa"/>
            <w:vAlign w:val="center"/>
          </w:tcPr>
          <w:p w14:paraId="1BA62AB6" w14:textId="67F4398A" w:rsidR="00AA4035" w:rsidRPr="00110883" w:rsidRDefault="00AA4035" w:rsidP="00403D9F">
            <w:pPr>
              <w:jc w:val="left"/>
            </w:pPr>
            <w:r w:rsidRPr="00AA4035">
              <w:t>Return on Investment (ROI)</w:t>
            </w:r>
          </w:p>
        </w:tc>
        <w:tc>
          <w:tcPr>
            <w:tcW w:w="5525" w:type="dxa"/>
            <w:vAlign w:val="center"/>
          </w:tcPr>
          <w:p w14:paraId="50C15392" w14:textId="77B52971" w:rsidR="00AA4035" w:rsidRPr="00742D10" w:rsidRDefault="00AA4035" w:rsidP="00AA4035">
            <w:pPr>
              <w:jc w:val="right"/>
              <w:rPr>
                <w:color w:val="000000" w:themeColor="text1"/>
              </w:rPr>
            </w:pPr>
            <w:r>
              <w:rPr>
                <w:color w:val="000000" w:themeColor="text1"/>
              </w:rPr>
              <w:t>_________</w:t>
            </w:r>
            <w:r w:rsidRPr="00AA4035">
              <w:rPr>
                <w:color w:val="000000" w:themeColor="text1"/>
              </w:rPr>
              <w:t>______%</w:t>
            </w:r>
          </w:p>
        </w:tc>
      </w:tr>
    </w:tbl>
    <w:p w14:paraId="1C249BAC" w14:textId="77777777" w:rsidR="00AA4035" w:rsidRPr="00AA4035" w:rsidRDefault="00AA4035" w:rsidP="00AA4035"/>
    <w:p w14:paraId="7DA8CD83" w14:textId="41198AFE" w:rsidR="00742D10" w:rsidRDefault="00AA4035" w:rsidP="00742D10">
      <w:r>
        <w:br w:type="page"/>
      </w:r>
    </w:p>
    <w:p w14:paraId="0ADBE357" w14:textId="6608F413" w:rsidR="00742D10" w:rsidRDefault="00AA4035" w:rsidP="00AA4035">
      <w:pPr>
        <w:pStyle w:val="Heading1"/>
      </w:pPr>
      <w:bookmarkStart w:id="9" w:name="_Toc179832369"/>
      <w:r w:rsidRPr="00AA4035">
        <w:lastRenderedPageBreak/>
        <w:t>Conclusion</w:t>
      </w:r>
      <w:bookmarkEnd w:id="9"/>
    </w:p>
    <w:p w14:paraId="534BE3BB" w14:textId="77777777" w:rsidR="00AA4035" w:rsidRDefault="00AA4035"/>
    <w:p w14:paraId="7CEBC6A5" w14:textId="19D883AA" w:rsidR="00742D10" w:rsidRDefault="00AA4035">
      <w:pPr>
        <w:rPr>
          <w:rFonts w:eastAsiaTheme="majorEastAsia" w:cstheme="majorBidi"/>
          <w:b/>
          <w:color w:val="000000" w:themeColor="text1"/>
          <w:sz w:val="28"/>
          <w:szCs w:val="40"/>
        </w:rPr>
      </w:pPr>
      <w:r w:rsidRPr="00AA4035">
        <w:t>The implementation of ISO 27001:2022 demonstrates a significant return on investment based on the financial analysis. While the initial investment and ongoing costs are considerable, the reduction in security incidents, operational efficiencies, and compliance savings outweigh these expenditures. The ROI percentage indicates the value generated for the organization in terms of both cost savings and intangible benefits.</w:t>
      </w:r>
      <w:r w:rsidR="00742D10">
        <w:br w:type="page"/>
      </w:r>
    </w:p>
    <w:p w14:paraId="085D5920" w14:textId="77777777" w:rsidR="001E070E" w:rsidRDefault="001E070E" w:rsidP="001E070E">
      <w:pPr>
        <w:rPr>
          <w:b/>
          <w:bCs/>
          <w:sz w:val="28"/>
          <w:szCs w:val="24"/>
        </w:rPr>
      </w:pPr>
      <w:r w:rsidRPr="001E070E">
        <w:rPr>
          <w:b/>
          <w:bCs/>
          <w:sz w:val="28"/>
          <w:szCs w:val="24"/>
        </w:rPr>
        <w:lastRenderedPageBreak/>
        <w:t>Appendix</w:t>
      </w:r>
    </w:p>
    <w:p w14:paraId="631AAF21" w14:textId="77777777" w:rsidR="001E070E" w:rsidRDefault="001E070E" w:rsidP="001E070E"/>
    <w:p w14:paraId="5A41E059" w14:textId="45EED205" w:rsidR="001E070E" w:rsidRPr="001E070E" w:rsidRDefault="001E070E" w:rsidP="001E070E">
      <w:pPr>
        <w:rPr>
          <w:i/>
          <w:iCs/>
        </w:rPr>
      </w:pPr>
      <w:r w:rsidRPr="001E070E">
        <w:rPr>
          <w:i/>
          <w:iCs/>
        </w:rPr>
        <w:t>Add the following appendix for the document.</w:t>
      </w:r>
    </w:p>
    <w:p w14:paraId="7A8A0EB7" w14:textId="77777777" w:rsidR="001E070E" w:rsidRDefault="001E070E" w:rsidP="001E070E"/>
    <w:tbl>
      <w:tblPr>
        <w:tblStyle w:val="TableGrid"/>
        <w:tblW w:w="9052" w:type="dxa"/>
        <w:tblLook w:val="04A0" w:firstRow="1" w:lastRow="0" w:firstColumn="1" w:lastColumn="0" w:noHBand="0" w:noVBand="1"/>
      </w:tblPr>
      <w:tblGrid>
        <w:gridCol w:w="3513"/>
        <w:gridCol w:w="5539"/>
      </w:tblGrid>
      <w:tr w:rsidR="001E070E" w:rsidRPr="00742D10" w14:paraId="41F57710" w14:textId="77777777" w:rsidTr="00AA4035">
        <w:trPr>
          <w:trHeight w:val="884"/>
        </w:trPr>
        <w:tc>
          <w:tcPr>
            <w:tcW w:w="3513" w:type="dxa"/>
            <w:vAlign w:val="center"/>
          </w:tcPr>
          <w:p w14:paraId="4352E300" w14:textId="75EB5A04" w:rsidR="001E070E" w:rsidRPr="001E070E" w:rsidRDefault="001E070E" w:rsidP="001E070E">
            <w:pPr>
              <w:jc w:val="center"/>
              <w:rPr>
                <w:b/>
                <w:bCs/>
              </w:rPr>
            </w:pPr>
            <w:r w:rsidRPr="001E070E">
              <w:rPr>
                <w:b/>
                <w:bCs/>
              </w:rPr>
              <w:t>Appendix</w:t>
            </w:r>
          </w:p>
        </w:tc>
        <w:tc>
          <w:tcPr>
            <w:tcW w:w="5539" w:type="dxa"/>
            <w:vAlign w:val="center"/>
          </w:tcPr>
          <w:p w14:paraId="5DDB5269" w14:textId="7F9ED0BA" w:rsidR="001E070E" w:rsidRPr="001E070E" w:rsidRDefault="001E070E" w:rsidP="001E070E">
            <w:pPr>
              <w:jc w:val="center"/>
              <w:rPr>
                <w:b/>
                <w:bCs/>
                <w:color w:val="000000" w:themeColor="text1"/>
              </w:rPr>
            </w:pPr>
            <w:r w:rsidRPr="001E070E">
              <w:rPr>
                <w:b/>
                <w:bCs/>
                <w:color w:val="000000" w:themeColor="text1"/>
              </w:rPr>
              <w:t>Description</w:t>
            </w:r>
          </w:p>
        </w:tc>
      </w:tr>
      <w:tr w:rsidR="001E070E" w:rsidRPr="00742D10" w14:paraId="78B954FB" w14:textId="77777777" w:rsidTr="00AA4035">
        <w:trPr>
          <w:trHeight w:val="884"/>
        </w:trPr>
        <w:tc>
          <w:tcPr>
            <w:tcW w:w="3513" w:type="dxa"/>
            <w:vAlign w:val="center"/>
          </w:tcPr>
          <w:p w14:paraId="4C5814E9" w14:textId="1CB17BB1" w:rsidR="001E070E" w:rsidRPr="00110883" w:rsidRDefault="00AA4035" w:rsidP="00AA4035">
            <w:pPr>
              <w:jc w:val="left"/>
            </w:pPr>
            <w:r w:rsidRPr="00AA4035">
              <w:t>Backup Documentation</w:t>
            </w:r>
          </w:p>
        </w:tc>
        <w:tc>
          <w:tcPr>
            <w:tcW w:w="5539" w:type="dxa"/>
            <w:vAlign w:val="center"/>
          </w:tcPr>
          <w:p w14:paraId="6A271764" w14:textId="04DC298B" w:rsidR="001E070E" w:rsidRPr="00742D10" w:rsidRDefault="00AA4035" w:rsidP="00AA4035">
            <w:pPr>
              <w:jc w:val="left"/>
              <w:rPr>
                <w:color w:val="000000" w:themeColor="text1"/>
              </w:rPr>
            </w:pPr>
            <w:r w:rsidRPr="00AA4035">
              <w:rPr>
                <w:color w:val="000000" w:themeColor="text1"/>
              </w:rPr>
              <w:t>Any additional supporting materials used for calculations</w:t>
            </w:r>
            <w:r>
              <w:rPr>
                <w:color w:val="000000" w:themeColor="text1"/>
              </w:rPr>
              <w:t>.</w:t>
            </w:r>
          </w:p>
        </w:tc>
      </w:tr>
      <w:tr w:rsidR="001E070E" w:rsidRPr="00742D10" w14:paraId="13238A71" w14:textId="77777777" w:rsidTr="00AA4035">
        <w:trPr>
          <w:trHeight w:val="884"/>
        </w:trPr>
        <w:tc>
          <w:tcPr>
            <w:tcW w:w="3513" w:type="dxa"/>
            <w:vAlign w:val="center"/>
          </w:tcPr>
          <w:p w14:paraId="78FE1279" w14:textId="650C8635" w:rsidR="001E070E" w:rsidRPr="00110883" w:rsidRDefault="00AA4035" w:rsidP="00AA4035">
            <w:pPr>
              <w:jc w:val="left"/>
            </w:pPr>
            <w:r w:rsidRPr="00AA4035">
              <w:t>Detailed Breakdown</w:t>
            </w:r>
          </w:p>
        </w:tc>
        <w:tc>
          <w:tcPr>
            <w:tcW w:w="5539" w:type="dxa"/>
            <w:vAlign w:val="center"/>
          </w:tcPr>
          <w:p w14:paraId="46179E5F" w14:textId="47D9AD5A" w:rsidR="001E070E" w:rsidRPr="00742D10" w:rsidRDefault="00AA4035" w:rsidP="00AA4035">
            <w:pPr>
              <w:jc w:val="left"/>
              <w:rPr>
                <w:color w:val="000000" w:themeColor="text1"/>
              </w:rPr>
            </w:pPr>
            <w:r w:rsidRPr="00AA4035">
              <w:rPr>
                <w:color w:val="000000" w:themeColor="text1"/>
              </w:rPr>
              <w:t>Further details on cost categories, savings, or financial projections.</w:t>
            </w:r>
          </w:p>
        </w:tc>
      </w:tr>
    </w:tbl>
    <w:p w14:paraId="59C14811" w14:textId="77777777" w:rsidR="001E070E" w:rsidRDefault="001E070E" w:rsidP="001E070E"/>
    <w:p w14:paraId="492C1575" w14:textId="77777777" w:rsidR="00456B9D" w:rsidRDefault="00456B9D" w:rsidP="001E070E"/>
    <w:p w14:paraId="20600911" w14:textId="77777777" w:rsidR="00456B9D" w:rsidRDefault="00456B9D" w:rsidP="001E070E"/>
    <w:p w14:paraId="3FB64291" w14:textId="77777777" w:rsidR="00456B9D" w:rsidRDefault="00456B9D" w:rsidP="001E070E"/>
    <w:p w14:paraId="6D287C5A" w14:textId="77777777" w:rsidR="00456B9D" w:rsidRDefault="00456B9D" w:rsidP="001E070E"/>
    <w:p w14:paraId="00F6A6F7" w14:textId="134E635C" w:rsidR="00742D10" w:rsidRPr="00456B9D" w:rsidRDefault="00456B9D" w:rsidP="00456B9D">
      <w:pPr>
        <w:rPr>
          <w:b/>
          <w:bCs/>
          <w:i/>
          <w:iCs/>
          <w:color w:val="0F4761" w:themeColor="accent1" w:themeShade="BF"/>
        </w:rPr>
      </w:pPr>
      <w:r w:rsidRPr="00456B9D">
        <w:rPr>
          <w:b/>
          <w:bCs/>
          <w:i/>
          <w:iCs/>
          <w:color w:val="0F4761" w:themeColor="accent1" w:themeShade="BF"/>
        </w:rPr>
        <w:t>Note:</w:t>
      </w:r>
      <w:r>
        <w:rPr>
          <w:b/>
          <w:bCs/>
          <w:i/>
          <w:iCs/>
          <w:color w:val="0F4761" w:themeColor="accent1" w:themeShade="BF"/>
        </w:rPr>
        <w:t xml:space="preserve"> </w:t>
      </w:r>
      <w:r w:rsidRPr="00456B9D">
        <w:rPr>
          <w:b/>
          <w:bCs/>
          <w:i/>
          <w:iCs/>
          <w:color w:val="0F4761" w:themeColor="accent1" w:themeShade="BF"/>
        </w:rPr>
        <w:t>This document is intended to serve as a general framework for analyzing the Return on Investment (ROI) of ISO 27001:2022 implementation. It should be tailored and updated based on the specific needs, organizational structure, size, and industry</w:t>
      </w:r>
    </w:p>
    <w:sectPr w:rsidR="00742D10" w:rsidRPr="00456B9D" w:rsidSect="00624D11">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6D6E0" w14:textId="77777777" w:rsidR="0082180B" w:rsidRDefault="0082180B" w:rsidP="00624D11">
      <w:pPr>
        <w:spacing w:after="0" w:line="240" w:lineRule="auto"/>
      </w:pPr>
      <w:r>
        <w:separator/>
      </w:r>
    </w:p>
  </w:endnote>
  <w:endnote w:type="continuationSeparator" w:id="0">
    <w:p w14:paraId="394CF3AD" w14:textId="77777777" w:rsidR="0082180B" w:rsidRDefault="0082180B" w:rsidP="006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53638"/>
      <w:docPartObj>
        <w:docPartGallery w:val="Page Numbers (Bottom of Page)"/>
        <w:docPartUnique/>
      </w:docPartObj>
    </w:sdtPr>
    <w:sdtEndPr>
      <w:rPr>
        <w:color w:val="7F7F7F" w:themeColor="background1" w:themeShade="7F"/>
        <w:spacing w:val="60"/>
      </w:rPr>
    </w:sdtEndPr>
    <w:sdtContent>
      <w:p w14:paraId="2ACCF268" w14:textId="4353EA7F"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91ED68" w14:textId="77777777" w:rsidR="00624D11" w:rsidRDefault="00624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087508"/>
      <w:docPartObj>
        <w:docPartGallery w:val="Page Numbers (Bottom of Page)"/>
        <w:docPartUnique/>
      </w:docPartObj>
    </w:sdtPr>
    <w:sdtEndPr>
      <w:rPr>
        <w:color w:val="7F7F7F" w:themeColor="background1" w:themeShade="7F"/>
        <w:spacing w:val="60"/>
      </w:rPr>
    </w:sdtEndPr>
    <w:sdtContent>
      <w:p w14:paraId="559E4F73" w14:textId="77777777"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ACE16" w14:textId="77777777" w:rsidR="00624D11" w:rsidRDefault="00624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82764" w14:textId="77777777" w:rsidR="0082180B" w:rsidRDefault="0082180B" w:rsidP="00624D11">
      <w:pPr>
        <w:spacing w:after="0" w:line="240" w:lineRule="auto"/>
      </w:pPr>
      <w:r>
        <w:separator/>
      </w:r>
    </w:p>
  </w:footnote>
  <w:footnote w:type="continuationSeparator" w:id="0">
    <w:p w14:paraId="09AD895E" w14:textId="77777777" w:rsidR="0082180B" w:rsidRDefault="0082180B" w:rsidP="006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7AB"/>
    <w:multiLevelType w:val="hybridMultilevel"/>
    <w:tmpl w:val="9D987B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616F1A"/>
    <w:multiLevelType w:val="hybridMultilevel"/>
    <w:tmpl w:val="EFB6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6B36E6"/>
    <w:multiLevelType w:val="multilevel"/>
    <w:tmpl w:val="9E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56654"/>
    <w:multiLevelType w:val="hybridMultilevel"/>
    <w:tmpl w:val="0C8EDF4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30CE"/>
    <w:multiLevelType w:val="multilevel"/>
    <w:tmpl w:val="3AF2D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792B1F"/>
    <w:multiLevelType w:val="hybridMultilevel"/>
    <w:tmpl w:val="2206CCB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851867">
    <w:abstractNumId w:val="3"/>
  </w:num>
  <w:num w:numId="2" w16cid:durableId="497500162">
    <w:abstractNumId w:val="5"/>
  </w:num>
  <w:num w:numId="3" w16cid:durableId="2103798190">
    <w:abstractNumId w:val="4"/>
  </w:num>
  <w:num w:numId="4" w16cid:durableId="1466118220">
    <w:abstractNumId w:val="1"/>
  </w:num>
  <w:num w:numId="5" w16cid:durableId="333073656">
    <w:abstractNumId w:val="0"/>
  </w:num>
  <w:num w:numId="6" w16cid:durableId="2096853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F"/>
    <w:rsid w:val="0001453F"/>
    <w:rsid w:val="00054F82"/>
    <w:rsid w:val="000E6458"/>
    <w:rsid w:val="00110883"/>
    <w:rsid w:val="001E070E"/>
    <w:rsid w:val="00225D3B"/>
    <w:rsid w:val="00230828"/>
    <w:rsid w:val="0028776F"/>
    <w:rsid w:val="00321659"/>
    <w:rsid w:val="003B5743"/>
    <w:rsid w:val="00403100"/>
    <w:rsid w:val="00430411"/>
    <w:rsid w:val="00456B9D"/>
    <w:rsid w:val="00461A9B"/>
    <w:rsid w:val="00550E97"/>
    <w:rsid w:val="00624D11"/>
    <w:rsid w:val="00657AFA"/>
    <w:rsid w:val="006A1B4C"/>
    <w:rsid w:val="00742D10"/>
    <w:rsid w:val="007B3EBE"/>
    <w:rsid w:val="007B74F9"/>
    <w:rsid w:val="0082180B"/>
    <w:rsid w:val="00827F5E"/>
    <w:rsid w:val="0086457F"/>
    <w:rsid w:val="008D3620"/>
    <w:rsid w:val="00913414"/>
    <w:rsid w:val="0095579E"/>
    <w:rsid w:val="009B0DCA"/>
    <w:rsid w:val="009B56BB"/>
    <w:rsid w:val="00A02818"/>
    <w:rsid w:val="00A250B1"/>
    <w:rsid w:val="00AA4035"/>
    <w:rsid w:val="00B56E59"/>
    <w:rsid w:val="00B92D2B"/>
    <w:rsid w:val="00CA5308"/>
    <w:rsid w:val="00D45F08"/>
    <w:rsid w:val="00D85B02"/>
    <w:rsid w:val="00DC6448"/>
    <w:rsid w:val="00EC75BD"/>
    <w:rsid w:val="00F904FF"/>
    <w:rsid w:val="00FB58A8"/>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805"/>
  <w15:chartTrackingRefBased/>
  <w15:docId w15:val="{9BB79DF1-01FC-404F-9BAB-D703E549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35"/>
    <w:pPr>
      <w:jc w:val="both"/>
    </w:pPr>
    <w:rPr>
      <w:rFonts w:ascii="Times New Roman" w:hAnsi="Times New Roman"/>
      <w:sz w:val="24"/>
    </w:rPr>
  </w:style>
  <w:style w:type="paragraph" w:styleId="Heading1">
    <w:name w:val="heading 1"/>
    <w:basedOn w:val="Normal"/>
    <w:next w:val="Normal"/>
    <w:link w:val="Heading1Char"/>
    <w:uiPriority w:val="9"/>
    <w:qFormat/>
    <w:rsid w:val="008D3620"/>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8D3620"/>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90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20"/>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8D3620"/>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F904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04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04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04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04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04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FF"/>
    <w:pPr>
      <w:spacing w:before="160"/>
      <w:jc w:val="center"/>
    </w:pPr>
    <w:rPr>
      <w:i/>
      <w:iCs/>
      <w:color w:val="404040" w:themeColor="text1" w:themeTint="BF"/>
    </w:rPr>
  </w:style>
  <w:style w:type="character" w:customStyle="1" w:styleId="QuoteChar">
    <w:name w:val="Quote Char"/>
    <w:basedOn w:val="DefaultParagraphFont"/>
    <w:link w:val="Quote"/>
    <w:uiPriority w:val="29"/>
    <w:rsid w:val="00F904FF"/>
    <w:rPr>
      <w:rFonts w:ascii="Times New Roman" w:hAnsi="Times New Roman"/>
      <w:i/>
      <w:iCs/>
      <w:color w:val="404040" w:themeColor="text1" w:themeTint="BF"/>
      <w:sz w:val="24"/>
    </w:rPr>
  </w:style>
  <w:style w:type="paragraph" w:styleId="ListParagraph">
    <w:name w:val="List Paragraph"/>
    <w:basedOn w:val="Normal"/>
    <w:uiPriority w:val="34"/>
    <w:qFormat/>
    <w:rsid w:val="00F904FF"/>
    <w:pPr>
      <w:ind w:left="720"/>
      <w:contextualSpacing/>
    </w:pPr>
  </w:style>
  <w:style w:type="character" w:styleId="IntenseEmphasis">
    <w:name w:val="Intense Emphasis"/>
    <w:basedOn w:val="DefaultParagraphFont"/>
    <w:uiPriority w:val="21"/>
    <w:qFormat/>
    <w:rsid w:val="00F904FF"/>
    <w:rPr>
      <w:i/>
      <w:iCs/>
      <w:color w:val="0F4761" w:themeColor="accent1" w:themeShade="BF"/>
    </w:rPr>
  </w:style>
  <w:style w:type="paragraph" w:styleId="IntenseQuote">
    <w:name w:val="Intense Quote"/>
    <w:basedOn w:val="Normal"/>
    <w:next w:val="Normal"/>
    <w:link w:val="IntenseQuoteChar"/>
    <w:uiPriority w:val="30"/>
    <w:qFormat/>
    <w:rsid w:val="00F9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04FF"/>
    <w:rPr>
      <w:b/>
      <w:bCs/>
      <w:smallCaps/>
      <w:color w:val="0F4761" w:themeColor="accent1" w:themeShade="BF"/>
      <w:spacing w:val="5"/>
    </w:rPr>
  </w:style>
  <w:style w:type="table" w:styleId="TableGrid">
    <w:name w:val="Table Grid"/>
    <w:basedOn w:val="TableNormal"/>
    <w:uiPriority w:val="39"/>
    <w:rsid w:val="008D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457F"/>
    <w:rPr>
      <w:color w:val="666666"/>
    </w:rPr>
  </w:style>
  <w:style w:type="paragraph" w:styleId="TOCHeading">
    <w:name w:val="TOC Heading"/>
    <w:basedOn w:val="Heading1"/>
    <w:next w:val="Normal"/>
    <w:uiPriority w:val="39"/>
    <w:unhideWhenUsed/>
    <w:qFormat/>
    <w:rsid w:val="00624D11"/>
    <w:pPr>
      <w:pBdr>
        <w:top w:val="none" w:sz="0" w:space="0" w:color="auto"/>
        <w:left w:val="none" w:sz="0" w:space="0" w:color="auto"/>
        <w:bottom w:val="none" w:sz="0" w:space="0" w:color="auto"/>
        <w:right w:val="none" w:sz="0" w:space="0" w:color="auto"/>
      </w:pBdr>
      <w:shd w:val="clear" w:color="auto" w:fill="auto"/>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624D11"/>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624D11"/>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24D11"/>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624D11"/>
    <w:rPr>
      <w:color w:val="467886" w:themeColor="hyperlink"/>
      <w:u w:val="single"/>
    </w:rPr>
  </w:style>
  <w:style w:type="paragraph" w:styleId="Header">
    <w:name w:val="header"/>
    <w:basedOn w:val="Normal"/>
    <w:link w:val="HeaderChar"/>
    <w:uiPriority w:val="99"/>
    <w:unhideWhenUsed/>
    <w:rsid w:val="0062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1"/>
    <w:rPr>
      <w:rFonts w:ascii="Times New Roman" w:hAnsi="Times New Roman"/>
      <w:sz w:val="24"/>
    </w:rPr>
  </w:style>
  <w:style w:type="paragraph" w:styleId="Footer">
    <w:name w:val="footer"/>
    <w:basedOn w:val="Normal"/>
    <w:link w:val="FooterChar"/>
    <w:uiPriority w:val="99"/>
    <w:unhideWhenUsed/>
    <w:rsid w:val="0062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17288">
      <w:bodyDiv w:val="1"/>
      <w:marLeft w:val="0"/>
      <w:marRight w:val="0"/>
      <w:marTop w:val="0"/>
      <w:marBottom w:val="0"/>
      <w:divBdr>
        <w:top w:val="none" w:sz="0" w:space="0" w:color="auto"/>
        <w:left w:val="none" w:sz="0" w:space="0" w:color="auto"/>
        <w:bottom w:val="none" w:sz="0" w:space="0" w:color="auto"/>
        <w:right w:val="none" w:sz="0" w:space="0" w:color="auto"/>
      </w:divBdr>
    </w:div>
    <w:div w:id="205333274">
      <w:bodyDiv w:val="1"/>
      <w:marLeft w:val="0"/>
      <w:marRight w:val="0"/>
      <w:marTop w:val="0"/>
      <w:marBottom w:val="0"/>
      <w:divBdr>
        <w:top w:val="none" w:sz="0" w:space="0" w:color="auto"/>
        <w:left w:val="none" w:sz="0" w:space="0" w:color="auto"/>
        <w:bottom w:val="none" w:sz="0" w:space="0" w:color="auto"/>
        <w:right w:val="none" w:sz="0" w:space="0" w:color="auto"/>
      </w:divBdr>
    </w:div>
    <w:div w:id="255141492">
      <w:bodyDiv w:val="1"/>
      <w:marLeft w:val="0"/>
      <w:marRight w:val="0"/>
      <w:marTop w:val="0"/>
      <w:marBottom w:val="0"/>
      <w:divBdr>
        <w:top w:val="none" w:sz="0" w:space="0" w:color="auto"/>
        <w:left w:val="none" w:sz="0" w:space="0" w:color="auto"/>
        <w:bottom w:val="none" w:sz="0" w:space="0" w:color="auto"/>
        <w:right w:val="none" w:sz="0" w:space="0" w:color="auto"/>
      </w:divBdr>
    </w:div>
    <w:div w:id="262350130">
      <w:bodyDiv w:val="1"/>
      <w:marLeft w:val="0"/>
      <w:marRight w:val="0"/>
      <w:marTop w:val="0"/>
      <w:marBottom w:val="0"/>
      <w:divBdr>
        <w:top w:val="none" w:sz="0" w:space="0" w:color="auto"/>
        <w:left w:val="none" w:sz="0" w:space="0" w:color="auto"/>
        <w:bottom w:val="none" w:sz="0" w:space="0" w:color="auto"/>
        <w:right w:val="none" w:sz="0" w:space="0" w:color="auto"/>
      </w:divBdr>
    </w:div>
    <w:div w:id="316963294">
      <w:bodyDiv w:val="1"/>
      <w:marLeft w:val="0"/>
      <w:marRight w:val="0"/>
      <w:marTop w:val="0"/>
      <w:marBottom w:val="0"/>
      <w:divBdr>
        <w:top w:val="none" w:sz="0" w:space="0" w:color="auto"/>
        <w:left w:val="none" w:sz="0" w:space="0" w:color="auto"/>
        <w:bottom w:val="none" w:sz="0" w:space="0" w:color="auto"/>
        <w:right w:val="none" w:sz="0" w:space="0" w:color="auto"/>
      </w:divBdr>
    </w:div>
    <w:div w:id="343365101">
      <w:bodyDiv w:val="1"/>
      <w:marLeft w:val="0"/>
      <w:marRight w:val="0"/>
      <w:marTop w:val="0"/>
      <w:marBottom w:val="0"/>
      <w:divBdr>
        <w:top w:val="none" w:sz="0" w:space="0" w:color="auto"/>
        <w:left w:val="none" w:sz="0" w:space="0" w:color="auto"/>
        <w:bottom w:val="none" w:sz="0" w:space="0" w:color="auto"/>
        <w:right w:val="none" w:sz="0" w:space="0" w:color="auto"/>
      </w:divBdr>
    </w:div>
    <w:div w:id="432020464">
      <w:bodyDiv w:val="1"/>
      <w:marLeft w:val="0"/>
      <w:marRight w:val="0"/>
      <w:marTop w:val="0"/>
      <w:marBottom w:val="0"/>
      <w:divBdr>
        <w:top w:val="none" w:sz="0" w:space="0" w:color="auto"/>
        <w:left w:val="none" w:sz="0" w:space="0" w:color="auto"/>
        <w:bottom w:val="none" w:sz="0" w:space="0" w:color="auto"/>
        <w:right w:val="none" w:sz="0" w:space="0" w:color="auto"/>
      </w:divBdr>
    </w:div>
    <w:div w:id="472719611">
      <w:bodyDiv w:val="1"/>
      <w:marLeft w:val="0"/>
      <w:marRight w:val="0"/>
      <w:marTop w:val="0"/>
      <w:marBottom w:val="0"/>
      <w:divBdr>
        <w:top w:val="none" w:sz="0" w:space="0" w:color="auto"/>
        <w:left w:val="none" w:sz="0" w:space="0" w:color="auto"/>
        <w:bottom w:val="none" w:sz="0" w:space="0" w:color="auto"/>
        <w:right w:val="none" w:sz="0" w:space="0" w:color="auto"/>
      </w:divBdr>
    </w:div>
    <w:div w:id="473908640">
      <w:bodyDiv w:val="1"/>
      <w:marLeft w:val="0"/>
      <w:marRight w:val="0"/>
      <w:marTop w:val="0"/>
      <w:marBottom w:val="0"/>
      <w:divBdr>
        <w:top w:val="none" w:sz="0" w:space="0" w:color="auto"/>
        <w:left w:val="none" w:sz="0" w:space="0" w:color="auto"/>
        <w:bottom w:val="none" w:sz="0" w:space="0" w:color="auto"/>
        <w:right w:val="none" w:sz="0" w:space="0" w:color="auto"/>
      </w:divBdr>
    </w:div>
    <w:div w:id="519272231">
      <w:bodyDiv w:val="1"/>
      <w:marLeft w:val="0"/>
      <w:marRight w:val="0"/>
      <w:marTop w:val="0"/>
      <w:marBottom w:val="0"/>
      <w:divBdr>
        <w:top w:val="none" w:sz="0" w:space="0" w:color="auto"/>
        <w:left w:val="none" w:sz="0" w:space="0" w:color="auto"/>
        <w:bottom w:val="none" w:sz="0" w:space="0" w:color="auto"/>
        <w:right w:val="none" w:sz="0" w:space="0" w:color="auto"/>
      </w:divBdr>
    </w:div>
    <w:div w:id="529802949">
      <w:bodyDiv w:val="1"/>
      <w:marLeft w:val="0"/>
      <w:marRight w:val="0"/>
      <w:marTop w:val="0"/>
      <w:marBottom w:val="0"/>
      <w:divBdr>
        <w:top w:val="none" w:sz="0" w:space="0" w:color="auto"/>
        <w:left w:val="none" w:sz="0" w:space="0" w:color="auto"/>
        <w:bottom w:val="none" w:sz="0" w:space="0" w:color="auto"/>
        <w:right w:val="none" w:sz="0" w:space="0" w:color="auto"/>
      </w:divBdr>
    </w:div>
    <w:div w:id="902106572">
      <w:bodyDiv w:val="1"/>
      <w:marLeft w:val="0"/>
      <w:marRight w:val="0"/>
      <w:marTop w:val="0"/>
      <w:marBottom w:val="0"/>
      <w:divBdr>
        <w:top w:val="none" w:sz="0" w:space="0" w:color="auto"/>
        <w:left w:val="none" w:sz="0" w:space="0" w:color="auto"/>
        <w:bottom w:val="none" w:sz="0" w:space="0" w:color="auto"/>
        <w:right w:val="none" w:sz="0" w:space="0" w:color="auto"/>
      </w:divBdr>
    </w:div>
    <w:div w:id="1031960160">
      <w:bodyDiv w:val="1"/>
      <w:marLeft w:val="0"/>
      <w:marRight w:val="0"/>
      <w:marTop w:val="0"/>
      <w:marBottom w:val="0"/>
      <w:divBdr>
        <w:top w:val="none" w:sz="0" w:space="0" w:color="auto"/>
        <w:left w:val="none" w:sz="0" w:space="0" w:color="auto"/>
        <w:bottom w:val="none" w:sz="0" w:space="0" w:color="auto"/>
        <w:right w:val="none" w:sz="0" w:space="0" w:color="auto"/>
      </w:divBdr>
    </w:div>
    <w:div w:id="1037466478">
      <w:bodyDiv w:val="1"/>
      <w:marLeft w:val="0"/>
      <w:marRight w:val="0"/>
      <w:marTop w:val="0"/>
      <w:marBottom w:val="0"/>
      <w:divBdr>
        <w:top w:val="none" w:sz="0" w:space="0" w:color="auto"/>
        <w:left w:val="none" w:sz="0" w:space="0" w:color="auto"/>
        <w:bottom w:val="none" w:sz="0" w:space="0" w:color="auto"/>
        <w:right w:val="none" w:sz="0" w:space="0" w:color="auto"/>
      </w:divBdr>
    </w:div>
    <w:div w:id="1059861424">
      <w:bodyDiv w:val="1"/>
      <w:marLeft w:val="0"/>
      <w:marRight w:val="0"/>
      <w:marTop w:val="0"/>
      <w:marBottom w:val="0"/>
      <w:divBdr>
        <w:top w:val="none" w:sz="0" w:space="0" w:color="auto"/>
        <w:left w:val="none" w:sz="0" w:space="0" w:color="auto"/>
        <w:bottom w:val="none" w:sz="0" w:space="0" w:color="auto"/>
        <w:right w:val="none" w:sz="0" w:space="0" w:color="auto"/>
      </w:divBdr>
    </w:div>
    <w:div w:id="1097478260">
      <w:bodyDiv w:val="1"/>
      <w:marLeft w:val="0"/>
      <w:marRight w:val="0"/>
      <w:marTop w:val="0"/>
      <w:marBottom w:val="0"/>
      <w:divBdr>
        <w:top w:val="none" w:sz="0" w:space="0" w:color="auto"/>
        <w:left w:val="none" w:sz="0" w:space="0" w:color="auto"/>
        <w:bottom w:val="none" w:sz="0" w:space="0" w:color="auto"/>
        <w:right w:val="none" w:sz="0" w:space="0" w:color="auto"/>
      </w:divBdr>
    </w:div>
    <w:div w:id="1420249192">
      <w:bodyDiv w:val="1"/>
      <w:marLeft w:val="0"/>
      <w:marRight w:val="0"/>
      <w:marTop w:val="0"/>
      <w:marBottom w:val="0"/>
      <w:divBdr>
        <w:top w:val="none" w:sz="0" w:space="0" w:color="auto"/>
        <w:left w:val="none" w:sz="0" w:space="0" w:color="auto"/>
        <w:bottom w:val="none" w:sz="0" w:space="0" w:color="auto"/>
        <w:right w:val="none" w:sz="0" w:space="0" w:color="auto"/>
      </w:divBdr>
    </w:div>
    <w:div w:id="1437671205">
      <w:bodyDiv w:val="1"/>
      <w:marLeft w:val="0"/>
      <w:marRight w:val="0"/>
      <w:marTop w:val="0"/>
      <w:marBottom w:val="0"/>
      <w:divBdr>
        <w:top w:val="none" w:sz="0" w:space="0" w:color="auto"/>
        <w:left w:val="none" w:sz="0" w:space="0" w:color="auto"/>
        <w:bottom w:val="none" w:sz="0" w:space="0" w:color="auto"/>
        <w:right w:val="none" w:sz="0" w:space="0" w:color="auto"/>
      </w:divBdr>
    </w:div>
    <w:div w:id="1513761929">
      <w:bodyDiv w:val="1"/>
      <w:marLeft w:val="0"/>
      <w:marRight w:val="0"/>
      <w:marTop w:val="0"/>
      <w:marBottom w:val="0"/>
      <w:divBdr>
        <w:top w:val="none" w:sz="0" w:space="0" w:color="auto"/>
        <w:left w:val="none" w:sz="0" w:space="0" w:color="auto"/>
        <w:bottom w:val="none" w:sz="0" w:space="0" w:color="auto"/>
        <w:right w:val="none" w:sz="0" w:space="0" w:color="auto"/>
      </w:divBdr>
    </w:div>
    <w:div w:id="1635938790">
      <w:bodyDiv w:val="1"/>
      <w:marLeft w:val="0"/>
      <w:marRight w:val="0"/>
      <w:marTop w:val="0"/>
      <w:marBottom w:val="0"/>
      <w:divBdr>
        <w:top w:val="none" w:sz="0" w:space="0" w:color="auto"/>
        <w:left w:val="none" w:sz="0" w:space="0" w:color="auto"/>
        <w:bottom w:val="none" w:sz="0" w:space="0" w:color="auto"/>
        <w:right w:val="none" w:sz="0" w:space="0" w:color="auto"/>
      </w:divBdr>
    </w:div>
    <w:div w:id="1733695926">
      <w:bodyDiv w:val="1"/>
      <w:marLeft w:val="0"/>
      <w:marRight w:val="0"/>
      <w:marTop w:val="0"/>
      <w:marBottom w:val="0"/>
      <w:divBdr>
        <w:top w:val="none" w:sz="0" w:space="0" w:color="auto"/>
        <w:left w:val="none" w:sz="0" w:space="0" w:color="auto"/>
        <w:bottom w:val="none" w:sz="0" w:space="0" w:color="auto"/>
        <w:right w:val="none" w:sz="0" w:space="0" w:color="auto"/>
      </w:divBdr>
    </w:div>
    <w:div w:id="1967928179">
      <w:bodyDiv w:val="1"/>
      <w:marLeft w:val="0"/>
      <w:marRight w:val="0"/>
      <w:marTop w:val="0"/>
      <w:marBottom w:val="0"/>
      <w:divBdr>
        <w:top w:val="none" w:sz="0" w:space="0" w:color="auto"/>
        <w:left w:val="none" w:sz="0" w:space="0" w:color="auto"/>
        <w:bottom w:val="none" w:sz="0" w:space="0" w:color="auto"/>
        <w:right w:val="none" w:sz="0" w:space="0" w:color="auto"/>
      </w:divBdr>
    </w:div>
    <w:div w:id="20163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A27AB-7829-42E8-B37E-C436D8A8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8</cp:revision>
  <dcterms:created xsi:type="dcterms:W3CDTF">2024-10-13T10:17:00Z</dcterms:created>
  <dcterms:modified xsi:type="dcterms:W3CDTF">2024-10-14T15:37:00Z</dcterms:modified>
</cp:coreProperties>
</file>