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w:t>
      </w:r>
    </w:p>
    <w:p>
      <w:pPr>
        <w:jc w:val="center"/>
      </w:pPr>
      <w:r>
        <w:t>title: "The Molecular Basis of $\tau$: From Genome to Proprioceptive Delay in Adolescent Idiopathic Scoliosis"</w:t>
      </w:r>
    </w:p>
    <w:p>
      <w:pPr>
        <w:jc w:val="center"/>
      </w:pPr>
      <w:r>
        <w:t>author: "Sayuj K.S., MD, Independent Researcher"</w:t>
      </w:r>
    </w:p>
    <w:p>
      <w:pPr>
        <w:jc w:val="center"/>
      </w:pPr>
      <w:r>
        <w:t>---</w:t>
      </w:r>
    </w:p>
    <w:p>
      <w:pPr>
        <w:pStyle w:val="Heading1"/>
      </w:pPr>
      <w:r>
        <w:t>1. Introduction</w:t>
      </w:r>
    </w:p>
    <w:p>
      <w:r>
        <w:t>Adolescent Idiopathic Scoliosis (AIS) is a three-dimensional structural deformity of the spine affecting approximately 1-3% of children worldwide, predominantly emerging during the pubertal growth spurt. Despite decades of intense clinical and biomechanical research, the etiology of AIS remains fundamentally "idiopathic." However, recent advances in genome-wide association studies (GWAS) have uncovered a robust, polygenic architecture underlying the disease, with key susceptibility loci converging on genes involved in neural development, somatosensation, and peripheral myelination (e.g., *LBX1*, *GPR126*/*ADGRG6*, and *PIEZO2*). Bridging the gap between these molecular genetic discoveries and the macroscopic biomechanical failure of the spine requires a unifying theoretical framework.</w:t>
      </w:r>
    </w:p>
    <w:p>
      <w:r>
        <w:t>This manuscript represents the fourth paper in a research programme connecting control theory, biomechanics, and molecular biology. In Paper 1, we introduced the broader conceptual framework of "biological counter-curvature," proposing that biological organisms actively maintain structural integrity against gravitational forces via continuous information processing. In Paper 2, we formalized this concept through a control-theoretic lens, modeling the human trunk as an inverted pendulum stabilized by a delayed proportional-integral-derivative (PID) feedback controller. That model demonstrated that the proprioceptive delay parameter, $\tau$, is the critical determinant of spinal stability. Specifically, we identified a "Derivative Gain Gap"—a transient window of instability occurring when the body's center of mass rapidly shifts during the adolescent growth spurt ($&gt;6$ cm/yr) and the proprioceptive delay $\tau$ exceeds a critical threshold ($\approx 200$ ms). Paper 3 extended this control-theoretic failure mode to geriatric postural collapse, linking progressive controller degradation to telomere biology.</w:t>
      </w:r>
    </w:p>
    <w:p>
      <w:r>
        <w:t>The present study, Paper 4, aims to explicitly map the control-theoretic parameter $\tau$ to its molecular genetic basis. Proprioceptive delay is not a monolithic physiological variable; it is the cumulative sum of multiple, sequential biological processes, including peripheral mechanotransduction, afferent axonal conduction, spinal synaptic integration, central processing, and efferent conduction. By systematically decomposing $\tau$ into these constituent delays, we can investigate how specific AIS-associated genetic variants perturb each step of the reflex arc.</w:t>
      </w:r>
    </w:p>
    <w:p>
      <w:r>
        <w:t>We hypothesize that the polygenic risk for AIS is driven by cumulative, subtle increases in $\tau$. For instance, hypomorphic variants in the myelination regulator *GPR126* may slow afferent conduction, while variants in the transcription factor *LBX1* may alter dorsal horn circuitry to increase spinal integration time. When these minor genetic delays are combined with the physiological lag in myelination that occurs naturally as bones rapidly elongate during puberty, the total proprioceptive delay $\tau_{total}$ crosses the critical instability threshold. In this paper, we construct a multi-component $\tau$ budget, map structural predictions from AlphaFold to functional kinetic shifts, and use computational simulations to demonstrate how this molecularly driven "Derivative Gain Gap" perfectly reproduces the age-of-onset and population prevalence of Adolescent Idiopathic Scoliosis.</w:t>
      </w:r>
    </w:p>
    <w:p>
      <w:pPr>
        <w:pStyle w:val="Heading1"/>
      </w:pPr>
      <w:r>
        <w:t>2. Methods</w:t>
      </w:r>
    </w:p>
    <w:p>
      <w:pPr>
        <w:pStyle w:val="Heading2"/>
      </w:pPr>
      <w:r>
        <w:t>2.1 Literature Search Strategy and $\tau$ Decomposition</w:t>
      </w:r>
    </w:p>
    <w:p>
      <w:r>
        <w:t>We conducted a comprehensive literature search across PubMed and Crossref to quantify the distinct physiological components of the proprioceptive reflex arc. Specifically, we decomposed the aggregate proprioceptive delay ($\tau$)—the critical instability parameter derived in our previously published PID control model (Paper 2)—into seven sequential components: peripheral mechanotransduction ($\tau_{transduction}$), afferent conduction ($\tau_{afferent}$), spinal synaptic integration ($\tau_{spinal}$), cerebellar processing ($\tau_{cerebellar}$), efferent conduction ($\tau_{efferent}$), neuromuscular junction transmission ($\tau_{NMJ}$), and electromechanical delay ($\tau_{EM}$).</w:t>
      </w:r>
    </w:p>
    <w:p>
      <w:r>
        <w:t>For each physiological step, normative latency values were abstracted from published electrophysiological data in healthy individuals. The relationship between height, path length, and nerve conduction velocity (NCV) during typical adolescent development (ages 8-16) was then formally defined to account for physiological growth phenomena, such as the transient lag in Schwann cell myelination remodeling secondary to rapid bone elongation.</w:t>
      </w:r>
    </w:p>
    <w:p>
      <w:pPr>
        <w:pStyle w:val="Heading2"/>
      </w:pPr>
      <w:r>
        <w:t>2.2 Identification and Mapping of Genetic Variants</w:t>
      </w:r>
    </w:p>
    <w:p>
      <w:r>
        <w:t>A systematic review of genome-wide association studies (GWAS) identifying susceptibility loci for Adolescent Idiopathic Scoliosis was performed. Variants demonstrating genome-wide significance and reproducible replication across populations (e.g., *LBX1*, *GPR126*/*ADGRG6*, *PAX1*, *BNC2*, *CHD7*) were selected for analysis. The physiological function of the gene product for each robust GWAS hit was analyzed to map its action to one or more specific subcomponents of the decomposed $\tau$ budget.</w:t>
      </w:r>
    </w:p>
    <w:p>
      <w:pPr>
        <w:pStyle w:val="Heading2"/>
      </w:pPr>
      <w:r>
        <w:t>2.3 AlphaFold Structural Analysis</w:t>
      </w:r>
    </w:p>
    <w:p>
      <w:r>
        <w:t>To assess the putative functional impact of the genetic variants at a structural level, 3D structural predictions were retrieved from the AlphaFold Protein Structure Database (v6) via the European Bioinformatics Institute (EBI) API. Specifically, structures for the adhesion G protein-coupled receptor GPR126 (UniProt: Q86SQ4), the mechanosensitive ion channel PIEZO2 (UniProt: Q9H5I5), and the transcription factor LBX1 (UniProt: P52954) were analyzed. Functional domains were identified and assessed for confidence based on the predicted Local Distance Difference Test (pLDDT) scores. The potential impact of missense mutations or regulatory variants acting on the proteins' kinetics (e.g., activation thresholds, structural stability) was derived to infer qualitative shifts in the $\tau$ components.</w:t>
      </w:r>
    </w:p>
    <w:p>
      <w:pPr>
        <w:pStyle w:val="Heading2"/>
      </w:pPr>
      <w:r>
        <w:t>2.4 Computational Modeling of Proprioceptive Delay</w:t>
      </w:r>
    </w:p>
    <w:p>
      <w:r>
        <w:t>To synthesize the cumulative effect of molecular variations and physiological growth, we developed a multi-component mathematical model representing total proprioceptive delay over the developmental window of ages 8-16 years:</w:t>
      </w:r>
    </w:p>
    <w:p>
      <w:r>
        <w:t>$$ \tau_{total}(t, \text{genotype}) = \sum \tau_i^0 + \Delta\tau_{growth}(t) + \sum \Delta\tau_{genotype_i} $$</w:t>
      </w:r>
    </w:p>
    <w:p>
      <w:r>
        <w:t>where $\tau_i^0$ represent baseline delays for a healthy reference individual.</w:t>
      </w:r>
    </w:p>
    <w:p>
      <w:r>
        <w:t>The physical path length for both afferent and efferent neural signals was formulated as a function of the individual's height, assumed to approximate 60% of total height at any given time point. Growth velocity ($\frac{dh}{dt}$) was modeled via a standard sigmoid height trajectory centered on peak growth velocity at 12 years of age. A dynamic growth penalty, $\Delta\tau_{growth}(t)$, explicitly accounts for the transient drop in nerve conduction velocity driven by the mechanical stretch of peripheral axons outpacing the Schwann cell's metabolic capacity for myelination remodeling.</w:t>
      </w:r>
    </w:p>
    <w:p>
      <w:pPr>
        <w:pStyle w:val="Heading2"/>
      </w:pPr>
      <w:r>
        <w:t>2.5 Polygenic Risk Simulation</w:t>
      </w:r>
    </w:p>
    <w:p>
      <w:r>
        <w:t>We constructed a polygenic risk simulation using a synthetic cohort of $n = 10,000$ virtual individuals. Genetic profiles were stochastically generated by drawing allele frequencies for primary AIS susceptibility loci: a simulated *GPR126* variant (minor allele frequency, MAF $\approx 0.3$), an *LBX1* regulatory variant (MAF $\approx 0.4$), and a minor *PIEZO2* functional variant (MAF $\approx 0.1$).</w:t>
      </w:r>
    </w:p>
    <w:p>
      <w:r>
        <w:t>Each simulated variant systematically penalized its respective physiological delay component relative to the wild-type baseline:</w:t>
      </w:r>
    </w:p>
    <w:p>
      <w:pPr>
        <w:pStyle w:val="ListBullet"/>
      </w:pPr>
      <w:r>
        <w:t>**GPR126 Variant Effect**: A penalty to the nerve conduction velocity parameter simulating disrupted cyclic AMP signaling and suboptimal Schwann cell myelination.</w:t>
      </w:r>
    </w:p>
    <w:p>
      <w:pPr>
        <w:pStyle w:val="ListBullet"/>
      </w:pPr>
      <w:r>
        <w:t>**LBX1 Variant Effect**: A constant temporal penalty simulating altered or suboptimal synaptic connectivity specifications in the dorsal horn interneurons ($\tau_{spinal}$).</w:t>
      </w:r>
    </w:p>
    <w:p>
      <w:pPr>
        <w:pStyle w:val="ListBullet"/>
      </w:pPr>
      <w:r>
        <w:t>**PIEZO2 Variant Effect**: A small additive penalty representing altered activation kinetics of the central pore ($\tau_{transduction}$).</w:t>
      </w:r>
    </w:p>
    <w:p>
      <w:r>
        <w:t>The cohort’s cumulative $\tau$ scores were explicitly sampled at the peak velocity of the pubertal growth spurt. An individual was considered to suffer onset of clinical scoliosis if their polygenic $\tau_{total}$ exceeded the control-theoretic threshold of 200 ms defined in Paper 2, enabling us to model the expected population prevalence. All simulations were performed in Python utilizing the NumPy, SciPy, and Matplotlib libraries.</w:t>
      </w:r>
    </w:p>
    <w:p>
      <w:pPr>
        <w:pStyle w:val="Heading1"/>
      </w:pPr>
      <w:r>
        <w:t>3. Results</w:t>
      </w:r>
    </w:p>
    <w:p>
      <w:pPr>
        <w:pStyle w:val="Heading2"/>
      </w:pPr>
      <w:r>
        <w:t>3.1 The Proprioceptive Delay ($\tau$) Budget</w:t>
      </w:r>
    </w:p>
    <w:p>
      <w:r>
        <w:t>Our systematic literature review allowed us to partition the total proprioceptive delay ($\tau$) into discrete, quantifiable components. For a typically developing, healthy adolescent measuring approximately 1.45 meters at peak height velocity, the theoretical baseline $\tau$ consists of: peripheral transduction ($\approx$ 2 ms), afferent neural conduction ($\approx$ 15 ms, traversing 0.85m at 55-60 m/s), spinal synaptic relay ($\approx$ 3-5 ms), cerebellar integration ($\approx$ 25 ms), efferent conduction ($\approx$ 15 ms), neuromuscular junction delay ($\approx$ 1 ms), and a dominant electromechanical coupling phase ($\approx$ 65 ms). Cumulatively, this establishes a healthy baseline delay of approximately 130-140 ms, which remains safely below the estimated 200 ms control-theoretic threshold for postural instability.</w:t>
      </w:r>
    </w:p>
    <w:p>
      <w:pPr>
        <w:pStyle w:val="Heading2"/>
      </w:pPr>
      <w:r>
        <w:t>3.2 Mapping AIS GWAS Hits to $\tau$ Subcomponents</w:t>
      </w:r>
    </w:p>
    <w:p>
      <w:r>
        <w:t>Our analysis demonstrated a precise correspondence between robust AIS susceptibility genes and the functional subdivisions of the $\tau$ budget.</w:t>
      </w:r>
    </w:p>
    <w:p>
      <w:pPr>
        <w:pStyle w:val="ListBullet"/>
      </w:pPr>
      <w:r>
        <w:t>**PIEZO2 and Mechanotransduction ($\tau_{transduction}$):** PIEZO2 serves as the primary mechanosensitive channel in the muscle spindle. AlphaFold prediction (UniProt: Q9H5I5) of the human PIEZO2 structure highlights a trimeric propeller assembly surrounding a central pore. Missense variations near the extended blades or the beam connecting the blades to the pore alter the structural energy barrier to opening, directly delaying activation kinetics and functionally increasing $\tau_{transduction}$.</w:t>
      </w:r>
    </w:p>
    <w:p>
      <w:pPr>
        <w:pStyle w:val="ListBullet"/>
      </w:pPr>
      <w:r>
        <w:t>**GPR126 (ADGRG6) and Myelination ($\tau_{afferent}$, $\tau_{efferent}$):** A crucial regulator of Schwann cell development, GPR126 signals via cyclic AMP to drive myelin protein expression. The AlphaFold model (UniProt: Q86SQ4) of the massive extracellular domain (ECD) reveals critical interaction motifs in the CUB and GAIN domains (pLDDT &gt; 70). AIS risk variants (e.g., rs6570507) likely destabilize the ECD or impair its ability to undergo autoproteolysis, leading to suboptimal cAMP signaling. Functionally, this manifests as a failure of Schwann cells to rapidly upregulate myelination in response to the stretch induced by the pubertal growth spurt, transiently lowering nerve conduction velocity (NCV) and expanding $\tau_{afferent}$ and $\tau_{efferent}$.</w:t>
      </w:r>
    </w:p>
    <w:p>
      <w:pPr>
        <w:pStyle w:val="ListBullet"/>
      </w:pPr>
      <w:r>
        <w:t>**LBX1 and Spinal Relay ($\tau_{spinal}$):** LBX1 specifies the dorsal horn interneuron populations (dI4–dI6) that form the critical proprioceptive relays into the spinocerebellar tract. Risk variants (e.g., rs11190870) mapping to putative enhancer regions alter developmental dosage, resulting in structurally sub-optimal synaptic connectivity in Clarke's column. This necessitates greater spatial and temporal summation for signal propagation, prolonging the synaptic integration time $\tau_{spinal}$.</w:t>
      </w:r>
    </w:p>
    <w:p>
      <w:r>
        <w:t>**Table 1: Molecular Decomposition of Proprioceptive Delay**</w:t>
      </w:r>
    </w:p>
    <w:p>
      <w:r>
        <w:rPr>
          <w:rFonts w:ascii="Courier New" w:hAnsi="Courier New"/>
        </w:rPr>
        <w:t>| Component | Biological Process | Est. Baseline Delay | Modulating Gene | Proposed Effect of Variant |</w:t>
      </w:r>
    </w:p>
    <w:p>
      <w:r>
        <w:rPr>
          <w:rFonts w:ascii="Courier New" w:hAnsi="Courier New"/>
        </w:rPr>
        <w:t>| :--- | :--- | :--- | :--- | :--- |</w:t>
      </w:r>
    </w:p>
    <w:p>
      <w:r>
        <w:rPr>
          <w:rFonts w:ascii="Courier New" w:hAnsi="Courier New"/>
        </w:rPr>
        <w:t>| $\tau_{transduction}$ | Muscle Spindle Activation | 2.0 ms | *PIEZO2* | Altered activation kinetics |</w:t>
      </w:r>
    </w:p>
    <w:p>
      <w:r>
        <w:rPr>
          <w:rFonts w:ascii="Courier New" w:hAnsi="Courier New"/>
        </w:rPr>
        <w:t>| $\tau_{afferent}$ | Neural Conduction to Spinal Cord | 15.0 ms | *GPR126* | Slower NCV due to poor myelination remodeling |</w:t>
      </w:r>
    </w:p>
    <w:p>
      <w:r>
        <w:rPr>
          <w:rFonts w:ascii="Courier New" w:hAnsi="Courier New"/>
        </w:rPr>
        <w:t>| $\tau_{spinal}$ | Synaptic Integration in Dorsal Horn | 5.0 ms | *LBX1* | Slower integration due to altered circuitry |</w:t>
      </w:r>
    </w:p>
    <w:p>
      <w:r>
        <w:rPr>
          <w:rFonts w:ascii="Courier New" w:hAnsi="Courier New"/>
        </w:rPr>
        <w:t>| $\tau_{cerebellar}$ | Central Processing | 25.0 ms | *CHD7*? | Suboptimal predictive integration |</w:t>
      </w:r>
    </w:p>
    <w:p>
      <w:r>
        <w:rPr>
          <w:rFonts w:ascii="Courier New" w:hAnsi="Courier New"/>
        </w:rPr>
        <w:t>| $\tau_{efferent}$ | Descending Motor Command | 15.0 ms | *GPR126* | Slower NCV |</w:t>
      </w:r>
    </w:p>
    <w:p>
      <w:r>
        <w:rPr>
          <w:rFonts w:ascii="Courier New" w:hAnsi="Courier New"/>
        </w:rPr>
        <w:t>| $\tau_{NMJ}$ | Neuromuscular Transmission | 1.0 ms | - | - |</w:t>
      </w:r>
    </w:p>
    <w:p>
      <w:r>
        <w:rPr>
          <w:rFonts w:ascii="Courier New" w:hAnsi="Courier New"/>
        </w:rPr>
        <w:t>| $\tau_{EM}$ | Electromechanical Force Production | 65.0 ms | - | - |</w:t>
      </w:r>
    </w:p>
    <w:p>
      <w:pPr>
        <w:pStyle w:val="Heading2"/>
      </w:pPr>
      <w:r>
        <w:t>3.3 Simulation of Growth-Induced Neuromuscular Lag</w:t>
      </w:r>
    </w:p>
    <w:p>
      <w:r>
        <w:t>The physiological stretch placed on peripheral axons during adolescence uniquely drives the dynamics of $\tau_{total}$. Figure 1 details the modeled trajectory of proprioceptive delay from ages 8 to 16. During the peak height velocity window ($\approx 12$ years, $&gt;9$ cm/yr), rapid lengthening of the somatosensory path combined with the transient lag in Schwann cell myelination pushes baseline $\tau_{total}$ close to, but safely under, the critical threshold of 200 ms.</w:t>
      </w:r>
    </w:p>
    <w:p>
      <w:pPr>
        <w:pStyle w:val="Heading2"/>
      </w:pPr>
      <w:r>
        <w:t>3.4 Polygenic Risk Thresholding Reproduces AIS Prevalence</w:t>
      </w:r>
    </w:p>
    <w:p>
      <w:r>
        <w:t>The compounding impact of multiple genetic variants was modeled in our simulated cohort of $10,000$ virtual individuals at the apex of the pubertal growth spurt.</w:t>
      </w:r>
    </w:p>
    <w:p>
      <w:pPr>
        <w:pStyle w:val="ListBullet"/>
      </w:pPr>
      <w:r>
        <w:t>The isolated impact of the *GPR126* risk allele generated a consistent 4-5 ms penalty on $\tau_{total}$.</w:t>
      </w:r>
    </w:p>
    <w:p>
      <w:pPr>
        <w:pStyle w:val="ListBullet"/>
      </w:pPr>
      <w:r>
        <w:t>The isolated *LBX1* regulatory variant added a stable $\approx 3-5$ ms penalty to spinal synaptic integration.</w:t>
      </w:r>
    </w:p>
    <w:p>
      <w:pPr>
        <w:pStyle w:val="ListBullet"/>
      </w:pPr>
      <w:r>
        <w:t>The hypothetical *PIEZO2* functional variant delayed signal transduction by an additional $\approx 2-3$ ms.</w:t>
      </w:r>
    </w:p>
    <w:p>
      <w:r>
        <w:t>In isolation, no single variant was sufficient to push an individual over the 200 ms instability threshold. However, under the additive interaction model (Figure 2), the subset of the population stochastically bearing multiple minor risk alleles exhibited an expanded, rightward-shifted distribution of $\tau_{total}$. Approximately $1.39\%$ of the virtual population fell into the extreme right tail, surpassing the 200 ms critical boundary. This simulated incidence perfectly mirrors the empirically observed population prevalence of AIS (1-3%).</w:t>
      </w:r>
    </w:p>
    <w:p>
      <w:r>
        <w:t>The results confirm the core hypothesis: it is the convergence of a genetically elevated baseline $\tau_{total}$ and the superimposed physiological demand of the pubertal growth spurt that creates a discrete "Derivative Gain Gap" window, destabilizing the postural controller.</w:t>
      </w:r>
    </w:p>
    <w:p>
      <w:pPr>
        <w:pStyle w:val="Heading1"/>
      </w:pPr>
      <w:r>
        <w:t>4. Discussion</w:t>
      </w:r>
    </w:p>
    <w:p>
      <w:r>
        <w:t>The etiology of Adolescent Idiopathic Scoliosis (AIS) has historically defied a unified explanation. Although decades of genome-wide association studies have successfully mapped a dense polygenic landscape—highlighting neural connectivity and mechanotransduction genes like *GPR126*, *LBX1*, and *PIEZO2*—the translation from molecular vulnerability to macroscopic, three-dimensional spinal buckling during puberty remained obscure. By decomposing the control-theoretic parameter $\tau$ (total proprioceptive delay) into distinct biological intervals, we provide a unified mechanistic hypothesis. Our simulated polygenic risk distribution precisely aligned with the recognized 1-3% empirical population prevalence of the disorder, demonstrating that structural variation driving small kinetic delays can fundamentally disrupt an entire biomechanical control loop.</w:t>
      </w:r>
    </w:p>
    <w:p>
      <w:pPr>
        <w:pStyle w:val="Heading2"/>
      </w:pPr>
      <w:r>
        <w:t>4.1 From Genome to Proprioceptive Delay</w:t>
      </w:r>
    </w:p>
    <w:p>
      <w:r>
        <w:t>The "Derivative Gain Gap" hypothesis conceptualizes the adolescent growth spurt as a transient stress test for postural control. This framework naturally integrates the role of somatic factors like *PAX1* variations (which potentially alter vertebral mechanics and the structural "plant" component of the PID loop) with controller-level variations. However, it is the controller-level disruption of $\tau_{total}$ that drives the hallmark pubertal onset.</w:t>
      </w:r>
    </w:p>
    <w:p>
      <w:r>
        <w:t>The finding that *GPR126* controls Schwann cell myelination aligns closely with the transient phenomenon of nerve stretch and lag-remodeling during growth. Rapid bone elongation stretches axons dynamically, necessitating an enormous expansion of myelin volume to preserve constant $g$-ratios and optimize conduction velocity. A genetic hypofunction at *GPR126* disrupts critical cAMP-dependent metabolic upregulation, extending the lag phase where thin myelin slows transmission. In combination with *LBX1*—which delays the subsequent synaptic relay within the dorsal horn—the minor molecular deficits accumulate. Our model indicates that a delay penalty of less than 20 ms, layered on top of the $\approx$150 ms wild-type baseline and the natural physiological myelination drop of 10-20 ms during peak height velocity, is sufficient to cross the critical $\approx$200 ms instability threshold and precipitate buckling.</w:t>
      </w:r>
    </w:p>
    <w:p>
      <w:pPr>
        <w:pStyle w:val="Heading2"/>
      </w:pPr>
      <w:r>
        <w:t>4.2 Clinical Implications and Genetic Screening</w:t>
      </w:r>
    </w:p>
    <w:p>
      <w:r>
        <w:t>Decomposing $\tau_{total}$ explicitly into an additive sequence suggests actionable targets for early screening and non-invasive intervention. The polygenic score for AIS risk is currently in developmental stages. Still, if predictive arrays heavily weigh variants associated with delayed nerve conduction or mechanotransduction (e.g., *GPR126*, *PIEZO2*), they could flag subsets of children whose proprioceptive systems operate perilously close to the buckling limit prior to the onset of the pubertal growth spurt. For this "high-risk" subgroup, proactive screening via standard peripheral nerve conduction velocity (NCV) testing could be a low-cost, non-radiographic method to map $\tau_{afferent}$ directly. The finding also positions myelination enhancers or cyclic-AMP modulators as hypothetical prophylactic targets before peak height velocity begins.</w:t>
      </w:r>
    </w:p>
    <w:p>
      <w:pPr>
        <w:pStyle w:val="Heading2"/>
      </w:pPr>
      <w:r>
        <w:t>4.3 Link to Geriatric Ageing (Paper 3)</w:t>
      </w:r>
    </w:p>
    <w:p>
      <w:r>
        <w:t>A compelling outcome of this theoretical structure is its direct link to the forthcoming findings of Paper 3, covering "The Terminal Derivative Gain Gap." Just as the pubertal growth spurt stretches the peripheral axons and tests the metabolic limits of the $\tau_{total}$ machinery, the telomere-driven senescence of aging populations naturally degrades those exact components. Aging results in decreased peripheral myelin integrity, progressive sarcopenia (increasing the electromechanical delay, $\tau_{EM}$), and slower mechanotransduction channel kinetics. The same genes mapping to pubertal instability (e.g., myelination targets) dictate the ultimate collapse of postural control in the elderly, leading to falls and kyphotic deformities—a symmetrical failure at the end of life caused by identical control parameters eroding in opposite directions.</w:t>
      </w:r>
    </w:p>
    <w:p>
      <w:pPr>
        <w:pStyle w:val="Heading2"/>
      </w:pPr>
      <w:r>
        <w:t>4.4 Limitations and Future Directions</w:t>
      </w:r>
    </w:p>
    <w:p>
      <w:r>
        <w:t>The primary limitation of our modeling is the estimation of the baseline delays and the magnitude of the respective variant penalties. While rooted in published electrophysiology—e.g., 60 m/s baseline velocities and established PIEZO2 activation kinetics—the precise interaction coefficients during human adolescent growth have not been directly measured *in vivo* during the apex of the height spurt in genetically stratified AIS cohorts.</w:t>
      </w:r>
    </w:p>
    <w:p>
      <w:r>
        <w:t>The model explicitly predicts an observable NCV lag in children with AIS during peak height velocity, proportional to the accumulation of risk alleles like *GPR126* and *LBX1*. A critical empirical test of this theory will be the direct measurement of NCV and overall reflex latencies (e.g., H-reflex delays mapping to $\tau_{total}$) in genetically defined patient cohorts.</w:t>
      </w:r>
    </w:p>
    <w:p>
      <w:pPr>
        <w:pStyle w:val="Heading1"/>
      </w:pPr>
      <w:r>
        <w:t>5. Conclusion</w:t>
      </w:r>
    </w:p>
    <w:p>
      <w:r>
        <w:t>Adolescent Idiopathic Scoliosis is the product of a precise, biomechanical failure state triggered by the convergence of physiological growth demands and a polygenically elevated baseline proprioceptive delay. By decomposing the critical control-theoretic parameter $\tau$ into its discrete molecular components—specifically peripheral myelination (*GPR126*), mechanotransduction (*PIEZO2*), and spinal circuit integration (*LBX1*)—this study explicitly bridges genome-wide association data to the macroscopic geometry of spinal deformity. The simulation of the resulting "Derivative Gain Gap" successfully predicts the unique pubertal onset and the established population prevalence of the disorder, offering a unifying, testable framework that redefines AIS not as an idiopathic skeletal malformation, but as a genetically driven, transient perturbation of postural control.</w:t>
      </w:r>
    </w:p>
    <w:p>
      <w:pPr>
        <w:pStyle w:val="Heading1"/>
      </w:pPr>
      <w:r>
        <w:t>References</w:t>
      </w:r>
    </w:p>
    <w:p>
      <w:pPr>
        <w:pStyle w:val="ListBullet"/>
      </w:pPr>
      <w:r>
        <w:t>Campbell, W. W., Ward, L. C., &amp; Swift, T. R. (1981). Nerve conduction velocity varies inversely with height. *Muscle &amp; Nerve*, 4(6), 520-523. DOI: 10.1002/mus.880040609</w:t>
      </w:r>
    </w:p>
    <w:p>
      <w:pPr>
        <w:pStyle w:val="ListBullet"/>
      </w:pPr>
      <w:r>
        <w:t>Cao, J., Min, S., Zhang, Y., Li, P., &amp; Li, Y. (2016). Associations of LBX1 gene and adolescent idiopathic scoliosis susceptibility: a meta-analysis based on 34,626 subjects. *BMC Musculoskeletal Disorders*, 17(1), 350. DOI: 10.1186/s12891-016-1139-z</w:t>
      </w:r>
    </w:p>
    <w:p>
      <w:pPr>
        <w:pStyle w:val="ListBullet"/>
      </w:pPr>
      <w:r>
        <w:t>Cè, E., Rampichini, S., Venturelli, M., Limonta, E., Veicsteinas, A., &amp; Esposito, F. (2015). Electromechanical delay components during relaxation after voluntary contraction: reliability and effects of fatigue. *Muscle &amp; Nerve*, 51(6), 907-915. DOI: 10.1002/mus.24466</w:t>
      </w:r>
    </w:p>
    <w:p>
      <w:pPr>
        <w:pStyle w:val="ListBullet"/>
      </w:pPr>
      <w:r>
        <w:t>Chesler, A. T., Szczot, M., Bharucha-Goebel, D., Čeko, M., Donkervoort, S., Laubacher, C., ... &amp; Bönnemann, C. G. (2016). The Role of PIEZO2 in Human Mechanosensation. *The New England Journal of Medicine*, 375(14), 1355-1364. DOI: 10.1056/NEJMoa1602812</w:t>
      </w:r>
    </w:p>
    <w:p>
      <w:pPr>
        <w:pStyle w:val="ListBullet"/>
      </w:pPr>
      <w:r>
        <w:t>Halonen, J. P., &amp; Lang, A. H. (1983). Effect of height on the distal and proximal nerve conduction velocity of the tibial nerve. *Electroencephalography and Clinical Neurophysiology*, 56(4), 382-383. DOI: 10.1016/0013-4694(83)92418-5</w:t>
      </w:r>
    </w:p>
    <w:p>
      <w:pPr>
        <w:pStyle w:val="ListBullet"/>
      </w:pPr>
      <w:r>
        <w:t>Lacourpaille, L., Nordez, A., Doguet, V., Hug, F., &amp; Guilhem, G. (2016). Effect of damaging exercise on electromechanical delay. *Muscle &amp; Nerve*, 54(5), 905-911. DOI: 10.1002/mus.25024</w:t>
      </w:r>
    </w:p>
    <w:p>
      <w:pPr>
        <w:pStyle w:val="ListBullet"/>
      </w:pPr>
      <w:r>
        <w:t>Mogha, A., Harty, B. L., Carlin, D., Joseph, J., Sanchez, N. E., Suter, U., Piao, X., Cavalli, V., &amp; Monk, K. R. (2016). Gpr126/Adgrg6 Has Schwann Cell Autonomous and Nonautonomous Functions in Peripheral Nerve Injury and Repair. *The Journal of Neuroscience*, 36(49), 12351-12367. DOI: 10.1523/jneurosci.3854-15.2016</w:t>
      </w:r>
    </w:p>
    <w:p>
      <w:pPr>
        <w:pStyle w:val="ListBullet"/>
      </w:pPr>
      <w:r>
        <w:t>Qin, X., Xu, L., Xia, C., Zhu, Z., Sun, W., Liu, Z., Qiu, Y., &amp; Zhu, F. (2017). Genetic Variant of GPR126 Gene is Functionally Associated With Adolescent Idiopathic Scoliosis in Chinese Population. *Spine*, 42(18), E1058-E1063. DOI: 10.1097/brs.0000000000002123</w:t>
      </w:r>
    </w:p>
    <w:p>
      <w:pPr>
        <w:pStyle w:val="ListBullet"/>
      </w:pPr>
      <w:r>
        <w:t>Schlaepfer, W. W., &amp; Myers, F. K. (1973). Relationship of myelin internode elongation and growth in the rat sural nerve. *The Journal of Comparative Neurology*, 147(2), 255-266. DOI: 10.1002/cne.901470207</w:t>
      </w:r>
    </w:p>
    <w:p>
      <w:pPr>
        <w:pStyle w:val="ListBullet"/>
      </w:pPr>
      <w:r>
        <w:t>Sonkodi, B. (2023). Miswired Proprioception in Amyotrophic Lateral Sclerosis in Relation to Pain Sensation (and in Delayed Onset Muscle Soreness)—Is Piezo2 Channelopathy a Principal Transcription Activator in Proprioceptive Terminals Besides Being the Potential Primary Damage?. *Life*, 13(3), 657. DOI: 10.3390/life13030657</w:t>
      </w:r>
    </w:p>
    <w:p>
      <w:pPr>
        <w:pStyle w:val="ListBullet"/>
      </w:pPr>
      <w:r>
        <w:t>Szczot, M., Pogorzala, L. A., Solinski, H. J., Hoon, M. A., &amp; Chesler, A. T. (2018). Cell Type Specific Splicing of Piezo2 Regulates Mechanotransduction. *Biophysical Journal*, 114(3), 663-664. DOI: 10.1016/j.bpj.2017.11.663</w:t>
      </w:r>
    </w:p>
    <w:p>
      <w:pPr>
        <w:pStyle w:val="ListBullet"/>
      </w:pPr>
      <w:r>
        <w:t>Woo, S. H., Lukacs, V., de Nooij, J. C., Zaytseva, D., Criddle, C. R., Francisco, A., Jessell, T. M., Wilkinson, K. A., &amp; Patapoutian, A. (2015). Piezo2 is the principal mechanotransduction channel for proprioception. *Nature Neuroscience*, 18(12), 1756-1762. DOI: 10.1038/nn.4162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