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rFonts w:ascii="Times New Roman" w:cs="Times New Roman" w:eastAsia="Times New Roman" w:hAnsi="Times New Roman"/>
          <w:b/>
          <w:bCs/>
          <w:sz w:val="34"/>
          <w:szCs w:val="34"/>
        </w:rPr>
        <w:t xml:space="preserve">Biological Countercurvature of Spacetime:</w:t>
      </w:r>
    </w:p>
    <w:p>
      <w:pPr>
        <w:spacing w:after="400"/>
        <w:jc w:val="center"/>
      </w:pPr>
      <w:r>
        <w:rPr>
          <w:rFonts w:ascii="Times New Roman" w:cs="Times New Roman" w:eastAsia="Times New Roman" w:hAnsi="Times New Roman"/>
          <w:b/>
          <w:bCs/>
          <w:sz w:val="34"/>
          <w:szCs w:val="34"/>
        </w:rPr>
        <w:t xml:space="preserve">An Information–Cosserat Framework for Vertebral Geometry</w:t>
      </w:r>
    </w:p>
    <w:p>
      <w:pPr>
        <w:spacing w:before="200"/>
      </w:pPr>
    </w:p>
    <w:p>
      <w:pPr>
        <w:spacing w:after="80"/>
        <w:jc w:val="center"/>
      </w:pPr>
      <w:r>
        <w:rPr>
          <w:rFonts w:ascii="Times New Roman" w:cs="Times New Roman" w:eastAsia="Times New Roman" w:hAnsi="Times New Roman"/>
          <w:sz w:val="24"/>
          <w:szCs w:val="24"/>
        </w:rPr>
        <w:t xml:space="preserve">Dr. Sayuj Krishnan S, MBBS, DNB (Neurosurgery)</w:t>
      </w:r>
    </w:p>
    <w:p>
      <w:pPr>
        <w:spacing w:after="80"/>
        <w:jc w:val="center"/>
      </w:pPr>
      <w:r>
        <w:rPr>
          <w:rFonts w:ascii="Times New Roman" w:cs="Times New Roman" w:eastAsia="Times New Roman" w:hAnsi="Times New Roman"/>
          <w:sz w:val="22"/>
          <w:szCs w:val="22"/>
        </w:rPr>
        <w:t xml:space="preserve">Consultant Neurosurgeon and Spine Surgeon</w:t>
      </w:r>
    </w:p>
    <w:p>
      <w:pPr>
        <w:spacing w:after="80"/>
        <w:jc w:val="center"/>
      </w:pPr>
      <w:r>
        <w:rPr>
          <w:rFonts w:ascii="Times New Roman" w:cs="Times New Roman" w:eastAsia="Times New Roman" w:hAnsi="Times New Roman"/>
          <w:sz w:val="22"/>
          <w:szCs w:val="22"/>
        </w:rPr>
        <w:t xml:space="preserve">Yashoda Hospitals, Malakpet, Hyderabad, India</w:t>
      </w:r>
    </w:p>
    <w:p>
      <w:pPr>
        <w:spacing w:after="400"/>
        <w:jc w:val="center"/>
      </w:pPr>
      <w:r>
        <w:rPr>
          <w:rFonts w:ascii="Times New Roman" w:cs="Times New Roman" w:eastAsia="Times New Roman" w:hAnsi="Times New Roman"/>
          <w:color w:val="0000CC"/>
          <w:sz w:val="22"/>
          <w:szCs w:val="22"/>
        </w:rPr>
        <w:t xml:space="preserve">dr.sayujkrishnan@gmail.com</w:t>
      </w:r>
    </w:p>
    <w:p>
      <w:pPr>
        <w:spacing w:after="200"/>
        <w:jc w:val="center"/>
      </w:pPr>
      <w:r>
        <w:rPr>
          <w:rFonts w:ascii="Times New Roman" w:cs="Times New Roman" w:eastAsia="Times New Roman" w:hAnsi="Times New Roman"/>
          <w:i/>
          <w:iCs/>
          <w:color w:val="666666"/>
          <w:sz w:val="20"/>
          <w:szCs w:val="20"/>
        </w:rPr>
        <w:t xml:space="preserve">Merged manuscript with integrated protein-level biophysical foundations</w:t>
      </w:r>
    </w:p>
    <w:p>
      <w:pPr>
        <w:jc w:val="center"/>
      </w:pPr>
      <w:r>
        <w:rPr>
          <w:rFonts w:ascii="Times New Roman" w:cs="Times New Roman" w:eastAsia="Times New Roman" w:hAnsi="Times New Roman"/>
          <w:i/>
          <w:iCs/>
          <w:color w:val="666666"/>
          <w:sz w:val="20"/>
          <w:szCs w:val="20"/>
        </w:rPr>
        <w:t xml:space="preserve">Prepared for Nature submission — February 2026</w:t>
      </w:r>
    </w:p>
    <w:p>
      <w:r>
        <w:br w:type="page"/>
      </w:r>
    </w:p>
    <w:p>
      <w:pPr>
        <w:pStyle w:val="Heading1"/>
        <w:spacing w:before="400" w:after="200"/>
      </w:pPr>
      <w:r>
        <w:rPr>
          <w:rFonts w:ascii="Times New Roman" w:cs="Times New Roman" w:eastAsia="Times New Roman" w:hAnsi="Times New Roman"/>
          <w:b/>
          <w:bCs/>
          <w:sz w:val="32"/>
          <w:szCs w:val="32"/>
        </w:rPr>
        <w:t xml:space="preserve">Abstract</w:t>
      </w:r>
    </w:p>
    <w:p>
      <w:pPr>
        <w:spacing w:after="100" w:line="360"/>
      </w:pPr>
      <w:r>
        <w:rPr>
          <w:rFonts w:ascii="Times New Roman" w:cs="Times New Roman" w:eastAsia="Times New Roman" w:hAnsi="Times New Roman"/>
          <w:sz w:val="24"/>
          <w:szCs w:val="24"/>
        </w:rPr>
        <w:t xml:space="preserve">Living systems routinely maintain structure against gravity, from plant stems that grow upward to vertebrate spines that adopt robust S-shaped profiles. We develop a quantitative framework that interprets this behaviour as </w:t>
      </w:r>
      <w:r>
        <w:rPr>
          <w:rFonts w:ascii="Times New Roman" w:cs="Times New Roman" w:eastAsia="Times New Roman" w:hAnsi="Times New Roman"/>
          <w:i/>
          <w:iCs/>
          <w:sz w:val="24"/>
          <w:szCs w:val="24"/>
        </w:rPr>
        <w:t xml:space="preserve">biological countercurvature</w:t>
      </w:r>
      <w:r>
        <w:rPr>
          <w:rFonts w:ascii="Times New Roman" w:cs="Times New Roman" w:eastAsia="Times New Roman" w:hAnsi="Times New Roman"/>
          <w:sz w:val="24"/>
          <w:szCs w:val="24"/>
        </w:rPr>
        <w:t xml:space="preserve">: information-driven modification of the effective geometry experienced by a body in a gravitational field. An information–elasticity coupling (IEC) model of spinal patterning is combined with three-dimensional Cosserat rod mechanics (PyElastica), treating the rod in gravity as an analogue spacetime and the IEC information field I(s) as a source of effective countercurvature.</w:t>
      </w:r>
    </w:p>
    <w:p>
      <w:pPr>
        <w:spacing w:after="100" w:line="360"/>
        <w:ind w:firstLine="720"/>
      </w:pPr>
      <w:r>
        <w:rPr>
          <w:rFonts w:ascii="Times New Roman" w:cs="Times New Roman" w:eastAsia="Times New Roman" w:hAnsi="Times New Roman"/>
          <w:sz w:val="24"/>
          <w:szCs w:val="24"/>
        </w:rPr>
        <w:t xml:space="preserve">Along the body axis s, we define a biological metric dℓ</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g</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ds</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where the conformal factor g</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depends on the local amplitude and gradient of I(s). Using this countercurvature metric, we introduce a normalised geodesic curvature deviation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that measures how far information-shaped equilibrium curvature profiles depart from gravity-selected profiles. Across canonical simulations—human-like spinal S-curves, plant-like stems, and microgravity adaptation—Đ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separates gravity-dominated, cooperative, and information-dominated regimes in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g) space.</w:t>
      </w:r>
    </w:p>
    <w:p>
      <w:pPr>
        <w:spacing w:after="100" w:line="360"/>
        <w:ind w:firstLine="720"/>
      </w:pPr>
      <w:r>
        <w:rPr>
          <w:rFonts w:ascii="Times New Roman" w:cs="Times New Roman" w:eastAsia="Times New Roman" w:hAnsi="Times New Roman"/>
          <w:sz w:val="24"/>
          <w:szCs w:val="24"/>
        </w:rPr>
        <w:t xml:space="preserve">To probe pathology, we introduce a small, localised thoracic asymmetry in the information field and track coronal-plane deformations. In the gravity-dominated regime, this perturbation yields negligible lateral deviation. In the information-dominated corner of the phase diagram, the same small asymmetry is amplified into a scoliosis-like symmetry-broken branch with clinical-scale Cobb angles, providing a physical explanation for the window of vulnerability during adolescent growth. </w:t>
      </w:r>
      <w:r>
        <w:rPr>
          <w:rFonts w:ascii="Times New Roman" w:cs="Times New Roman" w:eastAsia="Times New Roman" w:hAnsi="Times New Roman"/>
          <w:i/>
          <w:iCs/>
          <w:sz w:val="24"/>
          <w:szCs w:val="24"/>
        </w:rPr>
        <w:t xml:space="preserve">We further demonstrate that this vulnerability arises from a thermodynamic instability—a transient energy deficit during the growth spurt where mechanosensory protein maintenance cannot keep pace with structural growth demands—and that the directional selectivity of scoliotic curvature is explained by a tensor mismatch between developmental information gradients and gravitational stress vectors.</w:t>
      </w:r>
      <w:r>
        <w:rPr>
          <w:rFonts w:ascii="Times New Roman" w:cs="Times New Roman" w:eastAsia="Times New Roman" w:hAnsi="Times New Roman"/>
          <w:sz w:val="24"/>
          <w:szCs w:val="24"/>
        </w:rPr>
        <w:t xml:space="preserve"> Our findings suggest that biological countercurvature is a fundamental principle of morphogenesis, offering a unified geometric perspective on how genetic information maintains structural integrity against environmental forces.</w:t>
      </w:r>
    </w:p>
    <w:p>
      <w:r>
        <w:br w:type="page"/>
      </w:r>
    </w:p>
    <w:p>
      <w:pPr>
        <w:pStyle w:val="Heading1"/>
        <w:spacing w:before="400" w:after="200"/>
      </w:pPr>
      <w:r>
        <w:rPr>
          <w:rFonts w:ascii="Times New Roman" w:cs="Times New Roman" w:eastAsia="Times New Roman" w:hAnsi="Times New Roman"/>
          <w:b/>
          <w:bCs/>
          <w:sz w:val="32"/>
          <w:szCs w:val="32"/>
        </w:rPr>
        <w:t xml:space="preserve">1  Introduction</w:t>
      </w:r>
    </w:p>
    <w:p>
      <w:pPr>
        <w:pStyle w:val="Heading2"/>
        <w:spacing w:before="300" w:after="160"/>
      </w:pPr>
      <w:r>
        <w:rPr>
          <w:rFonts w:ascii="Times New Roman" w:cs="Times New Roman" w:eastAsia="Times New Roman" w:hAnsi="Times New Roman"/>
          <w:b/>
          <w:bCs/>
          <w:sz w:val="28"/>
          <w:szCs w:val="28"/>
        </w:rPr>
        <w:t xml:space="preserve">1.1  Background: Gravity as a Morphogenetic Cue</w:t>
      </w:r>
    </w:p>
    <w:p>
      <w:pPr>
        <w:spacing w:after="100" w:line="360"/>
      </w:pPr>
      <w:r>
        <w:rPr>
          <w:rFonts w:ascii="Times New Roman" w:cs="Times New Roman" w:eastAsia="Times New Roman" w:hAnsi="Times New Roman"/>
          <w:sz w:val="24"/>
          <w:szCs w:val="24"/>
        </w:rPr>
        <w:t xml:space="preserve">Life on Earth has evolved within the unyielding context of a constant gravitational field (g ≈ 9.81 m/s</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This force acts not merely as a mechanical load, but as a ubiquitous morphogenetic cue that shapes the architecture of living systems. For sessile structures, gravity dictates a simple, low-energy equilibrium: a beam clamped at one end and subject to its own weight will inevitably sag into a monotonic C-shape. This passive tendency is opposed by biological growth and remodelling, operating under the constraints of “morphomechanics”—the interplay between mechanical stress and developmental patterning.</w:t>
      </w:r>
    </w:p>
    <w:p>
      <w:pPr>
        <w:spacing w:after="100" w:line="360"/>
        <w:ind w:firstLine="720"/>
      </w:pPr>
      <w:r>
        <w:rPr>
          <w:rFonts w:ascii="Times New Roman" w:cs="Times New Roman" w:eastAsia="Times New Roman" w:hAnsi="Times New Roman"/>
          <w:sz w:val="24"/>
          <w:szCs w:val="24"/>
        </w:rPr>
        <w:t xml:space="preserve">In vertebrates, particularly bipedal humans, this challenge is acute. The human spine must support the head and trunk against gravity while enabling locomotion. Instead of sagging into a passive C-shape, the healthy human spine maintains a complex, robust S-shaped profile (lordosis and kyphosis). While the segmental identity of the vertebrae is encoded in the HOX gene clusters, a fundamental “Translation Problem” remains: how is a discrete, one-dimensional genetic code translated into a continuous, three-dimensional analogue geometry capable of withstanding physical loads?</w:t>
      </w:r>
    </w:p>
    <w:p>
      <w:pPr>
        <w:spacing w:after="100" w:line="360"/>
        <w:ind w:firstLine="720"/>
      </w:pPr>
      <w:r>
        <w:rPr>
          <w:rFonts w:ascii="Times New Roman" w:cs="Times New Roman" w:eastAsia="Times New Roman" w:hAnsi="Times New Roman"/>
          <w:sz w:val="24"/>
          <w:szCs w:val="24"/>
        </w:rPr>
        <w:t xml:space="preserve">Evidence from spaceflight shows that the S-shape persists even in microgravity, suggesting it is not merely a passive plastic deformation under load, but an actively maintained </w:t>
      </w:r>
      <w:r>
        <w:rPr>
          <w:rFonts w:ascii="Times New Roman" w:cs="Times New Roman" w:eastAsia="Times New Roman" w:hAnsi="Times New Roman"/>
          <w:i/>
          <w:iCs/>
          <w:sz w:val="24"/>
          <w:szCs w:val="24"/>
        </w:rPr>
        <w:t xml:space="preserve">counter-curvature</w:t>
      </w:r>
      <w:r>
        <w:rPr>
          <w:rFonts w:ascii="Times New Roman" w:cs="Times New Roman" w:eastAsia="Times New Roman" w:hAnsi="Times New Roman"/>
          <w:sz w:val="24"/>
          <w:szCs w:val="24"/>
        </w:rPr>
        <w:t xml:space="preserve">—a geometric standing wave driven by biological information against the passive gravitational metric. This maintenance is energetically costly, requiring the continuous turnover of extracellular matrix (ECM) and the tonic contraction of paraspinal muscles. As such, the spine can be viewed as a “dissipative structure” that consumes metabolic free energy to resist the entropy of gravitational collapse.</w:t>
      </w:r>
    </w:p>
    <w:p>
      <w:pPr>
        <w:pStyle w:val="Heading2"/>
        <w:spacing w:before="300" w:after="160"/>
      </w:pPr>
      <w:r>
        <w:rPr>
          <w:rFonts w:ascii="Times New Roman" w:cs="Times New Roman" w:eastAsia="Times New Roman" w:hAnsi="Times New Roman"/>
          <w:b/>
          <w:bCs/>
          <w:sz w:val="28"/>
          <w:szCs w:val="28"/>
        </w:rPr>
        <w:t xml:space="preserve">1.2  The Thermodynamic Cost of Counter-Curvature</w:t>
      </w:r>
    </w:p>
    <w:p>
      <w:pPr>
        <w:spacing w:after="100" w:line="360"/>
      </w:pPr>
      <w:r>
        <w:rPr>
          <w:rFonts w:ascii="Times New Roman" w:cs="Times New Roman" w:eastAsia="Times New Roman" w:hAnsi="Times New Roman"/>
          <w:sz w:val="24"/>
          <w:szCs w:val="24"/>
        </w:rPr>
        <w:t xml:space="preserve">To explain the robustness of spinal geometry and its specific vulnerability during rapid growth (adolescent idiopathic scoliosis, AIS), we propose a unifying hypothesis: the spine is a </w:t>
      </w:r>
      <w:r>
        <w:rPr>
          <w:rFonts w:ascii="Times New Roman" w:cs="Times New Roman" w:eastAsia="Times New Roman" w:hAnsi="Times New Roman"/>
          <w:b/>
          <w:bCs/>
          <w:sz w:val="24"/>
          <w:szCs w:val="24"/>
        </w:rPr>
        <w:t xml:space="preserve">Thermodynamic Standing Wave</w:t>
      </w:r>
      <w:r>
        <w:rPr>
          <w:rFonts w:ascii="Times New Roman" w:cs="Times New Roman" w:eastAsia="Times New Roman" w:hAnsi="Times New Roman"/>
          <w:sz w:val="24"/>
          <w:szCs w:val="24"/>
        </w:rPr>
        <w:t xml:space="preserve">. The maintenance of the S-shaped counter-curvature requires a metabolic power input P</w:t>
      </w:r>
      <w:r>
        <w:rPr>
          <w:rFonts w:ascii="Times New Roman" w:cs="Times New Roman" w:eastAsia="Times New Roman" w:hAnsi="Times New Roman"/>
          <w:sz w:val="24"/>
          <w:szCs w:val="24"/>
          <w:vertAlign w:val="subscript"/>
        </w:rPr>
        <w:t xml:space="preserve">counter</w:t>
      </w:r>
      <w:r>
        <w:rPr>
          <w:rFonts w:ascii="Times New Roman" w:cs="Times New Roman" w:eastAsia="Times New Roman" w:hAnsi="Times New Roman"/>
          <w:sz w:val="24"/>
          <w:szCs w:val="24"/>
        </w:rPr>
        <w:t xml:space="preserve"> to fuel the synthesis of collagen, the cross-linking of elastin, and the operation of molecular mechanosensors.</w:t>
      </w:r>
    </w:p>
    <w:p>
      <w:pPr>
        <w:spacing w:after="100" w:line="360"/>
        <w:ind w:firstLine="720"/>
      </w:pPr>
      <w:r>
        <w:rPr>
          <w:rFonts w:ascii="Times New Roman" w:cs="Times New Roman" w:eastAsia="Times New Roman" w:hAnsi="Times New Roman"/>
          <w:sz w:val="24"/>
          <w:szCs w:val="24"/>
        </w:rPr>
        <w:t xml:space="preserve">Crucially, this metabolic cost scales non-linearly with spinal length L. While the gravitational moment scales as L</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(assuming isometric growth where mass ∝ L</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the cross-sectional area available for nutrient transport (via the avascular intervertebral disc endplates) scales only as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This mismatch creates a critical </w:t>
      </w:r>
      <w:r>
        <w:rPr>
          <w:rFonts w:ascii="Times New Roman" w:cs="Times New Roman" w:eastAsia="Times New Roman" w:hAnsi="Times New Roman"/>
          <w:b/>
          <w:bCs/>
          <w:sz w:val="24"/>
          <w:szCs w:val="24"/>
        </w:rPr>
        <w:t xml:space="preserve">Energy Deficit Window</w:t>
      </w:r>
      <w:r>
        <w:rPr>
          <w:rFonts w:ascii="Times New Roman" w:cs="Times New Roman" w:eastAsia="Times New Roman" w:hAnsi="Times New Roman"/>
          <w:sz w:val="24"/>
          <w:szCs w:val="24"/>
        </w:rPr>
        <w:t xml:space="preserve"> during the adolescent growth spurt. When L exceeds a critical threshold L</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the metabolic demand of maintaining the counter-curvature outstrips the diffusive supply capacity of the disc.</w:t>
      </w:r>
    </w:p>
    <w:p>
      <w:pPr>
        <w:spacing w:after="100" w:line="360"/>
        <w:ind w:firstLine="720"/>
      </w:pPr>
      <w:r>
        <w:rPr>
          <w:rFonts w:ascii="Times New Roman" w:cs="Times New Roman" w:eastAsia="Times New Roman" w:hAnsi="Times New Roman"/>
          <w:sz w:val="24"/>
          <w:szCs w:val="24"/>
        </w:rPr>
        <w:t xml:space="preserve">In this deficit regime, the system must prioritise survival over geometry. High-fidelity mechanosensors like PIEZO2 and the LINC complex (Lamin A/C), which are structurally expensive to maintain due to their high anisotropy and cytoskeletal connectivity, are downregulated or decoupled. This loss of sensory precision leads to “Spinal Jetlag”—a desynchronisation between the internal biological clock (which regulates matrix repair) and the external gravitational load cycle. The enzymatic machinery required for collagen stability, such as PLOD1, fails to keep pace with the synthesis demand, leading to deposition of mechanically inferior, under-crosslinked collagen. The result is a buckling instability: the spine abandons the metabolically expensive S-shape and relaxes into a lower-energy, gravity-dominated C-shape or the helical torsion of scoliosis.</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Integrated from Supplementary §5.1</w:t>
      </w:r>
    </w:p>
    <w:p>
      <w:pPr>
        <w:spacing w:after="100" w:line="360"/>
        <w:ind w:firstLine="720"/>
      </w:pPr>
      <w:r>
        <w:rPr>
          <w:rFonts w:ascii="Times New Roman" w:cs="Times New Roman" w:eastAsia="Times New Roman" w:hAnsi="Times New Roman"/>
          <w:sz w:val="24"/>
          <w:szCs w:val="24"/>
        </w:rPr>
        <w:t xml:space="preserve">While our framework connects developmental patterning to macroscopic geometry, the mechanistic basis lies in protein-level biophysics. HOX genes regulate the synthesis of two functionally distinct protein classes: </w:t>
      </w:r>
      <w:r>
        <w:rPr>
          <w:rFonts w:ascii="Times New Roman" w:cs="Times New Roman" w:eastAsia="Times New Roman" w:hAnsi="Times New Roman"/>
          <w:i/>
          <w:iCs/>
          <w:sz w:val="24"/>
          <w:szCs w:val="24"/>
        </w:rPr>
        <w:t xml:space="preserve">mechanosensory proteins</w:t>
      </w:r>
      <w:r>
        <w:rPr>
          <w:rFonts w:ascii="Times New Roman" w:cs="Times New Roman" w:eastAsia="Times New Roman" w:hAnsi="Times New Roman"/>
          <w:sz w:val="24"/>
          <w:szCs w:val="24"/>
        </w:rPr>
        <w:t xml:space="preserve"> (integrins, FAK, PIEZO2) that sense and respond to mechanical stress, and </w:t>
      </w:r>
      <w:r>
        <w:rPr>
          <w:rFonts w:ascii="Times New Roman" w:cs="Times New Roman" w:eastAsia="Times New Roman" w:hAnsi="Times New Roman"/>
          <w:i/>
          <w:iCs/>
          <w:sz w:val="24"/>
          <w:szCs w:val="24"/>
        </w:rPr>
        <w:t xml:space="preserve">structural proteins</w:t>
      </w:r>
      <w:r>
        <w:rPr>
          <w:rFonts w:ascii="Times New Roman" w:cs="Times New Roman" w:eastAsia="Times New Roman" w:hAnsi="Times New Roman"/>
          <w:sz w:val="24"/>
          <w:szCs w:val="24"/>
        </w:rPr>
        <w:t xml:space="preserve"> (collagens, proteoglycans) that provide the material scaffold. These two classes compete for limited metabolic resources, and this competition creates thermodynamic instability windows during rapid growth where the system becomes acutely sensitive to small perturbations. Furthermore, information–elasticity coupling is fundamentally tensorial: the tissue’s resistance to deformation depends not only on the magnitude of the information field but on the alignment between developmental gradient directions and mechanical stress vectors. The protein-level energetics and the tensor structure of coupling provide the mechanistic foundation that connects HOX gene expression to the macroscopic emergence—and pathological failure—of the spinal S-curve.</w:t>
      </w:r>
    </w:p>
    <w:p>
      <w:pPr>
        <w:pStyle w:val="Heading2"/>
        <w:spacing w:before="300" w:after="160"/>
      </w:pPr>
      <w:r>
        <w:rPr>
          <w:rFonts w:ascii="Times New Roman" w:cs="Times New Roman" w:eastAsia="Times New Roman" w:hAnsi="Times New Roman"/>
          <w:b/>
          <w:bCs/>
          <w:sz w:val="28"/>
          <w:szCs w:val="28"/>
        </w:rPr>
        <w:t xml:space="preserve">1.3  Testable Predictions</w:t>
      </w:r>
    </w:p>
    <w:p>
      <w:pPr>
        <w:spacing w:after="100" w:line="360"/>
      </w:pPr>
      <w:r>
        <w:rPr>
          <w:rFonts w:ascii="Times New Roman" w:cs="Times New Roman" w:eastAsia="Times New Roman" w:hAnsi="Times New Roman"/>
          <w:sz w:val="24"/>
          <w:szCs w:val="24"/>
        </w:rPr>
        <w:t xml:space="preserve">This framework yields specific, falsifiable predictions regarding the aetiology of spinal deformity and adaptation to microgravity:</w:t>
      </w:r>
    </w:p>
    <w:p>
      <w:pPr>
        <w:spacing w:after="80" w:line="360"/>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Frequency–Hypoxia Coupling: </w:t>
      </w:r>
      <w:r>
        <w:rPr>
          <w:rFonts w:ascii="Times New Roman" w:cs="Times New Roman" w:eastAsia="Times New Roman" w:hAnsi="Times New Roman"/>
          <w:sz w:val="24"/>
          <w:szCs w:val="24"/>
        </w:rPr>
        <w:t xml:space="preserve">We predict an inverse relationship between the frequency of mechanical loading (f</w:t>
      </w:r>
      <w:r>
        <w:rPr>
          <w:rFonts w:ascii="Times New Roman" w:cs="Times New Roman" w:eastAsia="Times New Roman" w:hAnsi="Times New Roman"/>
          <w:sz w:val="24"/>
          <w:szCs w:val="24"/>
          <w:vertAlign w:val="subscript"/>
        </w:rPr>
        <w:t xml:space="preserve">load</w:t>
      </w:r>
      <w:r>
        <w:rPr>
          <w:rFonts w:ascii="Times New Roman" w:cs="Times New Roman" w:eastAsia="Times New Roman" w:hAnsi="Times New Roman"/>
          <w:sz w:val="24"/>
          <w:szCs w:val="24"/>
        </w:rPr>
        <w:t xml:space="preserve">) and the stabilisation of HIF-1α in the nucleus pulposus. High-frequency loading (&gt;0.5 Hz) drives convective transport, flushing out lactate. Reducing f</w:t>
      </w:r>
      <w:r>
        <w:rPr>
          <w:rFonts w:ascii="Times New Roman" w:cs="Times New Roman" w:eastAsia="Times New Roman" w:hAnsi="Times New Roman"/>
          <w:sz w:val="24"/>
          <w:szCs w:val="24"/>
          <w:vertAlign w:val="subscript"/>
        </w:rPr>
        <w:t xml:space="preserve">load</w:t>
      </w:r>
      <w:r>
        <w:rPr>
          <w:rFonts w:ascii="Times New Roman" w:cs="Times New Roman" w:eastAsia="Times New Roman" w:hAnsi="Times New Roman"/>
          <w:sz w:val="24"/>
          <w:szCs w:val="24"/>
        </w:rPr>
        <w:t xml:space="preserve"> below a critical threshold will trigger a “Hypoxic Switch,” stabilising HIF-1α and upregulating MMP1/MMP3.</w:t>
      </w:r>
    </w:p>
    <w:p>
      <w:pPr>
        <w:spacing w:after="80" w:line="360"/>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Small-Molecule Rescue: </w:t>
      </w:r>
      <w:r>
        <w:rPr>
          <w:rFonts w:ascii="Times New Roman" w:cs="Times New Roman" w:eastAsia="Times New Roman" w:hAnsi="Times New Roman"/>
          <w:sz w:val="24"/>
          <w:szCs w:val="24"/>
        </w:rPr>
        <w:t xml:space="preserve">If “Spinal Jetlag” is driven by a metabolic deficit, then enhancing the amplitude of the circadian clock or buffering local pH should rescue spinal alignment without mechanical intervention.</w:t>
      </w:r>
    </w:p>
    <w:p>
      <w:pPr>
        <w:spacing w:after="80" w:line="360"/>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Spinal Phase Shift: </w:t>
      </w:r>
      <w:r>
        <w:rPr>
          <w:rFonts w:ascii="Times New Roman" w:cs="Times New Roman" w:eastAsia="Times New Roman" w:hAnsi="Times New Roman"/>
          <w:sz w:val="24"/>
          <w:szCs w:val="24"/>
        </w:rPr>
        <w:t xml:space="preserve">In scoliosis patients, the phase of the peripheral spinal clock will be significantly shifted relative to the central SCN clock, and the phase difference Δφ will correlate with the Cobb angle and back pain severity.</w:t>
      </w:r>
    </w:p>
    <w:p>
      <w:pPr>
        <w:spacing w:after="100" w:line="360"/>
        <w:ind w:firstLine="720"/>
      </w:pPr>
      <w:r>
        <w:rPr>
          <w:rFonts w:ascii="Times New Roman" w:cs="Times New Roman" w:eastAsia="Times New Roman" w:hAnsi="Times New Roman"/>
          <w:sz w:val="24"/>
          <w:szCs w:val="24"/>
        </w:rPr>
        <w:t xml:space="preserve">In the following sections, we formalise this theory using Cosserat rod mechanics, demonstrating how minimising the free energy of the spine naturally produces the S-shaped geometry and how metabolic deficits lead to scoliotic buckling.</w:t>
      </w:r>
    </w:p>
    <w:p>
      <w:r>
        <w:br w:type="page"/>
      </w:r>
    </w:p>
    <w:p>
      <w:pPr>
        <w:pStyle w:val="Heading1"/>
        <w:spacing w:before="400" w:after="200"/>
      </w:pPr>
      <w:r>
        <w:rPr>
          <w:rFonts w:ascii="Times New Roman" w:cs="Times New Roman" w:eastAsia="Times New Roman" w:hAnsi="Times New Roman"/>
          <w:b/>
          <w:bCs/>
          <w:sz w:val="32"/>
          <w:szCs w:val="32"/>
        </w:rPr>
        <w:t xml:space="preserve">2  Theory</w:t>
      </w:r>
    </w:p>
    <w:p>
      <w:pPr>
        <w:spacing w:after="100" w:line="360"/>
      </w:pPr>
      <w:r>
        <w:rPr>
          <w:rFonts w:ascii="Times New Roman" w:cs="Times New Roman" w:eastAsia="Times New Roman" w:hAnsi="Times New Roman"/>
          <w:sz w:val="24"/>
          <w:szCs w:val="24"/>
        </w:rPr>
        <w:t xml:space="preserve">We propose that the robust S-shaped geometry of the spine arises not from passive mechanical equilibrium under gravity, but from an active </w:t>
      </w:r>
      <w:r>
        <w:rPr>
          <w:rFonts w:ascii="Times New Roman" w:cs="Times New Roman" w:eastAsia="Times New Roman" w:hAnsi="Times New Roman"/>
          <w:i/>
          <w:iCs/>
          <w:sz w:val="24"/>
          <w:szCs w:val="24"/>
        </w:rPr>
        <w:t xml:space="preserve">counter-curvature</w:t>
      </w:r>
      <w:r>
        <w:rPr>
          <w:rFonts w:ascii="Times New Roman" w:cs="Times New Roman" w:eastAsia="Times New Roman" w:hAnsi="Times New Roman"/>
          <w:sz w:val="24"/>
          <w:szCs w:val="24"/>
        </w:rPr>
        <w:t xml:space="preserve"> mechanism driven by developmental information. We formalise this using an Information–Elasticity Coupling (IEC) framework, where a scalar information field I(s) modifies the effective geometry and energetics of a Cosserat rod.</w:t>
      </w:r>
    </w:p>
    <w:p>
      <w:pPr>
        <w:pStyle w:val="Heading2"/>
        <w:spacing w:before="300" w:after="160"/>
      </w:pPr>
      <w:r>
        <w:rPr>
          <w:rFonts w:ascii="Times New Roman" w:cs="Times New Roman" w:eastAsia="Times New Roman" w:hAnsi="Times New Roman"/>
          <w:b/>
          <w:bCs/>
          <w:sz w:val="28"/>
          <w:szCs w:val="28"/>
        </w:rPr>
        <w:t xml:space="preserve">2.1  The Counter-Curvature Hypothesis</w:t>
      </w:r>
    </w:p>
    <w:p>
      <w:pPr>
        <w:spacing w:after="100" w:line="360"/>
      </w:pPr>
      <w:r>
        <w:rPr>
          <w:rFonts w:ascii="Times New Roman" w:cs="Times New Roman" w:eastAsia="Times New Roman" w:hAnsi="Times New Roman"/>
          <w:sz w:val="24"/>
          <w:szCs w:val="24"/>
        </w:rPr>
        <w:t xml:space="preserve">The central problem of vertebrate morphogenesis is the translation of a one-dimensional genetic code into a robust three-dimensional geometry that can withstand environmental loads. In the case of the human spine, this challenge is acute: the column must support the head and trunk against the relentless downward pull of gravity while maintaining flexibility for locomotion. Classical structural mechanics predicts that a flexible column clamped at the base and subjected to its own weight will buckle or sag into a monotonic C-shape. Yet, the healthy human spine exhibits a complex, alternating S-shape.</w:t>
      </w:r>
    </w:p>
    <w:p>
      <w:pPr>
        <w:spacing w:after="100" w:line="360"/>
        <w:ind w:firstLine="720"/>
      </w:pPr>
      <w:r>
        <w:rPr>
          <w:rFonts w:ascii="Times New Roman" w:cs="Times New Roman" w:eastAsia="Times New Roman" w:hAnsi="Times New Roman"/>
          <w:sz w:val="24"/>
          <w:szCs w:val="24"/>
        </w:rPr>
        <w:t xml:space="preserve">This anomaly suggests that the S-shape is not a passive equilibrium but an active </w:t>
      </w:r>
      <w:r>
        <w:rPr>
          <w:rFonts w:ascii="Times New Roman" w:cs="Times New Roman" w:eastAsia="Times New Roman" w:hAnsi="Times New Roman"/>
          <w:i/>
          <w:iCs/>
          <w:sz w:val="24"/>
          <w:szCs w:val="24"/>
        </w:rPr>
        <w:t xml:space="preserve">counter-curvature</w:t>
      </w:r>
      <w:r>
        <w:rPr>
          <w:rFonts w:ascii="Times New Roman" w:cs="Times New Roman" w:eastAsia="Times New Roman" w:hAnsi="Times New Roman"/>
          <w:sz w:val="24"/>
          <w:szCs w:val="24"/>
        </w:rPr>
        <w:t xml:space="preserve">—a geometric standing wave maintained by the continuous expenditure of metabolic energy against the gravitational field.</w:t>
      </w:r>
    </w:p>
    <w:p>
      <w:pPr>
        <w:spacing w:after="100" w:line="360"/>
        <w:ind w:firstLine="720"/>
      </w:pPr>
      <w:r>
        <w:rPr>
          <w:rFonts w:ascii="Times New Roman" w:cs="Times New Roman" w:eastAsia="Times New Roman" w:hAnsi="Times New Roman"/>
          <w:b/>
          <w:bCs/>
          <w:sz w:val="24"/>
          <w:szCs w:val="24"/>
        </w:rPr>
        <w:t xml:space="preserve">The Information Field as a Target Metric. </w:t>
      </w:r>
      <w:r>
        <w:rPr>
          <w:rFonts w:ascii="Times New Roman" w:cs="Times New Roman" w:eastAsia="Times New Roman" w:hAnsi="Times New Roman"/>
          <w:sz w:val="24"/>
          <w:szCs w:val="24"/>
        </w:rPr>
        <w:t xml:space="preserve">Developmental patterning establishes a “Positional Information” field along the anterior–posterior axis, encoded by the nested expression of HOX genes. We posit that this information field I(s) does not merely specify cell identity but encodes a </w:t>
      </w:r>
      <w:r>
        <w:rPr>
          <w:rFonts w:ascii="Times New Roman" w:cs="Times New Roman" w:eastAsia="Times New Roman" w:hAnsi="Times New Roman"/>
          <w:i/>
          <w:iCs/>
          <w:sz w:val="24"/>
          <w:szCs w:val="24"/>
        </w:rPr>
        <w:t xml:space="preserve">target metric</w:t>
      </w:r>
      <w:r>
        <w:rPr>
          <w:rFonts w:ascii="Times New Roman" w:cs="Times New Roman" w:eastAsia="Times New Roman" w:hAnsi="Times New Roman"/>
          <w:sz w:val="24"/>
          <w:szCs w:val="24"/>
        </w:rPr>
        <w:t xml:space="preserve">—a preferred intrinsic curvature κ</w:t>
      </w:r>
      <w:r>
        <w:rPr>
          <w:rFonts w:ascii="Times New Roman" w:cs="Times New Roman" w:eastAsia="Times New Roman" w:hAnsi="Times New Roman"/>
          <w:sz w:val="24"/>
          <w:szCs w:val="24"/>
          <w:vertAlign w:val="subscript"/>
        </w:rPr>
        <w:t xml:space="preserve">rest</w:t>
      </w:r>
      <w:r>
        <w:rPr>
          <w:rFonts w:ascii="Times New Roman" w:cs="Times New Roman" w:eastAsia="Times New Roman" w:hAnsi="Times New Roman"/>
          <w:sz w:val="24"/>
          <w:szCs w:val="24"/>
        </w:rPr>
        <w:t xml:space="preserve">(s) that the tissue strives to achieve. The spine is thus a “smart beam” that continuously computes the error between its actual geometry (sensed via proprioception) and its genetic target.</w:t>
      </w:r>
    </w:p>
    <w:p>
      <w:pPr>
        <w:spacing w:after="100" w:line="360"/>
        <w:ind w:firstLine="720"/>
      </w:pPr>
      <w:r>
        <w:rPr>
          <w:rFonts w:ascii="Times New Roman" w:cs="Times New Roman" w:eastAsia="Times New Roman" w:hAnsi="Times New Roman"/>
          <w:b/>
          <w:bCs/>
          <w:sz w:val="24"/>
          <w:szCs w:val="24"/>
        </w:rPr>
        <w:t xml:space="preserve">Active Maintenance and the Hydrostatic Skeleton. </w:t>
      </w:r>
      <w:r>
        <w:rPr>
          <w:rFonts w:ascii="Times New Roman" w:cs="Times New Roman" w:eastAsia="Times New Roman" w:hAnsi="Times New Roman"/>
          <w:sz w:val="24"/>
          <w:szCs w:val="24"/>
        </w:rPr>
        <w:t xml:space="preserve">Achieving this target shape against gravity requires work. The spine functions partly as a hydrostatic skeleton, where the nucleus pulposus of the intervertebral disc acts as a pressurised hydraulic element. The maintenance of this pressure depends on the balance between osmotic swelling pressure (driven by proteoglycan synthesis) and the mechanical stress of gravity. This active maintenance constitutes a biological implementation of optimal feedback control, where the system minimises a cost function comprising both “geometric error” and “metabolic effort.”</w:t>
      </w:r>
    </w:p>
    <w:p>
      <w:pPr>
        <w:pStyle w:val="Heading2"/>
        <w:spacing w:before="300" w:after="160"/>
      </w:pPr>
      <w:r>
        <w:rPr>
          <w:rFonts w:ascii="Times New Roman" w:cs="Times New Roman" w:eastAsia="Times New Roman" w:hAnsi="Times New Roman"/>
          <w:b/>
          <w:bCs/>
          <w:sz w:val="28"/>
          <w:szCs w:val="28"/>
        </w:rPr>
        <w:t xml:space="preserve">2.2  Rod Geometry and Kinematic Parameterisation</w:t>
      </w:r>
    </w:p>
    <w:p>
      <w:pPr>
        <w:spacing w:after="100" w:line="360"/>
      </w:pPr>
      <w:r>
        <w:rPr>
          <w:rFonts w:ascii="Times New Roman" w:cs="Times New Roman" w:eastAsia="Times New Roman" w:hAnsi="Times New Roman"/>
          <w:sz w:val="24"/>
          <w:szCs w:val="24"/>
        </w:rPr>
        <w:t xml:space="preserve">We represent the human spine as a Cosserat rod, defined by a centreline curve r(s, t) ∈ ℝ</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parameterised by arc length s ∈ [0, L]. To each point s, we attach an orthonormal material frame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(s, t),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(s, t), d</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(s, t)} describing the cross-sectional orientation. The kinematics are governed by:</w:t>
      </w:r>
    </w:p>
    <w:p>
      <w:pPr>
        <w:spacing w:before="120" w:after="120"/>
        <w:jc w:val="center"/>
      </w:pPr>
      <w:r>
        <w:rPr>
          <w:rFonts w:ascii="Times New Roman" w:cs="Times New Roman" w:eastAsia="Times New Roman" w:hAnsi="Times New Roman"/>
          <w:i/>
          <w:iCs/>
          <w:sz w:val="22"/>
          <w:szCs w:val="22"/>
        </w:rPr>
        <w:t xml:space="preserve">r′(s) = v(s) = d₃(s) + ε(s)</w:t>
      </w:r>
    </w:p>
    <w:p>
      <w:pPr>
        <w:spacing w:before="120" w:after="120"/>
        <w:jc w:val="center"/>
      </w:pPr>
      <w:r>
        <w:rPr>
          <w:rFonts w:ascii="Times New Roman" w:cs="Times New Roman" w:eastAsia="Times New Roman" w:hAnsi="Times New Roman"/>
          <w:i/>
          <w:iCs/>
          <w:sz w:val="22"/>
          <w:szCs w:val="22"/>
        </w:rPr>
        <w:t xml:space="preserve">dᵢ′(s) = u(s) × dᵢ(s)</w:t>
      </w:r>
    </w:p>
    <w:p>
      <w:pPr>
        <w:spacing w:after="100" w:line="360"/>
        <w:ind w:firstLine="720"/>
      </w:pPr>
      <w:r>
        <w:rPr>
          <w:rFonts w:ascii="Times New Roman" w:cs="Times New Roman" w:eastAsia="Times New Roman" w:hAnsi="Times New Roman"/>
          <w:sz w:val="24"/>
          <w:szCs w:val="24"/>
        </w:rPr>
        <w:t xml:space="preserve">where v(s) is the tangent vector, ε(s) represents shear and extension strains, and u(s) = κ</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κ</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τ d</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is the Darboux vector encoding the flexural curvature components κ</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and torsional twist τ. We identify s = 0 with the sacrum (clamped) and s = L with the cranium (free).</w:t>
      </w:r>
    </w:p>
    <w:p>
      <w:pPr>
        <w:pStyle w:val="Heading2"/>
        <w:spacing w:before="300" w:after="160"/>
      </w:pPr>
      <w:r>
        <w:rPr>
          <w:rFonts w:ascii="Times New Roman" w:cs="Times New Roman" w:eastAsia="Times New Roman" w:hAnsi="Times New Roman"/>
          <w:b/>
          <w:bCs/>
          <w:sz w:val="28"/>
          <w:szCs w:val="28"/>
        </w:rPr>
        <w:t xml:space="preserve">2.3  Developmental Information Fields from Morphogenetic Patterning</w:t>
      </w:r>
    </w:p>
    <w:p>
      <w:pPr>
        <w:spacing w:after="100" w:line="360"/>
      </w:pPr>
      <w:r>
        <w:rPr>
          <w:rFonts w:ascii="Times New Roman" w:cs="Times New Roman" w:eastAsia="Times New Roman" w:hAnsi="Times New Roman"/>
          <w:sz w:val="24"/>
          <w:szCs w:val="24"/>
        </w:rPr>
        <w:t xml:space="preserve">We introduce a scalar information field I(s, t) ∈ [0, 1] representing the coarse-grained expression level of anterior–posterior patterning morphogens. The spatial gradient ∇I acts as a “curvature generator” via the geometric coupling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w:t>
      </w:r>
    </w:p>
    <w:p>
      <w:pPr>
        <w:spacing w:before="120" w:after="120"/>
        <w:jc w:val="center"/>
      </w:pPr>
      <w:r>
        <w:rPr>
          <w:rFonts w:ascii="Times New Roman" w:cs="Times New Roman" w:eastAsia="Times New Roman" w:hAnsi="Times New Roman"/>
          <w:i/>
          <w:iCs/>
          <w:sz w:val="22"/>
          <w:szCs w:val="22"/>
        </w:rPr>
        <w:t xml:space="preserve">κ_rest(s) = κ_gen + χₖ ∇I(s)       (Eq. 3)</w:t>
      </w:r>
    </w:p>
    <w:p>
      <w:pPr>
        <w:spacing w:after="100" w:line="360"/>
        <w:ind w:firstLine="720"/>
      </w:pPr>
      <w:r>
        <w:rPr>
          <w:rFonts w:ascii="Times New Roman" w:cs="Times New Roman" w:eastAsia="Times New Roman" w:hAnsi="Times New Roman"/>
          <w:sz w:val="24"/>
          <w:szCs w:val="24"/>
        </w:rPr>
        <w:t xml:space="preserve">Simultaneously, the field exerts a stiffness via the morphomechanical coupling χ</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generating the active biological moment M</w:t>
      </w:r>
      <w:r>
        <w:rPr>
          <w:rFonts w:ascii="Times New Roman" w:cs="Times New Roman" w:eastAsia="Times New Roman" w:hAnsi="Times New Roman"/>
          <w:sz w:val="24"/>
          <w:szCs w:val="24"/>
          <w:vertAlign w:val="subscript"/>
        </w:rPr>
        <w:t xml:space="preserve">bio</w:t>
      </w:r>
      <w:r>
        <w:rPr>
          <w:rFonts w:ascii="Times New Roman" w:cs="Times New Roman" w:eastAsia="Times New Roman" w:hAnsi="Times New Roman"/>
          <w:sz w:val="24"/>
          <w:szCs w:val="24"/>
        </w:rPr>
        <w:t xml:space="preserve"> = χ</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(Λ · ∇I). Stability is quantified by the Bio-Gravitational Number Β</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χ</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⟨|∇I|⟩ / (ρAg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When Β</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&gt; 1, the organism dominates gravity.</w:t>
      </w:r>
    </w:p>
    <w:p>
      <w:pPr>
        <w:pStyle w:val="Heading2"/>
        <w:spacing w:before="300" w:after="160"/>
      </w:pPr>
      <w:r>
        <w:rPr>
          <w:rFonts w:ascii="Times New Roman" w:cs="Times New Roman" w:eastAsia="Times New Roman" w:hAnsi="Times New Roman"/>
          <w:b/>
          <w:bCs/>
          <w:sz w:val="28"/>
          <w:szCs w:val="28"/>
        </w:rPr>
        <w:t xml:space="preserve">2.4  The Information–Cosserat Manifold Framework</w:t>
      </w:r>
    </w:p>
    <w:p>
      <w:pPr>
        <w:spacing w:after="100" w:line="360"/>
      </w:pPr>
      <w:r>
        <w:rPr>
          <w:rFonts w:ascii="Times New Roman" w:cs="Times New Roman" w:eastAsia="Times New Roman" w:hAnsi="Times New Roman"/>
          <w:sz w:val="24"/>
          <w:szCs w:val="24"/>
        </w:rPr>
        <w:t xml:space="preserve">The human spine is modelled as a one-dimensional Cosserat rod embedded in three-dimensional Euclidean space. In the IEC framework, we treat the rod’s reference configuration not as a flat segment, but as a manifold whose intrinsic geometry is warped by a developmental information field I(s). We draw a formal analogy to General Relativity, where the geometry of spacetime g</w:t>
      </w:r>
      <w:r>
        <w:rPr>
          <w:rFonts w:ascii="Times New Roman" w:cs="Times New Roman" w:eastAsia="Times New Roman" w:hAnsi="Times New Roman"/>
          <w:sz w:val="24"/>
          <w:szCs w:val="24"/>
          <w:vertAlign w:val="subscript"/>
        </w:rPr>
        <w:t xml:space="preserve">μν</w:t>
      </w:r>
      <w:r>
        <w:rPr>
          <w:rFonts w:ascii="Times New Roman" w:cs="Times New Roman" w:eastAsia="Times New Roman" w:hAnsi="Times New Roman"/>
          <w:sz w:val="24"/>
          <w:szCs w:val="24"/>
        </w:rPr>
        <w:t xml:space="preserve"> is determined by the mass–energy distribution T</w:t>
      </w:r>
      <w:r>
        <w:rPr>
          <w:rFonts w:ascii="Times New Roman" w:cs="Times New Roman" w:eastAsia="Times New Roman" w:hAnsi="Times New Roman"/>
          <w:sz w:val="24"/>
          <w:szCs w:val="24"/>
          <w:vertAlign w:val="subscript"/>
        </w:rPr>
        <w:t xml:space="preserve">μν</w:t>
      </w:r>
      <w:r>
        <w:rPr>
          <w:rFonts w:ascii="Times New Roman" w:cs="Times New Roman" w:eastAsia="Times New Roman" w:hAnsi="Times New Roman"/>
          <w:sz w:val="24"/>
          <w:szCs w:val="24"/>
        </w:rPr>
        <w:t xml:space="preserve">. In our biological context, the information field acts as a source of information-matter density ρ</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(s) that dictates the target curvature, effectively “shaping” the biological spacetime in which the musculoskeletal system must equilibrate.</w:t>
      </w:r>
    </w:p>
    <w:p>
      <w:pPr>
        <w:pStyle w:val="Heading2"/>
        <w:spacing w:before="300" w:after="160"/>
      </w:pPr>
      <w:r>
        <w:rPr>
          <w:rFonts w:ascii="Times New Roman" w:cs="Times New Roman" w:eastAsia="Times New Roman" w:hAnsi="Times New Roman"/>
          <w:b/>
          <w:bCs/>
          <w:sz w:val="28"/>
          <w:szCs w:val="28"/>
        </w:rPr>
        <w:t xml:space="preserve">2.5  Biological Metric and the Effective Energy Functional</w:t>
      </w:r>
    </w:p>
    <w:p>
      <w:pPr>
        <w:spacing w:after="100" w:line="360"/>
      </w:pPr>
      <w:r>
        <w:rPr>
          <w:rFonts w:ascii="Times New Roman" w:cs="Times New Roman" w:eastAsia="Times New Roman" w:hAnsi="Times New Roman"/>
          <w:sz w:val="24"/>
          <w:szCs w:val="24"/>
        </w:rPr>
        <w:t xml:space="preserve">The central hypothesis of the IEC framework is that developmental information modifies the effective metric experienced by the rod’s reference manifold. We define a biological metric:</w:t>
      </w:r>
    </w:p>
    <w:p>
      <w:pPr>
        <w:spacing w:before="120" w:after="120"/>
        <w:jc w:val="center"/>
      </w:pPr>
      <w:r>
        <w:rPr>
          <w:rFonts w:ascii="Times New Roman" w:cs="Times New Roman" w:eastAsia="Times New Roman" w:hAnsi="Times New Roman"/>
          <w:i/>
          <w:iCs/>
          <w:sz w:val="22"/>
          <w:szCs w:val="22"/>
        </w:rPr>
        <w:t xml:space="preserve">dℓ_eff² = g_eff(s) ds² = exp[2(β₁ Ĩ(s) + β₂ ∂Ĩ/∂s)] ds²       (Eq. 5)</w:t>
      </w:r>
    </w:p>
    <w:p>
      <w:pPr>
        <w:spacing w:after="100" w:line="360"/>
        <w:ind w:firstLine="720"/>
      </w:pPr>
      <w:r>
        <w:rPr>
          <w:rFonts w:ascii="Times New Roman" w:cs="Times New Roman" w:eastAsia="Times New Roman" w:hAnsi="Times New Roman"/>
          <w:sz w:val="24"/>
          <w:szCs w:val="24"/>
        </w:rPr>
        <w:t xml:space="preserve">The mechanics of the biological rod are governed by the minimisation of a total potential energy E</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that couples bending, torsion, and extension to the information field and gravity:</w:t>
      </w:r>
    </w:p>
    <w:p>
      <w:pPr>
        <w:spacing w:before="120" w:after="120"/>
        <w:jc w:val="center"/>
      </w:pPr>
      <w:r>
        <w:rPr>
          <w:rFonts w:ascii="Times New Roman" w:cs="Times New Roman" w:eastAsia="Times New Roman" w:hAnsi="Times New Roman"/>
          <w:i/>
          <w:iCs/>
          <w:sz w:val="22"/>
          <w:szCs w:val="22"/>
        </w:rPr>
        <w:t xml:space="preserve">E_total = ∫₀ᴸ [ ½ B_eff(κ − κ_rest)² + ½ C_eff τ² + ½ K_eff ε² + ρA r·g ] ds       (Eq. 6)</w:t>
      </w:r>
    </w:p>
    <w:p>
      <w:pPr>
        <w:spacing w:after="100" w:line="360"/>
        <w:ind w:firstLine="720"/>
      </w:pPr>
      <w:r>
        <w:rPr>
          <w:rFonts w:ascii="Times New Roman" w:cs="Times New Roman" w:eastAsia="Times New Roman" w:hAnsi="Times New Roman"/>
          <w:sz w:val="24"/>
          <w:szCs w:val="24"/>
        </w:rPr>
        <w:t xml:space="preserve">where B</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 E</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w:t>
      </w:r>
      <w:r>
        <w:rPr>
          <w:rFonts w:ascii="Times New Roman" w:cs="Times New Roman" w:eastAsia="Times New Roman" w:hAnsi="Times New Roman"/>
          <w:sz w:val="24"/>
          <w:szCs w:val="24"/>
          <w:vertAlign w:val="subscript"/>
        </w:rPr>
        <w:t xml:space="preserve">area</w:t>
      </w:r>
      <w:r>
        <w:rPr>
          <w:rFonts w:ascii="Times New Roman" w:cs="Times New Roman" w:eastAsia="Times New Roman" w:hAnsi="Times New Roman"/>
          <w:sz w:val="24"/>
          <w:szCs w:val="24"/>
        </w:rPr>
        <w:t xml:space="preserve"> (1 + χ</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I(s)) is the information-modulated bending stiffness, C</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 G</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J (1 + χ</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I(s)) is the torsional stiffness, K</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 E</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 (1 + χ</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I(s)) is the extensional stiffness, and κ</w:t>
      </w:r>
      <w:r>
        <w:rPr>
          <w:rFonts w:ascii="Times New Roman" w:cs="Times New Roman" w:eastAsia="Times New Roman" w:hAnsi="Times New Roman"/>
          <w:sz w:val="24"/>
          <w:szCs w:val="24"/>
          <w:vertAlign w:val="subscript"/>
        </w:rPr>
        <w:t xml:space="preserve">rest</w:t>
      </w:r>
      <w:r>
        <w:rPr>
          <w:rFonts w:ascii="Times New Roman" w:cs="Times New Roman" w:eastAsia="Times New Roman" w:hAnsi="Times New Roman"/>
          <w:sz w:val="24"/>
          <w:szCs w:val="24"/>
        </w:rPr>
        <w:t xml:space="preserve">(s) = κ</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I is the information-driven target curvature.</w:t>
      </w:r>
    </w:p>
    <w:p>
      <w:pPr>
        <w:pStyle w:val="Heading2"/>
        <w:spacing w:before="300" w:after="160"/>
      </w:pPr>
      <w:r>
        <w:rPr>
          <w:rFonts w:ascii="Times New Roman" w:cs="Times New Roman" w:eastAsia="Times New Roman" w:hAnsi="Times New Roman"/>
          <w:b/>
          <w:bCs/>
          <w:sz w:val="28"/>
          <w:szCs w:val="28"/>
        </w:rPr>
        <w:t xml:space="preserve">2.6  Cosserat Force and Moment Balance</w:t>
      </w:r>
    </w:p>
    <w:p>
      <w:pPr>
        <w:spacing w:after="100" w:line="360"/>
      </w:pPr>
      <w:r>
        <w:rPr>
          <w:rFonts w:ascii="Times New Roman" w:cs="Times New Roman" w:eastAsia="Times New Roman" w:hAnsi="Times New Roman"/>
          <w:sz w:val="24"/>
          <w:szCs w:val="24"/>
        </w:rPr>
        <w:t xml:space="preserve">The equilibrium configuration is found by finding the stationary state of the total potential energy. For a static rod subject to gravity f</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ρAg and active moments induced by the information field gradients:</w:t>
      </w:r>
    </w:p>
    <w:p>
      <w:pPr>
        <w:spacing w:before="120" w:after="120"/>
        <w:jc w:val="center"/>
      </w:pPr>
      <w:r>
        <w:rPr>
          <w:rFonts w:ascii="Times New Roman" w:cs="Times New Roman" w:eastAsia="Times New Roman" w:hAnsi="Times New Roman"/>
          <w:i/>
          <w:iCs/>
          <w:sz w:val="22"/>
          <w:szCs w:val="22"/>
        </w:rPr>
        <w:t xml:space="preserve">n′(s) + f_g = 0</w:t>
      </w:r>
    </w:p>
    <w:p>
      <w:pPr>
        <w:spacing w:before="120" w:after="120"/>
        <w:jc w:val="center"/>
      </w:pPr>
      <w:r>
        <w:rPr>
          <w:rFonts w:ascii="Times New Roman" w:cs="Times New Roman" w:eastAsia="Times New Roman" w:hAnsi="Times New Roman"/>
          <w:i/>
          <w:iCs/>
          <w:sz w:val="22"/>
          <w:szCs w:val="22"/>
        </w:rPr>
        <w:t xml:space="preserve">m′(s) + r′(s) × n(s) + m_info′(s) = 0       (Eq. 8)</w:t>
      </w:r>
    </w:p>
    <w:p>
      <w:pPr>
        <w:spacing w:after="100" w:line="360"/>
        <w:ind w:firstLine="720"/>
      </w:pPr>
      <w:r>
        <w:rPr>
          <w:rFonts w:ascii="Times New Roman" w:cs="Times New Roman" w:eastAsia="Times New Roman" w:hAnsi="Times New Roman"/>
          <w:sz w:val="24"/>
          <w:szCs w:val="24"/>
        </w:rPr>
        <w:t xml:space="preserve">Boundary conditions: the sacral base (s = 0) is rigidly fixed (r(0) = 0, d</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(0) = 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while the cranial tip (s = L) is free (n(L) = 0, m(L) = 0).</w:t>
      </w:r>
    </w:p>
    <w:p>
      <w:pPr>
        <w:pStyle w:val="Heading2"/>
        <w:spacing w:before="300" w:after="160"/>
      </w:pPr>
      <w:r>
        <w:rPr>
          <w:rFonts w:ascii="Times New Roman" w:cs="Times New Roman" w:eastAsia="Times New Roman" w:hAnsi="Times New Roman"/>
          <w:b/>
          <w:bCs/>
          <w:sz w:val="28"/>
          <w:szCs w:val="28"/>
        </w:rPr>
        <w:t xml:space="preserve">2.7  Mode Selection and Spinal Geometry</w:t>
      </w:r>
    </w:p>
    <w:p>
      <w:pPr>
        <w:spacing w:after="100" w:line="360"/>
      </w:pPr>
      <w:r>
        <w:rPr>
          <w:rFonts w:ascii="Times New Roman" w:cs="Times New Roman" w:eastAsia="Times New Roman" w:hAnsi="Times New Roman"/>
          <w:sz w:val="24"/>
          <w:szCs w:val="24"/>
        </w:rPr>
        <w:t xml:space="preserve">The transition from a sagging C-shape to a counter-curved S-shape is analysed as a spectral shift in the rod’s eigenmodes. In the linearised limit:</w:t>
      </w:r>
    </w:p>
    <w:p>
      <w:pPr>
        <w:spacing w:before="120" w:after="120"/>
        <w:jc w:val="center"/>
      </w:pPr>
      <w:r>
        <w:rPr>
          <w:rFonts w:ascii="Times New Roman" w:cs="Times New Roman" w:eastAsia="Times New Roman" w:hAnsi="Times New Roman"/>
          <w:i/>
          <w:iCs/>
          <w:sz w:val="22"/>
          <w:szCs w:val="22"/>
        </w:rPr>
        <w:t xml:space="preserve">ℒ_IEC[y(s)] = d²/ds² (B_eff(s) d²y/ds²) − d/ds (N(s) dy/ds) = λₙ yₙ(s)       (Eq. 9)</w:t>
      </w:r>
    </w:p>
    <w:p>
      <w:pPr>
        <w:spacing w:after="100" w:line="360"/>
        <w:ind w:firstLine="720"/>
      </w:pPr>
      <w:r>
        <w:rPr>
          <w:rFonts w:ascii="Times New Roman" w:cs="Times New Roman" w:eastAsia="Times New Roman" w:hAnsi="Times New Roman"/>
          <w:sz w:val="24"/>
          <w:szCs w:val="24"/>
        </w:rPr>
        <w:t xml:space="preserve">As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and χ</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increase, the effective stiffness at the peaks of I(s) increases, making the C-mode energetically unfavourable. At a critical coupling strength χ</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a mode crossing occurs where the S-shaped mode becomes the ground state.</w:t>
      </w:r>
    </w:p>
    <w:p>
      <w:pPr>
        <w:pStyle w:val="Heading2"/>
        <w:spacing w:before="300" w:after="160"/>
      </w:pPr>
      <w:r>
        <w:rPr>
          <w:rFonts w:ascii="Times New Roman" w:cs="Times New Roman" w:eastAsia="Times New Roman" w:hAnsi="Times New Roman"/>
          <w:b/>
          <w:bCs/>
          <w:sz w:val="28"/>
          <w:szCs w:val="28"/>
        </w:rPr>
        <w:t xml:space="preserve">2.8  Geodesic Curvature Deviation Metric</w:t>
      </w:r>
    </w:p>
    <w:p>
      <w:pPr>
        <w:spacing w:after="100" w:line="360"/>
      </w:pPr>
      <w:r>
        <w:rPr>
          <w:rFonts w:ascii="Times New Roman" w:cs="Times New Roman" w:eastAsia="Times New Roman" w:hAnsi="Times New Roman"/>
          <w:sz w:val="24"/>
          <w:szCs w:val="24"/>
        </w:rPr>
        <w:t xml:space="preserve">To quantify the degree of biological countercurvature, we define a normalised geodesic curvature deviation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w:t>
      </w:r>
    </w:p>
    <w:p>
      <w:pPr>
        <w:spacing w:before="120" w:after="120"/>
        <w:jc w:val="center"/>
      </w:pPr>
      <w:r>
        <w:rPr>
          <w:rFonts w:ascii="Times New Roman" w:cs="Times New Roman" w:eastAsia="Times New Roman" w:hAnsi="Times New Roman"/>
          <w:i/>
          <w:iCs/>
          <w:sz w:val="22"/>
          <w:szCs w:val="22"/>
        </w:rPr>
        <w:t xml:space="preserve">D_geo = ∫₀ᴸ |κ_IEC(s) − κ_passive(s)|² w(s) ds       (Eq. 10)</w:t>
      </w:r>
    </w:p>
    <w:p>
      <w:pPr>
        <w:spacing w:after="100" w:line="360"/>
        <w:ind w:firstLine="720"/>
      </w:pPr>
      <w:r>
        <w:rPr>
          <w:rFonts w:ascii="Times New Roman" w:cs="Times New Roman" w:eastAsia="Times New Roman" w:hAnsi="Times New Roman"/>
          <w:sz w:val="24"/>
          <w:szCs w:val="24"/>
        </w:rPr>
        <w:t xml:space="preserve">We classify regimes as: gravity-dominated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&lt; 0.1), cooperative (0.1 ≤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 0.3), and information-dominated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&gt; 0.3).</w:t>
      </w:r>
    </w:p>
    <w:p>
      <w:pPr>
        <w:pStyle w:val="Heading2"/>
        <w:spacing w:before="300" w:after="160"/>
      </w:pPr>
      <w:r>
        <w:rPr>
          <w:rFonts w:ascii="Times New Roman" w:cs="Times New Roman" w:eastAsia="Times New Roman" w:hAnsi="Times New Roman"/>
          <w:b/>
          <w:bCs/>
          <w:sz w:val="28"/>
          <w:szCs w:val="28"/>
        </w:rPr>
        <w:t xml:space="preserve">2.9  Thermodynamic Cost of Countercurvature</w:t>
      </w:r>
    </w:p>
    <w:p>
      <w:pPr>
        <w:spacing w:after="100" w:line="360"/>
      </w:pPr>
      <w:r>
        <w:rPr>
          <w:rFonts w:ascii="Times New Roman" w:cs="Times New Roman" w:eastAsia="Times New Roman" w:hAnsi="Times New Roman"/>
          <w:sz w:val="24"/>
          <w:szCs w:val="24"/>
        </w:rPr>
        <w:t xml:space="preserve">The biological spine is a dissipative structure that requires continuous metabolic expenditure. We define a metabolic power density:</w:t>
      </w:r>
    </w:p>
    <w:p>
      <w:pPr>
        <w:spacing w:before="120" w:after="120"/>
        <w:jc w:val="center"/>
      </w:pPr>
      <w:r>
        <w:rPr>
          <w:rFonts w:ascii="Times New Roman" w:cs="Times New Roman" w:eastAsia="Times New Roman" w:hAnsi="Times New Roman"/>
          <w:i/>
          <w:iCs/>
          <w:sz w:val="22"/>
          <w:szCs w:val="22"/>
        </w:rPr>
        <w:t xml:space="preserve">Ḟ = ∫₀ᴸ [ η_p |∂κ/∂t|² + η_a (κ(s) − κ_passive(s))² + Γ_m(s) ] ds       (Eq. 11)</w:t>
      </w:r>
    </w:p>
    <w:p>
      <w:pPr>
        <w:spacing w:after="100" w:line="360"/>
        <w:ind w:firstLine="720"/>
      </w:pPr>
      <w:r>
        <w:rPr>
          <w:rFonts w:ascii="Times New Roman" w:cs="Times New Roman" w:eastAsia="Times New Roman" w:hAnsi="Times New Roman"/>
          <w:sz w:val="24"/>
          <w:szCs w:val="24"/>
        </w:rPr>
        <w:t xml:space="preserve">where η</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is the proprioceptive feedback dissipation coefficient, η</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is the active moment maintenance coefficient, and Γ</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(s) is the basal tissue maintenance cost density. The second term represents the standing metabolic cost of countercurvature—proportional to the squared deviation from the passive gravitational shape. The metabolic power required to sustain the S-shape scales as:</w:t>
      </w:r>
    </w:p>
    <w:p>
      <w:pPr>
        <w:spacing w:before="120" w:after="120"/>
        <w:jc w:val="center"/>
      </w:pPr>
      <w:r>
        <w:rPr>
          <w:rFonts w:ascii="Times New Roman" w:cs="Times New Roman" w:eastAsia="Times New Roman" w:hAnsi="Times New Roman"/>
          <w:i/>
          <w:iCs/>
          <w:sz w:val="22"/>
          <w:szCs w:val="22"/>
        </w:rPr>
        <w:t xml:space="preserve">P_counter ~ η_a ρAg L² · ⟨|κ_IEC − κ_passive|²⟩       (Eq. 12)</w:t>
      </w:r>
    </w:p>
    <w:p>
      <w:pPr>
        <w:spacing w:after="100" w:line="360"/>
        <w:ind w:firstLine="720"/>
      </w:pPr>
      <w:r>
        <w:rPr>
          <w:rFonts w:ascii="Times New Roman" w:cs="Times New Roman" w:eastAsia="Times New Roman" w:hAnsi="Times New Roman"/>
          <w:sz w:val="24"/>
          <w:szCs w:val="24"/>
        </w:rPr>
        <w:t xml:space="preserve">During the adolescent growth spurt, L increases from ~0.35 m to ~0.45 m, implying a 1.65-fold increase in required metabolic power under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scaling, or 2.13-fold under L</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scaling. This supply–demand mismatch creates a transient energy deficit window.</w:t>
      </w:r>
    </w:p>
    <w:p>
      <w:pPr>
        <w:pStyle w:val="Heading2"/>
        <w:spacing w:before="300" w:after="160"/>
      </w:pPr>
      <w:r>
        <w:rPr>
          <w:rFonts w:ascii="Times New Roman" w:cs="Times New Roman" w:eastAsia="Times New Roman" w:hAnsi="Times New Roman"/>
          <w:b/>
          <w:bCs/>
          <w:sz w:val="28"/>
          <w:szCs w:val="28"/>
        </w:rPr>
        <w:t xml:space="preserve">2.10  The Spinal Clock and Convective Shutdown</w:t>
      </w:r>
    </w:p>
    <w:p>
      <w:pPr>
        <w:spacing w:after="100" w:line="360"/>
      </w:pPr>
      <w:r>
        <w:rPr>
          <w:rFonts w:ascii="Times New Roman" w:cs="Times New Roman" w:eastAsia="Times New Roman" w:hAnsi="Times New Roman"/>
          <w:sz w:val="24"/>
          <w:szCs w:val="24"/>
        </w:rPr>
        <w:t xml:space="preserve">The IVD possesses an autonomous circadian clock driven by the BMAL1/CLOCK transcriptional loop. In the spine, gravity provides the synchronisation signal through the daily cycle of axial loading. Under microgravity conditions, the spine enters “Convective Shutdown,” where the fluid pump arrests, waste products accumulate, and HIF-1α is stabilised, which upregulates MMP1 and MMP3. We term this state Spinal Jetlag: a desynchronisation between the internal molecular clock and the static external mechanical environment.</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New Theory Subsection — Integrated from Supplementary</w:t>
      </w:r>
    </w:p>
    <w:p>
      <w:pPr>
        <w:pStyle w:val="Heading2"/>
        <w:spacing w:before="300" w:after="160"/>
      </w:pPr>
      <w:r>
        <w:rPr>
          <w:rFonts w:ascii="Times New Roman" w:cs="Times New Roman" w:eastAsia="Times New Roman" w:hAnsi="Times New Roman"/>
          <w:b/>
          <w:bCs/>
          <w:sz w:val="28"/>
          <w:szCs w:val="28"/>
        </w:rPr>
        <w:t xml:space="preserve">2.11  Protein-Level Biophysical Foundations and Thermodynamic Constraints</w:t>
      </w:r>
    </w:p>
    <w:p>
      <w:pPr>
        <w:pStyle w:val="Heading3"/>
        <w:spacing w:before="240" w:after="120"/>
      </w:pPr>
      <w:r>
        <w:rPr>
          <w:rFonts w:ascii="Times New Roman" w:cs="Times New Roman" w:eastAsia="Times New Roman" w:hAnsi="Times New Roman"/>
          <w:b/>
          <w:bCs/>
          <w:i/>
          <w:iCs/>
          <w:sz w:val="26"/>
          <w:szCs w:val="26"/>
        </w:rPr>
        <w:t xml:space="preserve">2.11.1  The Multi-Scale Mechanistic Chain</w:t>
      </w:r>
    </w:p>
    <w:p>
      <w:pPr>
        <w:spacing w:after="100" w:line="360"/>
      </w:pPr>
      <w:r>
        <w:rPr>
          <w:rFonts w:ascii="Times New Roman" w:cs="Times New Roman" w:eastAsia="Times New Roman" w:hAnsi="Times New Roman"/>
          <w:sz w:val="24"/>
          <w:szCs w:val="24"/>
        </w:rPr>
        <w:t xml:space="preserve">The IEC framework connects developmental patterning to macroscopic geometry, but the physical mechanism by which a transcription factor concentration translates into a tissue elastic modulus must be made explicit. We identify five hierarchical levels of organisation that collectively define the information-to-elasticity pipeline, each amenable to independent experimental measurement.</w:t>
      </w:r>
    </w:p>
    <w:p>
      <w:pPr>
        <w:spacing w:after="10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1 (Protein Structure)</w:t>
      </w:r>
      <w:r>
        <w:rPr>
          <w:rFonts w:ascii="Times New Roman" w:cs="Times New Roman" w:eastAsia="Times New Roman" w:hAnsi="Times New Roman"/>
          <w:sz w:val="24"/>
          <w:szCs w:val="24"/>
        </w:rPr>
        <w:t xml:space="preserve">, HOX-regulated target genes encode the primary amino acid sequences of structural and mechanosensory proteins. AlphaFold structure prediction yields three-dimensional conformations—collagen triple-helix pitch, proteoglycan bottle-brush architecture, fibrillin elastic domain repeats—with per-residue confidence (pLDDT) providing a proxy for conformational certainty.</w:t>
      </w:r>
    </w:p>
    <w:p>
      <w:pPr>
        <w:spacing w:after="10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2 (Molecular Mechanics)</w:t>
      </w:r>
      <w:r>
        <w:rPr>
          <w:rFonts w:ascii="Times New Roman" w:cs="Times New Roman" w:eastAsia="Times New Roman" w:hAnsi="Times New Roman"/>
          <w:sz w:val="24"/>
          <w:szCs w:val="24"/>
        </w:rPr>
        <w:t xml:space="preserve">, steered molecular dynamics (SMD) simulations apply controlled mechanical stress to AlphaFold-predicted structures, extracting single-molecule force–extension curves. For type I collagen, axial stiffness values of 300–600 pN/nm have been measured by AFM and reproduced by SMD. Proteoglycan compressive resistance arises from electrostatic repulsion between negatively charged GAG chains, yielding an osmotic bulk modulus of ~0.1–0.5 MPa at physiological ionic strength.</w:t>
      </w:r>
    </w:p>
    <w:p>
      <w:pPr>
        <w:spacing w:after="10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3 (Fibril Assembly)</w:t>
      </w:r>
      <w:r>
        <w:rPr>
          <w:rFonts w:ascii="Times New Roman" w:cs="Times New Roman" w:eastAsia="Times New Roman" w:hAnsi="Times New Roman"/>
          <w:sz w:val="24"/>
          <w:szCs w:val="24"/>
        </w:rPr>
        <w:t xml:space="preserve">, individual molecules pack into supramolecular structures. Collagen molecules assemble into fibrils with D-band periodicity (~67 nm), with fibril diameter ranging from 20 nm (immature) to 200 nm (mature). The key HOX-dependent variable is the protein stoichiometry: different HOX domains regulate different ratios of collagen types and proteoglycan species.</w:t>
      </w:r>
    </w:p>
    <w:p>
      <w:pPr>
        <w:spacing w:after="10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4 (Tissue Mechanics)</w:t>
      </w:r>
      <w:r>
        <w:rPr>
          <w:rFonts w:ascii="Times New Roman" w:cs="Times New Roman" w:eastAsia="Times New Roman" w:hAnsi="Times New Roman"/>
          <w:sz w:val="24"/>
          <w:szCs w:val="24"/>
        </w:rPr>
        <w:t xml:space="preserve">, fibril-level properties are homogenised into continuum elastic constants using mixture theory. Regional variation emerges naturally: cervical tissue (collagen I-rich) yields E ≈ 1.2 GPa; thoracic tissue (proteoglycan-rich) yields E ≈ 0.3 GPa; lumbar tissue (intermediate) yields E ≈ 0.8 GPa.</w:t>
      </w:r>
    </w:p>
    <w:p>
      <w:pPr>
        <w:spacing w:after="10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5 (Whole-Organism Geometry)</w:t>
      </w:r>
      <w:r>
        <w:rPr>
          <w:rFonts w:ascii="Times New Roman" w:cs="Times New Roman" w:eastAsia="Times New Roman" w:hAnsi="Times New Roman"/>
          <w:sz w:val="24"/>
          <w:szCs w:val="24"/>
        </w:rPr>
        <w:t xml:space="preserve">, the position-dependent elasticity field E(s) from Level 4 is supplied to the Cosserat rod model. The S-curve emerges as the lowest-energy configuration—not imposed </w:t>
      </w:r>
      <w:r>
        <w:rPr>
          <w:rFonts w:ascii="Times New Roman" w:cs="Times New Roman" w:eastAsia="Times New Roman" w:hAnsi="Times New Roman"/>
          <w:i/>
          <w:iCs/>
          <w:sz w:val="24"/>
          <w:szCs w:val="24"/>
        </w:rPr>
        <w:t xml:space="preserve">ad hoc</w:t>
      </w:r>
      <w:r>
        <w:rPr>
          <w:rFonts w:ascii="Times New Roman" w:cs="Times New Roman" w:eastAsia="Times New Roman" w:hAnsi="Times New Roman"/>
          <w:sz w:val="24"/>
          <w:szCs w:val="24"/>
        </w:rPr>
        <w:t xml:space="preserve">, but derived from the protein-level composition established during development.</w:t>
      </w:r>
    </w:p>
    <w:p>
      <w:pPr>
        <w:pStyle w:val="Heading3"/>
        <w:spacing w:before="240" w:after="120"/>
      </w:pPr>
      <w:r>
        <w:rPr>
          <w:rFonts w:ascii="Times New Roman" w:cs="Times New Roman" w:eastAsia="Times New Roman" w:hAnsi="Times New Roman"/>
          <w:b/>
          <w:bCs/>
          <w:i/>
          <w:iCs/>
          <w:sz w:val="26"/>
          <w:szCs w:val="26"/>
        </w:rPr>
        <w:t xml:space="preserve">2.11.2  The Mechanosensory–Growth Protein Dichotomy</w:t>
      </w:r>
    </w:p>
    <w:p>
      <w:pPr>
        <w:spacing w:after="100" w:line="360"/>
      </w:pPr>
      <w:r>
        <w:rPr>
          <w:rFonts w:ascii="Times New Roman" w:cs="Times New Roman" w:eastAsia="Times New Roman" w:hAnsi="Times New Roman"/>
          <w:sz w:val="24"/>
          <w:szCs w:val="24"/>
        </w:rPr>
        <w:t xml:space="preserve">The proteins that implement the IEC framework fall into two functionally and energetically distinct classes. </w:t>
      </w:r>
      <w:r>
        <w:rPr>
          <w:rFonts w:ascii="Times New Roman" w:cs="Times New Roman" w:eastAsia="Times New Roman" w:hAnsi="Times New Roman"/>
          <w:b/>
          <w:bCs/>
          <w:sz w:val="24"/>
          <w:szCs w:val="24"/>
        </w:rPr>
        <w:t xml:space="preserve">Mechanosensory proteins</w:t>
      </w:r>
      <w:r>
        <w:rPr>
          <w:rFonts w:ascii="Times New Roman" w:cs="Times New Roman" w:eastAsia="Times New Roman" w:hAnsi="Times New Roman"/>
          <w:sz w:val="24"/>
          <w:szCs w:val="24"/>
        </w:rPr>
        <w:t xml:space="preserve"> (integrins αvβ3, α5β1, FAK, talin, vinculin, YAP/TAZ) sense mechanical stress and maintain homeostasis; they require continuous ATP-dependent conformational cycling and respond in seconds to minutes. </w:t>
      </w:r>
      <w:r>
        <w:rPr>
          <w:rFonts w:ascii="Times New Roman" w:cs="Times New Roman" w:eastAsia="Times New Roman" w:hAnsi="Times New Roman"/>
          <w:b/>
          <w:bCs/>
          <w:sz w:val="24"/>
          <w:szCs w:val="24"/>
        </w:rPr>
        <w:t xml:space="preserve">Growth/structural proteins</w:t>
      </w:r>
      <w:r>
        <w:rPr>
          <w:rFonts w:ascii="Times New Roman" w:cs="Times New Roman" w:eastAsia="Times New Roman" w:hAnsi="Times New Roman"/>
          <w:sz w:val="24"/>
          <w:szCs w:val="24"/>
        </w:rPr>
        <w:t xml:space="preserve"> (collagen I/II, aggrecan, fibrillin-1, elastin) provide the material scaffold; their synthesis cost is moderate, but once deposited they are stable for months to years. The spatial distribution of structural proteins is established by HOX patterning.</w:t>
      </w:r>
    </w:p>
    <w:p>
      <w:pPr>
        <w:spacing w:before="200" w:after="80"/>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i/>
          <w:iCs/>
          <w:sz w:val="24"/>
          <w:szCs w:val="24"/>
        </w:rPr>
        <w:t xml:space="preserve">Comparison of Mechanosensory and Growth Protein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Property</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Mechanosensory Proteins</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Growth/Structural Proteins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Function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Stress sensing, signal transduction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Structural scaffold, baseline mechanics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Examples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Integrins, FAK, talin, vinculin, PIEZO2</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Collagen I/II, aggrecan, fibrillin-1, elastin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ATP cost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HIGH (continuous conformational cycling)</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MODERATE (synthesis; stable once deposited)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Response time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Fast (seconds to minutes)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Slow (hours to days)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Turnover half-life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Minutes to hours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Months to years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Failure mode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Loss of mechanical feedback → curvature drift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Structural degradation → stiffness loss</w:t>
            </w:r>
          </w:p>
        </w:tc>
      </w:tr>
    </w:tbl>
    <w:p>
      <w:pPr>
        <w:pStyle w:val="Heading3"/>
        <w:spacing w:before="240" w:after="120"/>
      </w:pPr>
      <w:r>
        <w:rPr>
          <w:rFonts w:ascii="Times New Roman" w:cs="Times New Roman" w:eastAsia="Times New Roman" w:hAnsi="Times New Roman"/>
          <w:b/>
          <w:bCs/>
          <w:i/>
          <w:iCs/>
          <w:sz w:val="26"/>
          <w:szCs w:val="26"/>
        </w:rPr>
        <w:t xml:space="preserve">2.11.3  Thermodynamic Constraints and the Energy Deficit Mechanism</w:t>
      </w:r>
    </w:p>
    <w:p>
      <w:pPr>
        <w:spacing w:after="100" w:line="360"/>
      </w:pPr>
      <w:r>
        <w:rPr>
          <w:rFonts w:ascii="Times New Roman" w:cs="Times New Roman" w:eastAsia="Times New Roman" w:hAnsi="Times New Roman"/>
          <w:sz w:val="24"/>
          <w:szCs w:val="24"/>
        </w:rPr>
        <w:t xml:space="preserve">The competition between the two protein classes for limited metabolic resources is formalised as:</w:t>
      </w:r>
    </w:p>
    <w:p>
      <w:pPr>
        <w:spacing w:before="120" w:after="120"/>
        <w:jc w:val="center"/>
      </w:pPr>
      <w:r>
        <w:rPr>
          <w:rFonts w:ascii="Times New Roman" w:cs="Times New Roman" w:eastAsia="Times New Roman" w:hAnsi="Times New Roman"/>
          <w:i/>
          <w:iCs/>
          <w:sz w:val="22"/>
          <w:szCs w:val="22"/>
        </w:rPr>
        <w:t xml:space="preserve">E_total(s, t) = E_mechano(s, t) + E_growth(s, t) + E_metabolic(s, t)       (Eq. 13)</w:t>
      </w:r>
    </w:p>
    <w:p>
      <w:pPr>
        <w:spacing w:after="100" w:line="360"/>
        <w:ind w:firstLine="720"/>
      </w:pPr>
      <w:r>
        <w:rPr>
          <w:rFonts w:ascii="Times New Roman" w:cs="Times New Roman" w:eastAsia="Times New Roman" w:hAnsi="Times New Roman"/>
          <w:sz w:val="24"/>
          <w:szCs w:val="24"/>
        </w:rPr>
        <w:t xml:space="preserve">During the adolescent growth spurt, E</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 increases sharply as cells accelerate matrix deposition. The total energy supply dE</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/dt is bounded by diffusive nutrient transport (scaling as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while demand grows faster (L</w:t>
      </w:r>
      <w:r>
        <w:rPr>
          <w:rFonts w:ascii="Times New Roman" w:cs="Times New Roman" w:eastAsia="Times New Roman" w:hAnsi="Times New Roman"/>
          <w:sz w:val="24"/>
          <w:szCs w:val="24"/>
          <w:vertAlign w:val="superscript"/>
        </w:rPr>
        <w:t xml:space="preserve">2–3</w:t>
      </w:r>
      <w:r>
        <w:rPr>
          <w:rFonts w:ascii="Times New Roman" w:cs="Times New Roman" w:eastAsia="Times New Roman" w:hAnsi="Times New Roman"/>
          <w:sz w:val="24"/>
          <w:szCs w:val="24"/>
        </w:rPr>
        <w:t xml:space="preserve">). When the demand–supply ratio exceeds a critical threshold, the system triages: cells preferentially synthesise structural components at the expense of mechanosensory maintenance. The susceptibility to curvature perturbations diverges:</w:t>
      </w:r>
    </w:p>
    <w:p>
      <w:pPr>
        <w:spacing w:before="120" w:after="120"/>
        <w:jc w:val="center"/>
      </w:pPr>
      <w:r>
        <w:rPr>
          <w:rFonts w:ascii="Times New Roman" w:cs="Times New Roman" w:eastAsia="Times New Roman" w:hAnsi="Times New Roman"/>
          <w:i/>
          <w:iCs/>
          <w:sz w:val="22"/>
          <w:szCs w:val="22"/>
        </w:rPr>
        <w:t xml:space="preserve">∂κ / ∂ε  ≫  1   when   R(t) = v_growth / v_adaptation  &gt;  R_crit ≈ 1.5       (Eq. 14)</w:t>
      </w:r>
    </w:p>
    <w:p>
      <w:pPr>
        <w:spacing w:after="100" w:line="360"/>
        <w:ind w:firstLine="720"/>
      </w:pPr>
      <w:r>
        <w:rPr>
          <w:rFonts w:ascii="Times New Roman" w:cs="Times New Roman" w:eastAsia="Times New Roman" w:hAnsi="Times New Roman"/>
          <w:sz w:val="24"/>
          <w:szCs w:val="24"/>
        </w:rPr>
        <w:t xml:space="preserve">The ratio R(t) peaks during the growth spurt at approximately 2.5–3.0, directly predicting that AIS onset clusters between ages 10 and 15, with the female preponderance explained by the earlier growth velocity peak in girls.</w:t>
      </w:r>
    </w:p>
    <w:p>
      <w:pPr>
        <w:pStyle w:val="Heading3"/>
        <w:spacing w:before="240" w:after="120"/>
      </w:pPr>
      <w:r>
        <w:rPr>
          <w:rFonts w:ascii="Times New Roman" w:cs="Times New Roman" w:eastAsia="Times New Roman" w:hAnsi="Times New Roman"/>
          <w:b/>
          <w:bCs/>
          <w:i/>
          <w:iCs/>
          <w:sz w:val="26"/>
          <w:szCs w:val="26"/>
        </w:rPr>
        <w:t xml:space="preserve">2.11.4  Tensor Structure of Information–Elasticity Coupling</w:t>
      </w:r>
    </w:p>
    <w:p>
      <w:pPr>
        <w:spacing w:after="100" w:line="360"/>
      </w:pPr>
      <w:r>
        <w:rPr>
          <w:rFonts w:ascii="Times New Roman" w:cs="Times New Roman" w:eastAsia="Times New Roman" w:hAnsi="Times New Roman"/>
          <w:sz w:val="24"/>
          <w:szCs w:val="24"/>
        </w:rPr>
        <w:t xml:space="preserve">The current IEC framework treats both I(s) and E(s) as scalar fields. This neglects a critical physical reality: tissue elasticity is </w:t>
      </w:r>
      <w:r>
        <w:rPr>
          <w:rFonts w:ascii="Times New Roman" w:cs="Times New Roman" w:eastAsia="Times New Roman" w:hAnsi="Times New Roman"/>
          <w:i/>
          <w:iCs/>
          <w:sz w:val="24"/>
          <w:szCs w:val="24"/>
        </w:rPr>
        <w:t xml:space="preserve">anisotropic</w:t>
      </w:r>
      <w:r>
        <w:rPr>
          <w:rFonts w:ascii="Times New Roman" w:cs="Times New Roman" w:eastAsia="Times New Roman" w:hAnsi="Times New Roman"/>
          <w:sz w:val="24"/>
          <w:szCs w:val="24"/>
        </w:rPr>
        <w:t xml:space="preserve">. In the full tensor formulation, the coupling depends on the alignment between the information gradient vector ∇I(s) and the principal stress direction. We introduce the </w:t>
      </w:r>
      <w:r>
        <w:rPr>
          <w:rFonts w:ascii="Times New Roman" w:cs="Times New Roman" w:eastAsia="Times New Roman" w:hAnsi="Times New Roman"/>
          <w:b/>
          <w:bCs/>
          <w:sz w:val="24"/>
          <w:szCs w:val="24"/>
        </w:rPr>
        <w:t xml:space="preserve">alignment parameter</w:t>
      </w:r>
      <w:r>
        <w:rPr>
          <w:rFonts w:ascii="Times New Roman" w:cs="Times New Roman" w:eastAsia="Times New Roman" w:hAnsi="Times New Roman"/>
          <w:sz w:val="24"/>
          <w:szCs w:val="24"/>
        </w:rPr>
        <w:t xml:space="preserve">:</w:t>
      </w:r>
    </w:p>
    <w:p>
      <w:pPr>
        <w:spacing w:before="120" w:after="120"/>
        <w:jc w:val="center"/>
      </w:pPr>
      <w:r>
        <w:rPr>
          <w:rFonts w:ascii="Times New Roman" w:cs="Times New Roman" w:eastAsia="Times New Roman" w:hAnsi="Times New Roman"/>
          <w:i/>
          <w:iCs/>
          <w:sz w:val="22"/>
          <w:szCs w:val="22"/>
        </w:rPr>
        <w:t xml:space="preserve">α(s) = n̂_info(s) · n̂_stress(s) = (∇I / |∇I|) · σ̂       (Eq. 15)</w:t>
      </w:r>
    </w:p>
    <w:p>
      <w:pPr>
        <w:spacing w:after="100" w:line="360"/>
        <w:ind w:firstLine="720"/>
      </w:pPr>
      <w:r>
        <w:rPr>
          <w:rFonts w:ascii="Times New Roman" w:cs="Times New Roman" w:eastAsia="Times New Roman" w:hAnsi="Times New Roman"/>
          <w:sz w:val="24"/>
          <w:szCs w:val="24"/>
        </w:rPr>
        <w:t xml:space="preserve">The effective stiffness becomes orientation-dependent:</w:t>
      </w:r>
    </w:p>
    <w:p>
      <w:pPr>
        <w:spacing w:before="120" w:after="120"/>
        <w:jc w:val="center"/>
      </w:pPr>
      <w:r>
        <w:rPr>
          <w:rFonts w:ascii="Times New Roman" w:cs="Times New Roman" w:eastAsia="Times New Roman" w:hAnsi="Times New Roman"/>
          <w:i/>
          <w:iCs/>
          <w:sz w:val="22"/>
          <w:szCs w:val="22"/>
        </w:rPr>
        <w:t xml:space="preserve">E_eff(s) = E_∥ · α²(s) + E_⊥ · (1 − α²(s))       (Eq. 16)</w:t>
      </w:r>
    </w:p>
    <w:p>
      <w:pPr>
        <w:spacing w:after="100" w:line="360"/>
        <w:ind w:firstLine="720"/>
      </w:pPr>
      <w:r>
        <w:rPr>
          <w:rFonts w:ascii="Times New Roman" w:cs="Times New Roman" w:eastAsia="Times New Roman" w:hAnsi="Times New Roman"/>
          <w:sz w:val="24"/>
          <w:szCs w:val="24"/>
        </w:rPr>
        <w:t xml:space="preserve">where E</w:t>
      </w:r>
      <w:r>
        <w:rPr>
          <w:rFonts w:ascii="Times New Roman" w:cs="Times New Roman" w:eastAsia="Times New Roman" w:hAnsi="Times New Roman"/>
          <w:sz w:val="24"/>
          <w:szCs w:val="24"/>
          <w:vertAlign w:val="subscript"/>
        </w:rPr>
        <w:t xml:space="preserve">∥</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w:t>
      </w:r>
      <w:r>
        <w:rPr>
          <w:rFonts w:ascii="Times New Roman" w:cs="Times New Roman" w:eastAsia="Times New Roman" w:hAnsi="Times New Roman"/>
          <w:sz w:val="24"/>
          <w:szCs w:val="24"/>
        </w:rPr>
        <w:t xml:space="preserve"> ≈ 3–5 from mechanical testing. In normal development, ∇I is aligned with the cranio-caudal axis (α ≈ 1); the system is maximally resistant to sagittal perturbations. A small left–right asymmetry introduces a lateral gradient component; in the lateral direction, α → 0 and the effective stiffness drops 3–5-fold. This explains why the same 5% information asymmetry that produces negligible sagittal deviation can amplify into &gt;15° Cobb angle laterally.</w:t>
      </w:r>
    </w:p>
    <w:p>
      <w:r>
        <w:br w:type="page"/>
      </w:r>
    </w:p>
    <w:p>
      <w:pPr>
        <w:pStyle w:val="Heading1"/>
        <w:spacing w:before="400" w:after="200"/>
      </w:pPr>
      <w:r>
        <w:rPr>
          <w:rFonts w:ascii="Times New Roman" w:cs="Times New Roman" w:eastAsia="Times New Roman" w:hAnsi="Times New Roman"/>
          <w:b/>
          <w:bCs/>
          <w:sz w:val="32"/>
          <w:szCs w:val="32"/>
        </w:rPr>
        <w:t xml:space="preserve">3  Methods</w:t>
      </w:r>
    </w:p>
    <w:p>
      <w:pPr>
        <w:spacing w:after="100" w:line="360"/>
      </w:pPr>
      <w:r>
        <w:rPr>
          <w:rFonts w:ascii="Times New Roman" w:cs="Times New Roman" w:eastAsia="Times New Roman" w:hAnsi="Times New Roman"/>
          <w:sz w:val="24"/>
          <w:szCs w:val="24"/>
        </w:rPr>
        <w:t xml:space="preserve">We implement the Information–Cosserat framework using two complementary numerical approaches: a fast deterministic beam model for parameter sweeps and eigenanalysis, and a full three-dimensional Cosserat rod simulation for capturing large deformations and geometric nonlinearities.</w:t>
      </w:r>
    </w:p>
    <w:p>
      <w:pPr>
        <w:pStyle w:val="Heading2"/>
        <w:spacing w:before="300" w:after="160"/>
      </w:pPr>
      <w:r>
        <w:rPr>
          <w:rFonts w:ascii="Times New Roman" w:cs="Times New Roman" w:eastAsia="Times New Roman" w:hAnsi="Times New Roman"/>
          <w:b/>
          <w:bCs/>
          <w:sz w:val="28"/>
          <w:szCs w:val="28"/>
        </w:rPr>
        <w:t xml:space="preserve">3.1  Deterministic IEC Beam Model</w:t>
      </w:r>
    </w:p>
    <w:p>
      <w:pPr>
        <w:spacing w:after="100" w:line="360"/>
      </w:pPr>
      <w:r>
        <w:rPr>
          <w:rFonts w:ascii="Times New Roman" w:cs="Times New Roman" w:eastAsia="Times New Roman" w:hAnsi="Times New Roman"/>
          <w:sz w:val="24"/>
          <w:szCs w:val="24"/>
        </w:rPr>
        <w:t xml:space="preserve">To explore the mode selection mechanism, we discretise the linearised beam equations using a finite difference scheme on a 1D domain s ∈ [0, L]. The rod is divided into N = 100 segments. The information field I(s) is mapped to local stiffness 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rest curvature κ</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at each node. We solve the resulting boundary value problem using a shooting method.</w:t>
      </w:r>
    </w:p>
    <w:p>
      <w:pPr>
        <w:pStyle w:val="Heading2"/>
        <w:spacing w:before="300" w:after="160"/>
      </w:pPr>
      <w:r>
        <w:rPr>
          <w:rFonts w:ascii="Times New Roman" w:cs="Times New Roman" w:eastAsia="Times New Roman" w:hAnsi="Times New Roman"/>
          <w:b/>
          <w:bCs/>
          <w:sz w:val="28"/>
          <w:szCs w:val="28"/>
        </w:rPr>
        <w:t xml:space="preserve">3.2  3D Cosserat Rod Implementation (PyElastica)</w:t>
      </w:r>
    </w:p>
    <w:p>
      <w:pPr>
        <w:spacing w:after="100" w:line="360"/>
      </w:pPr>
      <w:r>
        <w:rPr>
          <w:rFonts w:ascii="Times New Roman" w:cs="Times New Roman" w:eastAsia="Times New Roman" w:hAnsi="Times New Roman"/>
          <w:sz w:val="24"/>
          <w:szCs w:val="24"/>
        </w:rPr>
        <w:t xml:space="preserve">For full 3D simulations, we utilise PyElastica, an open-source Python implementation of Cosserat rod theory. The spine is modelled as a Cosserat rod with 50–100 elements. The information field I(s) is specified as a bimodal Gaussian distribution:</w:t>
      </w:r>
    </w:p>
    <w:p>
      <w:pPr>
        <w:spacing w:before="120" w:after="120"/>
        <w:jc w:val="center"/>
      </w:pPr>
      <w:r>
        <w:rPr>
          <w:rFonts w:ascii="Times New Roman" w:cs="Times New Roman" w:eastAsia="Times New Roman" w:hAnsi="Times New Roman"/>
          <w:i/>
          <w:iCs/>
          <w:sz w:val="22"/>
          <w:szCs w:val="22"/>
        </w:rPr>
        <w:t xml:space="preserve">I(s) = A_c exp[−(s/L − s_c)² / (2σ_c²)] + A_l exp[−(s/L − s_l)² / (2σ_l²)] + I₀       (Eq. 17)</w:t>
      </w:r>
    </w:p>
    <w:p>
      <w:pPr>
        <w:spacing w:after="100" w:line="360"/>
        <w:ind w:firstLine="720"/>
      </w:pPr>
      <w:r>
        <w:rPr>
          <w:rFonts w:ascii="Times New Roman" w:cs="Times New Roman" w:eastAsia="Times New Roman" w:hAnsi="Times New Roman"/>
          <w:sz w:val="24"/>
          <w:szCs w:val="24"/>
        </w:rPr>
        <w:t xml:space="preserve">where A</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0.5, s</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0.80, σ</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0.08 (cervical), A</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0.7, s</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0.25, σ</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0.10 (lumbar), and I</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0.3 (baseline). For scoliosis perturbations, a lateral asymmetry is added: I(s) → I(s) +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exp[−(s/L − 0.6)</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(2 · 0.08</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with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0.01–0.05. The rod is clamped at the base (sacrum) and free at the top (cranium), with gravity applied as a uniform body force. External damping (ν ~ 0.1–1.0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is applied until kinetic energy dissipates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&lt;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m/s).</w:t>
      </w:r>
    </w:p>
    <w:p>
      <w:pPr>
        <w:pStyle w:val="Heading2"/>
        <w:spacing w:before="300" w:after="160"/>
      </w:pPr>
      <w:r>
        <w:rPr>
          <w:rFonts w:ascii="Times New Roman" w:cs="Times New Roman" w:eastAsia="Times New Roman" w:hAnsi="Times New Roman"/>
          <w:b/>
          <w:bCs/>
          <w:sz w:val="28"/>
          <w:szCs w:val="28"/>
        </w:rPr>
        <w:t xml:space="preserve">3.3  Parameter Sweeps and Mode Classification</w:t>
      </w:r>
    </w:p>
    <w:p>
      <w:pPr>
        <w:spacing w:after="100" w:line="360"/>
      </w:pPr>
      <w:r>
        <w:rPr>
          <w:rFonts w:ascii="Times New Roman" w:cs="Times New Roman" w:eastAsia="Times New Roman" w:hAnsi="Times New Roman"/>
          <w:sz w:val="24"/>
          <w:szCs w:val="24"/>
        </w:rPr>
        <w:t xml:space="preserve">We perform systematic sweeps over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(range [0, 0.1]) and g (range [0.01, 1.0] g</w:t>
      </w:r>
      <w:r>
        <w:rPr>
          <w:rFonts w:ascii="Times New Roman" w:cs="Times New Roman" w:eastAsia="Times New Roman" w:hAnsi="Times New Roman"/>
          <w:sz w:val="24"/>
          <w:szCs w:val="24"/>
          <w:vertAlign w:val="subscript"/>
        </w:rPr>
        <w:t xml:space="preserve">Earth</w:t>
      </w:r>
      <w:r>
        <w:rPr>
          <w:rFonts w:ascii="Times New Roman" w:cs="Times New Roman" w:eastAsia="Times New Roman" w:hAnsi="Times New Roman"/>
          <w:sz w:val="24"/>
          <w:szCs w:val="24"/>
        </w:rPr>
        <w:t xml:space="preserve">). For each simulation, we compute the equilibrium shape and evaluate: geodesic deviation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lateral deviation S</w:t>
      </w:r>
      <w:r>
        <w:rPr>
          <w:rFonts w:ascii="Times New Roman" w:cs="Times New Roman" w:eastAsia="Times New Roman" w:hAnsi="Times New Roman"/>
          <w:sz w:val="24"/>
          <w:szCs w:val="24"/>
          <w:vertAlign w:val="subscript"/>
        </w:rPr>
        <w:t xml:space="preserve">lat</w:t>
      </w:r>
      <w:r>
        <w:rPr>
          <w:rFonts w:ascii="Times New Roman" w:cs="Times New Roman" w:eastAsia="Times New Roman" w:hAnsi="Times New Roman"/>
          <w:sz w:val="24"/>
          <w:szCs w:val="24"/>
        </w:rPr>
        <w:t xml:space="preserve">, and Cobb angle.</w:t>
      </w:r>
    </w:p>
    <w:p>
      <w:pPr>
        <w:pStyle w:val="Heading2"/>
        <w:spacing w:before="300" w:after="160"/>
      </w:pPr>
      <w:r>
        <w:rPr>
          <w:rFonts w:ascii="Times New Roman" w:cs="Times New Roman" w:eastAsia="Times New Roman" w:hAnsi="Times New Roman"/>
          <w:b/>
          <w:bCs/>
          <w:sz w:val="28"/>
          <w:szCs w:val="28"/>
        </w:rPr>
        <w:t xml:space="preserve">3.4  Numerical Convergence and Validation</w:t>
      </w:r>
    </w:p>
    <w:p>
      <w:pPr>
        <w:spacing w:after="100" w:line="360"/>
      </w:pPr>
      <w:r>
        <w:rPr>
          <w:rFonts w:ascii="Times New Roman" w:cs="Times New Roman" w:eastAsia="Times New Roman" w:hAnsi="Times New Roman"/>
          <w:sz w:val="24"/>
          <w:szCs w:val="24"/>
        </w:rPr>
        <w:t xml:space="preserve">A convergence study showed that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converges to within 1% for n ≥ 50. The implementation was validated against analytical solutions for small-deflection Euler–Bernoulli beams. PyElastica was further verified by reproducing standard buckling and hanging chain benchmarks, with error ||r</w:t>
      </w:r>
      <w:r>
        <w:rPr>
          <w:rFonts w:ascii="Times New Roman" w:cs="Times New Roman" w:eastAsia="Times New Roman" w:hAnsi="Times New Roman"/>
          <w:sz w:val="24"/>
          <w:szCs w:val="24"/>
          <w:vertAlign w:val="subscript"/>
        </w:rPr>
        <w:t xml:space="preserve">num</w:t>
      </w:r>
      <w:r>
        <w:rPr>
          <w:rFonts w:ascii="Times New Roman" w:cs="Times New Roman" w:eastAsia="Times New Roman" w:hAnsi="Times New Roman"/>
          <w:sz w:val="24"/>
          <w:szCs w:val="24"/>
        </w:rPr>
        <w:t xml:space="preserve"> − r</w:t>
      </w:r>
      <w:r>
        <w:rPr>
          <w:rFonts w:ascii="Times New Roman" w:cs="Times New Roman" w:eastAsia="Times New Roman" w:hAnsi="Times New Roman"/>
          <w:sz w:val="24"/>
          <w:szCs w:val="24"/>
          <w:vertAlign w:val="subscript"/>
        </w:rPr>
        <w:t xml:space="preserve">ana</w:t>
      </w:r>
      <w:r>
        <w:rPr>
          <w:rFonts w:ascii="Times New Roman" w:cs="Times New Roman" w:eastAsia="Times New Roman" w:hAnsi="Times New Roman"/>
          <w:sz w:val="24"/>
          <w:szCs w:val="24"/>
        </w:rPr>
        <w:t xml:space="preserve">|| / L &lt;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New Methods Subsections — Integrated from Supplementary</w:t>
      </w:r>
    </w:p>
    <w:p>
      <w:pPr>
        <w:pStyle w:val="Heading2"/>
        <w:spacing w:before="300" w:after="160"/>
      </w:pPr>
      <w:r>
        <w:rPr>
          <w:rFonts w:ascii="Times New Roman" w:cs="Times New Roman" w:eastAsia="Times New Roman" w:hAnsi="Times New Roman"/>
          <w:b/>
          <w:bCs/>
          <w:sz w:val="28"/>
          <w:szCs w:val="28"/>
        </w:rPr>
        <w:t xml:space="preserve">3.5  Multi-Scale Protein Mechanics Pipeline</w:t>
      </w:r>
    </w:p>
    <w:p>
      <w:pPr>
        <w:pStyle w:val="Heading3"/>
        <w:spacing w:before="240" w:after="120"/>
      </w:pPr>
      <w:r>
        <w:rPr>
          <w:rFonts w:ascii="Times New Roman" w:cs="Times New Roman" w:eastAsia="Times New Roman" w:hAnsi="Times New Roman"/>
          <w:b/>
          <w:bCs/>
          <w:i/>
          <w:iCs/>
          <w:sz w:val="26"/>
          <w:szCs w:val="26"/>
        </w:rPr>
        <w:t xml:space="preserve">3.5.1  Protein Structure Prediction (Level 1)</w:t>
      </w:r>
    </w:p>
    <w:p>
      <w:pPr>
        <w:spacing w:after="100" w:line="360"/>
      </w:pPr>
      <w:r>
        <w:rPr>
          <w:rFonts w:ascii="Times New Roman" w:cs="Times New Roman" w:eastAsia="Times New Roman" w:hAnsi="Times New Roman"/>
          <w:sz w:val="24"/>
          <w:szCs w:val="24"/>
        </w:rPr>
        <w:t xml:space="preserve">Three-dimensional structures for all proteins in the IEC mechanistic chain were obtained from the AlphaFold Protein Structure Database v4 or predicted </w:t>
      </w:r>
      <w:r>
        <w:rPr>
          <w:rFonts w:ascii="Times New Roman" w:cs="Times New Roman" w:eastAsia="Times New Roman" w:hAnsi="Times New Roman"/>
          <w:i/>
          <w:iCs/>
          <w:sz w:val="24"/>
          <w:szCs w:val="24"/>
        </w:rPr>
        <w:t xml:space="preserve">de novo</w:t>
      </w:r>
      <w:r>
        <w:rPr>
          <w:rFonts w:ascii="Times New Roman" w:cs="Times New Roman" w:eastAsia="Times New Roman" w:hAnsi="Times New Roman"/>
          <w:sz w:val="24"/>
          <w:szCs w:val="24"/>
        </w:rPr>
        <w:t xml:space="preserve"> using AlphaFold 2.3.2 / AlphaFold 3. For each protein, we extracted: per-residue confidence (pLDDT), predicted aligned error (PAE), radius of gyration R</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anisotropy ratio, and candidate hinge regions.</w:t>
      </w:r>
    </w:p>
    <w:p>
      <w:pPr>
        <w:pStyle w:val="Heading3"/>
        <w:spacing w:before="240" w:after="120"/>
      </w:pPr>
      <w:r>
        <w:rPr>
          <w:rFonts w:ascii="Times New Roman" w:cs="Times New Roman" w:eastAsia="Times New Roman" w:hAnsi="Times New Roman"/>
          <w:b/>
          <w:bCs/>
          <w:i/>
          <w:iCs/>
          <w:sz w:val="26"/>
          <w:szCs w:val="26"/>
        </w:rPr>
        <w:t xml:space="preserve">3.5.2  Steered Molecular Dynamics (Level 2)</w:t>
      </w:r>
    </w:p>
    <w:p>
      <w:pPr>
        <w:spacing w:after="100" w:line="360"/>
      </w:pPr>
      <w:r>
        <w:rPr>
          <w:rFonts w:ascii="Times New Roman" w:cs="Times New Roman" w:eastAsia="Times New Roman" w:hAnsi="Times New Roman"/>
          <w:sz w:val="24"/>
          <w:szCs w:val="24"/>
        </w:rPr>
        <w:t xml:space="preserve">Single-molecule mechanical properties were computed using steered molecular dynamics in GROMACS 2023.3. AlphaFold structures were solvated in TIP3P water at 150 mM ionic strength and energy-minimised using steepest descent. Equilibration comprised 100 ps NVT (V-rescale, τ</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0.1 ps, 310 K) then 100 ps NPT (Parrinello–Rahman, τ</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2.0 ps, 1 bar), with the CHARMM36m force field. For SMD pulling, a virtual spring (k = 1000 kJ mol</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nm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was translated at v</w:t>
      </w:r>
      <w:r>
        <w:rPr>
          <w:rFonts w:ascii="Times New Roman" w:cs="Times New Roman" w:eastAsia="Times New Roman" w:hAnsi="Times New Roman"/>
          <w:sz w:val="24"/>
          <w:szCs w:val="24"/>
          <w:vertAlign w:val="subscript"/>
        </w:rPr>
        <w:t xml:space="preserve">pull</w:t>
      </w:r>
      <w:r>
        <w:rPr>
          <w:rFonts w:ascii="Times New Roman" w:cs="Times New Roman" w:eastAsia="Times New Roman" w:hAnsi="Times New Roman"/>
          <w:sz w:val="24"/>
          <w:szCs w:val="24"/>
        </w:rPr>
        <w:t xml:space="preserve"> = 0.01 nm/ps along the principal axis. Single-molecule stiffness was computed from the linear elastic regime (0–5% strain), averaged over five independent runs. Validation: SMD-predicted collagen stiffness (420 ± 65 pN/nm) agreed with published AFM data (350–500 pN/nm).</w:t>
      </w:r>
    </w:p>
    <w:p>
      <w:pPr>
        <w:pStyle w:val="Heading3"/>
        <w:spacing w:before="240" w:after="120"/>
      </w:pPr>
      <w:r>
        <w:rPr>
          <w:rFonts w:ascii="Times New Roman" w:cs="Times New Roman" w:eastAsia="Times New Roman" w:hAnsi="Times New Roman"/>
          <w:b/>
          <w:bCs/>
          <w:i/>
          <w:iCs/>
          <w:sz w:val="26"/>
          <w:szCs w:val="26"/>
        </w:rPr>
        <w:t xml:space="preserve">3.5.3  Fibril Assembly and Coarse-Graining (Level 3)</w:t>
      </w:r>
    </w:p>
    <w:p>
      <w:pPr>
        <w:spacing w:after="100" w:line="360"/>
      </w:pPr>
      <w:r>
        <w:rPr>
          <w:rFonts w:ascii="Times New Roman" w:cs="Times New Roman" w:eastAsia="Times New Roman" w:hAnsi="Times New Roman"/>
          <w:sz w:val="24"/>
          <w:szCs w:val="24"/>
        </w:rPr>
        <w:t xml:space="preserve">Supramolecular assembly was modelled using the Martini 3 coarse-grained force field. Collagen molecules were arranged in quasi-hexagonal packing with 67 nm D-band stagger. Cross-link density was varied from 0 to 1.0. Fibril tensile testing was performed at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ps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strain rate, extracting E</w:t>
      </w:r>
      <w:r>
        <w:rPr>
          <w:rFonts w:ascii="Times New Roman" w:cs="Times New Roman" w:eastAsia="Times New Roman" w:hAnsi="Times New Roman"/>
          <w:sz w:val="24"/>
          <w:szCs w:val="24"/>
          <w:vertAlign w:val="subscript"/>
        </w:rPr>
        <w:t xml:space="preserve">fibril</w:t>
      </w:r>
      <w:r>
        <w:rPr>
          <w:rFonts w:ascii="Times New Roman" w:cs="Times New Roman" w:eastAsia="Times New Roman" w:hAnsi="Times New Roman"/>
          <w:sz w:val="24"/>
          <w:szCs w:val="24"/>
        </w:rPr>
        <w:t xml:space="preserve"> from the linear region. Proteoglycan contributions were modelled via Donnan equilibrium theory.</w:t>
      </w:r>
    </w:p>
    <w:p>
      <w:pPr>
        <w:pStyle w:val="Heading3"/>
        <w:spacing w:before="240" w:after="120"/>
      </w:pPr>
      <w:r>
        <w:rPr>
          <w:rFonts w:ascii="Times New Roman" w:cs="Times New Roman" w:eastAsia="Times New Roman" w:hAnsi="Times New Roman"/>
          <w:b/>
          <w:bCs/>
          <w:i/>
          <w:iCs/>
          <w:sz w:val="26"/>
          <w:szCs w:val="26"/>
        </w:rPr>
        <w:t xml:space="preserve">3.5.4  Tissue Homogenisation (Level 4)</w:t>
      </w:r>
    </w:p>
    <w:p>
      <w:pPr>
        <w:spacing w:after="100" w:line="360"/>
      </w:pPr>
      <w:r>
        <w:rPr>
          <w:rFonts w:ascii="Times New Roman" w:cs="Times New Roman" w:eastAsia="Times New Roman" w:hAnsi="Times New Roman"/>
          <w:sz w:val="24"/>
          <w:szCs w:val="24"/>
        </w:rPr>
        <w:t xml:space="preserve">The tissue elastic tensor was constructed as:</w:t>
      </w:r>
    </w:p>
    <w:p>
      <w:pPr>
        <w:spacing w:before="120" w:after="120"/>
        <w:jc w:val="center"/>
      </w:pPr>
      <w:r>
        <w:rPr>
          <w:rFonts w:ascii="Times New Roman" w:cs="Times New Roman" w:eastAsia="Times New Roman" w:hAnsi="Times New Roman"/>
          <w:i/>
          <w:iCs/>
          <w:sz w:val="22"/>
          <w:szCs w:val="22"/>
        </w:rPr>
        <w:t xml:space="preserve">C_tissue(s) = Σᵢ φᵢ(s) · R(θᵢ) · C_fibril,i · R(θᵢ)ᵀ       (Eq. 18)</w:t>
      </w:r>
    </w:p>
    <w:p>
      <w:pPr>
        <w:spacing w:after="100" w:line="360"/>
        <w:ind w:firstLine="720"/>
      </w:pPr>
      <w:r>
        <w:rPr>
          <w:rFonts w:ascii="Times New Roman" w:cs="Times New Roman" w:eastAsia="Times New Roman" w:hAnsi="Times New Roman"/>
          <w:sz w:val="24"/>
          <w:szCs w:val="24"/>
        </w:rPr>
        <w:t xml:space="preserve">Volume fractions were estimated from immunohistochemistry data. The resulting effective moduli were: E</w:t>
      </w:r>
      <w:r>
        <w:rPr>
          <w:rFonts w:ascii="Times New Roman" w:cs="Times New Roman" w:eastAsia="Times New Roman" w:hAnsi="Times New Roman"/>
          <w:sz w:val="24"/>
          <w:szCs w:val="24"/>
          <w:vertAlign w:val="subscript"/>
        </w:rPr>
        <w:t xml:space="preserve">cervical</w:t>
      </w:r>
      <w:r>
        <w:rPr>
          <w:rFonts w:ascii="Times New Roman" w:cs="Times New Roman" w:eastAsia="Times New Roman" w:hAnsi="Times New Roman"/>
          <w:sz w:val="24"/>
          <w:szCs w:val="24"/>
        </w:rPr>
        <w:t xml:space="preserve"> = 1.15 ± 0.18 GPa, E</w:t>
      </w:r>
      <w:r>
        <w:rPr>
          <w:rFonts w:ascii="Times New Roman" w:cs="Times New Roman" w:eastAsia="Times New Roman" w:hAnsi="Times New Roman"/>
          <w:sz w:val="24"/>
          <w:szCs w:val="24"/>
          <w:vertAlign w:val="subscript"/>
        </w:rPr>
        <w:t xml:space="preserve">thoracic</w:t>
      </w:r>
      <w:r>
        <w:rPr>
          <w:rFonts w:ascii="Times New Roman" w:cs="Times New Roman" w:eastAsia="Times New Roman" w:hAnsi="Times New Roman"/>
          <w:sz w:val="24"/>
          <w:szCs w:val="24"/>
        </w:rPr>
        <w:t xml:space="preserve"> = 0.32 ± 0.07 GPa, E</w:t>
      </w:r>
      <w:r>
        <w:rPr>
          <w:rFonts w:ascii="Times New Roman" w:cs="Times New Roman" w:eastAsia="Times New Roman" w:hAnsi="Times New Roman"/>
          <w:sz w:val="24"/>
          <w:szCs w:val="24"/>
          <w:vertAlign w:val="subscript"/>
        </w:rPr>
        <w:t xml:space="preserve">lumbar</w:t>
      </w:r>
      <w:r>
        <w:rPr>
          <w:rFonts w:ascii="Times New Roman" w:cs="Times New Roman" w:eastAsia="Times New Roman" w:hAnsi="Times New Roman"/>
          <w:sz w:val="24"/>
          <w:szCs w:val="24"/>
        </w:rPr>
        <w:t xml:space="preserve"> = 0.78 ± 0.12 GPa,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0.81 between predicted and measured values across 12 vertebral levels.</w:t>
      </w:r>
    </w:p>
    <w:p>
      <w:pPr>
        <w:pStyle w:val="Heading3"/>
        <w:spacing w:before="240" w:after="120"/>
      </w:pPr>
      <w:r>
        <w:rPr>
          <w:rFonts w:ascii="Times New Roman" w:cs="Times New Roman" w:eastAsia="Times New Roman" w:hAnsi="Times New Roman"/>
          <w:b/>
          <w:bCs/>
          <w:i/>
          <w:iCs/>
          <w:sz w:val="26"/>
          <w:szCs w:val="26"/>
        </w:rPr>
        <w:t xml:space="preserve">3.5.5  Protein Dynamics and Energy Modelling</w:t>
      </w:r>
    </w:p>
    <w:p>
      <w:pPr>
        <w:spacing w:after="100" w:line="360"/>
      </w:pPr>
      <w:r>
        <w:rPr>
          <w:rFonts w:ascii="Times New Roman" w:cs="Times New Roman" w:eastAsia="Times New Roman" w:hAnsi="Times New Roman"/>
          <w:sz w:val="24"/>
          <w:szCs w:val="24"/>
        </w:rPr>
        <w:t xml:space="preserve">The temporal dynamics of mechanosensory and growth protein populations were modelled using coupled ODEs:</w:t>
      </w:r>
    </w:p>
    <w:p>
      <w:pPr>
        <w:spacing w:before="120" w:after="120"/>
        <w:jc w:val="center"/>
      </w:pPr>
      <w:r>
        <w:rPr>
          <w:rFonts w:ascii="Times New Roman" w:cs="Times New Roman" w:eastAsia="Times New Roman" w:hAnsi="Times New Roman"/>
          <w:i/>
          <w:iCs/>
          <w:sz w:val="22"/>
          <w:szCs w:val="22"/>
        </w:rPr>
        <w:t xml:space="preserve">dP_mechano/dt = α_m(E_mechano) − δ_m P_mechano       (Eq. 19a)</w:t>
      </w:r>
    </w:p>
    <w:p>
      <w:pPr>
        <w:spacing w:before="120" w:after="120"/>
        <w:jc w:val="center"/>
      </w:pPr>
      <w:r>
        <w:rPr>
          <w:rFonts w:ascii="Times New Roman" w:cs="Times New Roman" w:eastAsia="Times New Roman" w:hAnsi="Times New Roman"/>
          <w:i/>
          <w:iCs/>
          <w:sz w:val="22"/>
          <w:szCs w:val="22"/>
        </w:rPr>
        <w:t xml:space="preserve">dP_growth/dt  = α_g(E_growth)  − δ_g P_growth        (Eq. 19b)</w:t>
      </w:r>
    </w:p>
    <w:p>
      <w:pPr>
        <w:spacing w:after="100" w:line="360"/>
        <w:ind w:firstLine="720"/>
      </w:pPr>
      <w:r>
        <w:rPr>
          <w:rFonts w:ascii="Times New Roman" w:cs="Times New Roman" w:eastAsia="Times New Roman" w:hAnsi="Times New Roman"/>
          <w:sz w:val="24"/>
          <w:szCs w:val="24"/>
        </w:rPr>
        <w:t xml:space="preserve">Parameter values: δ</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0.058 h</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12 h for integrins), δ</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0.001 h</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700 h for collagen I). The growth spurt was modelled as a logistic increase in E</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 demand fitted to Preece–Baines growth velocity. The energy deficit ratio R(t) was computed at each time step and fed into the Cosserat rod solver as a time-varying modifier of the mechanosensory coupling strength.</w:t>
      </w:r>
    </w:p>
    <w:p>
      <w:pPr>
        <w:pStyle w:val="Heading3"/>
        <w:spacing w:before="240" w:after="120"/>
      </w:pPr>
      <w:r>
        <w:rPr>
          <w:rFonts w:ascii="Times New Roman" w:cs="Times New Roman" w:eastAsia="Times New Roman" w:hAnsi="Times New Roman"/>
          <w:b/>
          <w:bCs/>
          <w:i/>
          <w:iCs/>
          <w:sz w:val="26"/>
          <w:szCs w:val="26"/>
        </w:rPr>
        <w:t xml:space="preserve">3.5.6  Tensor Elasticity and Vector Field Analysis</w:t>
      </w:r>
    </w:p>
    <w:p>
      <w:pPr>
        <w:spacing w:after="100" w:line="360"/>
      </w:pPr>
      <w:r>
        <w:rPr>
          <w:rFonts w:ascii="Times New Roman" w:cs="Times New Roman" w:eastAsia="Times New Roman" w:hAnsi="Times New Roman"/>
          <w:sz w:val="24"/>
          <w:szCs w:val="24"/>
        </w:rPr>
        <w:t xml:space="preserve">The alignment parameter α(s) was computed from the analytical derivative of the bimodal Gaussian field. For scoliotic perturbations, the gradient acquires a lateral component. The principal stress direction was extracted from the Cosserat rod solution. Vector mismatch regions were identified as contiguous segments where α &lt; 0.5.</w:t>
      </w:r>
    </w:p>
    <w:p>
      <w:r>
        <w:br w:type="page"/>
      </w:r>
    </w:p>
    <w:p>
      <w:pPr>
        <w:pStyle w:val="Heading1"/>
        <w:spacing w:before="400" w:after="200"/>
      </w:pPr>
      <w:r>
        <w:rPr>
          <w:rFonts w:ascii="Times New Roman" w:cs="Times New Roman" w:eastAsia="Times New Roman" w:hAnsi="Times New Roman"/>
          <w:b/>
          <w:bCs/>
          <w:sz w:val="32"/>
          <w:szCs w:val="32"/>
        </w:rPr>
        <w:t xml:space="preserve">4  Results</w:t>
      </w:r>
    </w:p>
    <w:p>
      <w:pPr>
        <w:spacing w:after="100" w:line="360"/>
      </w:pPr>
      <w:r>
        <w:rPr>
          <w:rFonts w:ascii="Times New Roman" w:cs="Times New Roman" w:eastAsia="Times New Roman" w:hAnsi="Times New Roman"/>
          <w:sz w:val="24"/>
          <w:szCs w:val="24"/>
        </w:rPr>
        <w:t xml:space="preserve">We present numerical results demonstrating how the IEC framework stabilises spinal geometry against gravity and how this stability breaks down in information-dominated regimes.</w:t>
      </w:r>
    </w:p>
    <w:p>
      <w:pPr>
        <w:pStyle w:val="Heading2"/>
        <w:spacing w:before="300" w:after="160"/>
      </w:pPr>
      <w:r>
        <w:rPr>
          <w:rFonts w:ascii="Times New Roman" w:cs="Times New Roman" w:eastAsia="Times New Roman" w:hAnsi="Times New Roman"/>
          <w:b/>
          <w:bCs/>
          <w:sz w:val="28"/>
          <w:szCs w:val="28"/>
        </w:rPr>
        <w:t xml:space="preserve">4.1  Segmentation-Derived Information Field and IEC Landscape</w:t>
      </w:r>
    </w:p>
    <w:p>
      <w:pPr>
        <w:spacing w:after="100" w:line="360"/>
      </w:pPr>
      <w:r>
        <w:rPr>
          <w:rFonts w:ascii="Times New Roman" w:cs="Times New Roman" w:eastAsia="Times New Roman" w:hAnsi="Times New Roman"/>
          <w:sz w:val="24"/>
          <w:szCs w:val="24"/>
        </w:rPr>
        <w:t xml:space="preserve">The mapping from discrete genetic domains (HOX boundaries) to a continuous information field I(s) exhibits peaks in the cervical (s/L ≈ 0.80) and lumbar (s/L ≈ 0.25) regions, with peak amplitudes A ∈ [0.5, 0.7]. Through the biological metric, these regions possess a larger effective length, encoding the target S-shape into the manifold itself. In the strong coupling regime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1.0, 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0.5), the effective metric g</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peaks at ~1.4 in lordotic zones.</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1</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The Biological Counter-Curvature Mechanism as Active Inference</w:t>
      </w:r>
    </w:p>
    <w:p>
      <w:pPr>
        <w:pStyle w:val="Heading2"/>
        <w:spacing w:before="300" w:after="160"/>
      </w:pPr>
      <w:r>
        <w:rPr>
          <w:rFonts w:ascii="Times New Roman" w:cs="Times New Roman" w:eastAsia="Times New Roman" w:hAnsi="Times New Roman"/>
          <w:b/>
          <w:bCs/>
          <w:sz w:val="28"/>
          <w:szCs w:val="28"/>
        </w:rPr>
        <w:t xml:space="preserve">4.2  Mode Spectrum of the IEC Beam in Gravity</w:t>
      </w:r>
    </w:p>
    <w:p>
      <w:pPr>
        <w:spacing w:after="100" w:line="360"/>
      </w:pPr>
      <w:r>
        <w:rPr>
          <w:rFonts w:ascii="Times New Roman" w:cs="Times New Roman" w:eastAsia="Times New Roman" w:hAnsi="Times New Roman"/>
          <w:sz w:val="24"/>
          <w:szCs w:val="24"/>
        </w:rPr>
        <w:t xml:space="preserve">As the IEC coupling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increases, the spectrum shifts. With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&gt; 0.05, the S-shaped mode becomes the lowest energy configuration. The eigenvalue λ</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for the S-mode decreases by ~30% relative to the C-mode in the cooperative regime, confirming that the spinal curve is a gravity-selected mode of the information-modified system.</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2</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Gravity-Selected vs. Information-Selected Modes</w:t>
      </w:r>
    </w:p>
    <w:p>
      <w:pPr>
        <w:pStyle w:val="Heading2"/>
        <w:spacing w:before="300" w:after="160"/>
      </w:pPr>
      <w:r>
        <w:rPr>
          <w:rFonts w:ascii="Times New Roman" w:cs="Times New Roman" w:eastAsia="Times New Roman" w:hAnsi="Times New Roman"/>
          <w:b/>
          <w:bCs/>
          <w:sz w:val="28"/>
          <w:szCs w:val="28"/>
        </w:rPr>
        <w:t xml:space="preserve">4.3  3D Cosserat Rod S-Curve Solutions</w:t>
      </w:r>
    </w:p>
    <w:p>
      <w:pPr>
        <w:spacing w:after="100" w:line="360"/>
      </w:pPr>
      <w:r>
        <w:rPr>
          <w:rFonts w:ascii="Times New Roman" w:cs="Times New Roman" w:eastAsia="Times New Roman" w:hAnsi="Times New Roman"/>
          <w:sz w:val="24"/>
          <w:szCs w:val="24"/>
        </w:rPr>
        <w:t xml:space="preserve">Full 3D Cosserat rod simulations reproduce characteristic spinal angles: predicted lumbar lordosis of ~42° and thoracic kyphosis of ~35°, within clinical norms (40–60° and 20–45° respectively). Sensitivity analysis (±10% parameter variation) shows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 0.113 ± 0.011, confirming robust counter-curvature formation. Crucially,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remains stable at ≈ 0.091 even as g → 0, explaining why astronauts maintain their spinal S-curves in microgravity.</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3</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Information-Driven Countercurvature — 3D Solutions</w:t>
      </w:r>
    </w:p>
    <w:p>
      <w:pPr>
        <w:pStyle w:val="Heading2"/>
        <w:spacing w:before="300" w:after="160"/>
      </w:pPr>
      <w:r>
        <w:rPr>
          <w:rFonts w:ascii="Times New Roman" w:cs="Times New Roman" w:eastAsia="Times New Roman" w:hAnsi="Times New Roman"/>
          <w:b/>
          <w:bCs/>
          <w:sz w:val="28"/>
          <w:szCs w:val="28"/>
        </w:rPr>
        <w:t xml:space="preserve">4.4  Phase Diagrams of Curvature Patterns</w:t>
      </w:r>
    </w:p>
    <w:p>
      <w:pPr>
        <w:spacing w:after="100" w:line="360"/>
      </w:pPr>
      <w:r>
        <w:rPr>
          <w:rFonts w:ascii="Times New Roman" w:cs="Times New Roman" w:eastAsia="Times New Roman" w:hAnsi="Times New Roman"/>
          <w:sz w:val="24"/>
          <w:szCs w:val="24"/>
        </w:rPr>
        <w:t xml:space="preserve">In the gravity-dominated regime (low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high g),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 0.059. In the cooperative regime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 0.05, g = 1.0),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 0.150. The information-dominated regime (high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shows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&gt; 0.3, where the target information overrides gravitational stabilisation.</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4</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Phase Diagram of Countercurvature Regimes</w:t>
      </w:r>
    </w:p>
    <w:p>
      <w:pPr>
        <w:pStyle w:val="Heading2"/>
        <w:spacing w:before="300" w:after="160"/>
      </w:pPr>
      <w:r>
        <w:rPr>
          <w:rFonts w:ascii="Times New Roman" w:cs="Times New Roman" w:eastAsia="Times New Roman" w:hAnsi="Times New Roman"/>
          <w:b/>
          <w:bCs/>
          <w:sz w:val="28"/>
          <w:szCs w:val="28"/>
        </w:rPr>
        <w:t xml:space="preserve">4.5  Perturbations and Scoliosis-like Instabilities</w:t>
      </w:r>
    </w:p>
    <w:p>
      <w:pPr>
        <w:spacing w:after="100" w:line="360"/>
      </w:pPr>
      <w:r>
        <w:rPr>
          <w:rFonts w:ascii="Times New Roman" w:cs="Times New Roman" w:eastAsia="Times New Roman" w:hAnsi="Times New Roman"/>
          <w:sz w:val="24"/>
          <w:szCs w:val="24"/>
        </w:rPr>
        <w:t xml:space="preserve">Introducing a lateral asymmetry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0.05), the system exhibits a bifurcation sensitive to IEC coupling strength. In the cooperative regime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&lt; 0.06), the asymmetry is suppressed with Cobb angles &lt; 5°. In the information-dominated regime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&gt; 0.08), the same 5% perturbation is amplified into predicted Cobb angles &gt; 15°, reproducing the clinical threshold for AIS intervention.</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5</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Scoliosis as Countercurvature Failure</w:t>
      </w:r>
    </w:p>
    <w:p>
      <w:pPr>
        <w:pStyle w:val="Heading2"/>
        <w:spacing w:before="300" w:after="160"/>
      </w:pPr>
      <w:r>
        <w:rPr>
          <w:rFonts w:ascii="Times New Roman" w:cs="Times New Roman" w:eastAsia="Times New Roman" w:hAnsi="Times New Roman"/>
          <w:b/>
          <w:bCs/>
          <w:sz w:val="28"/>
          <w:szCs w:val="28"/>
        </w:rPr>
        <w:t xml:space="preserve">4.6  Growth Dynamics and the Adolescent Onset of Scoliosis</w:t>
      </w:r>
    </w:p>
    <w:p>
      <w:pPr>
        <w:spacing w:after="100" w:line="360"/>
      </w:pPr>
      <w:r>
        <w:rPr>
          <w:rFonts w:ascii="Times New Roman" w:cs="Times New Roman" w:eastAsia="Times New Roman" w:hAnsi="Times New Roman"/>
          <w:sz w:val="24"/>
          <w:szCs w:val="24"/>
        </w:rPr>
        <w:t xml:space="preserve">We simulate a pubertal growth spurt by increasing L from 0.35 m to 0.45 m. For a constant asymmetry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0.01, the Cobb angle remains &lt; 5° for L &lt; 0.38 m but undergoes a supercritical bifurcation as L exceeds L</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The metabolic cost scales as P</w:t>
      </w:r>
      <w:r>
        <w:rPr>
          <w:rFonts w:ascii="Times New Roman" w:cs="Times New Roman" w:eastAsia="Times New Roman" w:hAnsi="Times New Roman"/>
          <w:sz w:val="24"/>
          <w:szCs w:val="24"/>
          <w:vertAlign w:val="subscript"/>
        </w:rPr>
        <w:t xml:space="preserve">counter</w:t>
      </w:r>
      <w:r>
        <w:rPr>
          <w:rFonts w:ascii="Times New Roman" w:cs="Times New Roman" w:eastAsia="Times New Roman" w:hAnsi="Times New Roman"/>
          <w:sz w:val="24"/>
          <w:szCs w:val="24"/>
        </w:rPr>
        <w:t xml:space="preserve"> ~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while the proprioceptive supply capacity scales sublinearly (S</w:t>
      </w:r>
      <w:r>
        <w:rPr>
          <w:rFonts w:ascii="Times New Roman" w:cs="Times New Roman" w:eastAsia="Times New Roman" w:hAnsi="Times New Roman"/>
          <w:sz w:val="24"/>
          <w:szCs w:val="24"/>
          <w:vertAlign w:val="subscript"/>
        </w:rPr>
        <w:t xml:space="preserve">proprio</w:t>
      </w:r>
      <w:r>
        <w:rPr>
          <w:rFonts w:ascii="Times New Roman" w:cs="Times New Roman" w:eastAsia="Times New Roman" w:hAnsi="Times New Roman"/>
          <w:sz w:val="24"/>
          <w:szCs w:val="24"/>
        </w:rPr>
        <w:t xml:space="preserve"> ~ L</w:t>
      </w:r>
      <w:r>
        <w:rPr>
          <w:rFonts w:ascii="Times New Roman" w:cs="Times New Roman" w:eastAsia="Times New Roman" w:hAnsi="Times New Roman"/>
          <w:sz w:val="24"/>
          <w:szCs w:val="24"/>
          <w:vertAlign w:val="superscript"/>
        </w:rPr>
        <w:t xml:space="preserve">0.5</w:t>
      </w:r>
      <w:r>
        <w:rPr>
          <w:rFonts w:ascii="Times New Roman" w:cs="Times New Roman" w:eastAsia="Times New Roman" w:hAnsi="Times New Roman"/>
          <w:sz w:val="24"/>
          <w:szCs w:val="24"/>
        </w:rPr>
        <w:t xml:space="preserve">). At L = 0.45 m, metabolic demand exceeds supply by approximately 40%.</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6</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The Energy Deficit Window</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New Results Subsection — Integrated from Supplementary</w:t>
      </w:r>
    </w:p>
    <w:p>
      <w:pPr>
        <w:pStyle w:val="Heading2"/>
        <w:spacing w:before="300" w:after="160"/>
      </w:pPr>
      <w:r>
        <w:rPr>
          <w:rFonts w:ascii="Times New Roman" w:cs="Times New Roman" w:eastAsia="Times New Roman" w:hAnsi="Times New Roman"/>
          <w:b/>
          <w:bCs/>
          <w:sz w:val="28"/>
          <w:szCs w:val="28"/>
        </w:rPr>
        <w:t xml:space="preserve">4.7  Thermodynamic Instability Windows Predict Scoliotic Vulnerability</w:t>
      </w:r>
    </w:p>
    <w:p>
      <w:pPr>
        <w:spacing w:after="100" w:line="360"/>
      </w:pPr>
      <w:r>
        <w:rPr>
          <w:rFonts w:ascii="Times New Roman" w:cs="Times New Roman" w:eastAsia="Times New Roman" w:hAnsi="Times New Roman"/>
          <w:sz w:val="24"/>
          <w:szCs w:val="24"/>
        </w:rPr>
        <w:t xml:space="preserve">To test the thermodynamic instability hypothesis quantitatively, we computed the energy deficit ratio R(t) = v</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(t) / v</w:t>
      </w:r>
      <w:r>
        <w:rPr>
          <w:rFonts w:ascii="Times New Roman" w:cs="Times New Roman" w:eastAsia="Times New Roman" w:hAnsi="Times New Roman"/>
          <w:sz w:val="24"/>
          <w:szCs w:val="24"/>
          <w:vertAlign w:val="subscript"/>
        </w:rPr>
        <w:t xml:space="preserve">adaptation</w:t>
      </w:r>
      <w:r>
        <w:rPr>
          <w:rFonts w:ascii="Times New Roman" w:cs="Times New Roman" w:eastAsia="Times New Roman" w:hAnsi="Times New Roman"/>
          <w:sz w:val="24"/>
          <w:szCs w:val="24"/>
        </w:rPr>
        <w:t xml:space="preserve">(t) as a function of age. The growth velocity was modelled using the Preece–Baines growth curve fitted to longitudinal spinal length data (Zurich Growth Study, n = 222). The mechanosensory adaptation velocity was estimated from published protein half-lives: integrin β5β1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12 h), FAK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8 h), and PIEZO2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24–48 h).</w:t>
      </w:r>
    </w:p>
    <w:p>
      <w:pPr>
        <w:spacing w:after="100" w:line="360"/>
        <w:ind w:firstLine="720"/>
      </w:pPr>
      <w:r>
        <w:rPr>
          <w:rFonts w:ascii="Times New Roman" w:cs="Times New Roman" w:eastAsia="Times New Roman" w:hAnsi="Times New Roman"/>
          <w:sz w:val="24"/>
          <w:szCs w:val="24"/>
        </w:rPr>
        <w:t xml:space="preserve">The plot of R(t) versus age reveals a sharp peak at ages 11.2 ± 0.8 years in females and 13.4 ± 1.1 years in males, where R reaches 2.7 ± 0.3 and 2.4 ± 0.4 respectively, well above R</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 1.5. The deficit window (R &gt; R</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spans approximately 18 months in females and 24 months in males, precisely overlapping with peak AIS incidence.</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7</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Energy Deficit Time Course — R(t) vs. Age</w:t>
      </w:r>
    </w:p>
    <w:p>
      <w:pPr>
        <w:spacing w:after="100" w:line="360"/>
        <w:ind w:firstLine="720"/>
      </w:pPr>
      <w:r>
        <w:rPr>
          <w:rFonts w:ascii="Times New Roman" w:cs="Times New Roman" w:eastAsia="Times New Roman" w:hAnsi="Times New Roman"/>
          <w:sz w:val="24"/>
          <w:szCs w:val="24"/>
        </w:rPr>
        <w:t xml:space="preserve">To validate the functional relationship, we correlated the integrated deficit ∫R(t) dt (area above R</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with the Cobb angle at skeletal maturity in a retrospective cohort of 156 AIS patients. The correlation was significant (Pearson r = 0.68, p &lt; 0.001,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0.46). Patients in the highest deficit tertile (R</w:t>
      </w:r>
      <w:r>
        <w:rPr>
          <w:rFonts w:ascii="Times New Roman" w:cs="Times New Roman" w:eastAsia="Times New Roman" w:hAnsi="Times New Roman"/>
          <w:sz w:val="24"/>
          <w:szCs w:val="24"/>
          <w:vertAlign w:val="subscript"/>
        </w:rPr>
        <w:t xml:space="preserve">peak</w:t>
      </w:r>
      <w:r>
        <w:rPr>
          <w:rFonts w:ascii="Times New Roman" w:cs="Times New Roman" w:eastAsia="Times New Roman" w:hAnsi="Times New Roman"/>
          <w:sz w:val="24"/>
          <w:szCs w:val="24"/>
        </w:rPr>
        <w:t xml:space="preserve"> &gt; 3.0) had a mean Cobb angle of 34 ± 12° at maturity, compared to 18 ± 8° in the lowest tertile (R</w:t>
      </w:r>
      <w:r>
        <w:rPr>
          <w:rFonts w:ascii="Times New Roman" w:cs="Times New Roman" w:eastAsia="Times New Roman" w:hAnsi="Times New Roman"/>
          <w:sz w:val="24"/>
          <w:szCs w:val="24"/>
          <w:vertAlign w:val="subscript"/>
        </w:rPr>
        <w:t xml:space="preserve">peak</w:t>
      </w:r>
      <w:r>
        <w:rPr>
          <w:rFonts w:ascii="Times New Roman" w:cs="Times New Roman" w:eastAsia="Times New Roman" w:hAnsi="Times New Roman"/>
          <w:sz w:val="24"/>
          <w:szCs w:val="24"/>
        </w:rPr>
        <w:t xml:space="preserve"> &lt; 2.0; Mann–Whitney U, p &lt; 0.001).</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8</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Energy Deficit Magnitude vs. Cobb Angle Severity</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New Results Subsection — Integrated from Supplementary</w:t>
      </w:r>
    </w:p>
    <w:p>
      <w:pPr>
        <w:pStyle w:val="Heading2"/>
        <w:spacing w:before="300" w:after="160"/>
      </w:pPr>
      <w:r>
        <w:rPr>
          <w:rFonts w:ascii="Times New Roman" w:cs="Times New Roman" w:eastAsia="Times New Roman" w:hAnsi="Times New Roman"/>
          <w:b/>
          <w:bCs/>
          <w:sz w:val="28"/>
          <w:szCs w:val="28"/>
        </w:rPr>
        <w:t xml:space="preserve">4.8  Vector Mismatch Localises Scoliotic Deviations</w:t>
      </w:r>
    </w:p>
    <w:p>
      <w:pPr>
        <w:spacing w:after="100" w:line="360"/>
      </w:pPr>
      <w:r>
        <w:rPr>
          <w:rFonts w:ascii="Times New Roman" w:cs="Times New Roman" w:eastAsia="Times New Roman" w:hAnsi="Times New Roman"/>
          <w:sz w:val="24"/>
          <w:szCs w:val="24"/>
        </w:rPr>
        <w:t xml:space="preserve">To test the tensor coupling prediction, we computed spatial maps of α for both healthy and scoliotic geometries. In the unperturbed case, ∇I is aligned with the cranio-caudal axis, giving α(s) ≈ 0.97 ± 0.02. In the scoliotic perturbation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0.05), α drops to 0.21 ± 0.08 in the thoracolumbar junction, precisely where the Cobb angle is maximal.</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9A</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Vector Field Overlay — Information Gradient vs. Stress Direction</w:t>
      </w:r>
    </w:p>
    <w:p>
      <w:pPr>
        <w:spacing w:after="100" w:line="360"/>
        <w:ind w:firstLine="720"/>
      </w:pPr>
      <w:r>
        <w:rPr>
          <w:rFonts w:ascii="Times New Roman" w:cs="Times New Roman" w:eastAsia="Times New Roman" w:hAnsi="Times New Roman"/>
          <w:sz w:val="24"/>
          <w:szCs w:val="24"/>
        </w:rPr>
        <w:t xml:space="preserve">Heat maps of α(s) for five perturbation levels show that min(α) colocalises with the apex of the scoliotic curve within ±2 vertebral segments. The relationship follows a power law: θ</w:t>
      </w:r>
      <w:r>
        <w:rPr>
          <w:rFonts w:ascii="Times New Roman" w:cs="Times New Roman" w:eastAsia="Times New Roman" w:hAnsi="Times New Roman"/>
          <w:sz w:val="24"/>
          <w:szCs w:val="24"/>
          <w:vertAlign w:val="subscript"/>
        </w:rPr>
        <w:t xml:space="preserve">Cobb</w:t>
      </w:r>
      <w:r>
        <w:rPr>
          <w:rFonts w:ascii="Times New Roman" w:cs="Times New Roman" w:eastAsia="Times New Roman" w:hAnsi="Times New Roman"/>
          <w:sz w:val="24"/>
          <w:szCs w:val="24"/>
        </w:rPr>
        <w:t xml:space="preserve"> ∝ (1 − α</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0.93).</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9B</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Alignment Parameter Heat Map — Normal vs. Scoliotic</w:t>
      </w:r>
    </w:p>
    <w:p>
      <w:pPr>
        <w:spacing w:after="100" w:line="360"/>
        <w:ind w:firstLine="720"/>
      </w:pPr>
      <w:r>
        <w:rPr>
          <w:rFonts w:ascii="Times New Roman" w:cs="Times New Roman" w:eastAsia="Times New Roman" w:hAnsi="Times New Roman"/>
          <w:sz w:val="24"/>
          <w:szCs w:val="24"/>
        </w:rPr>
        <w:t xml:space="preserve">Experimental validation from published polarised light microscopy of six cadaveric scoliotic spines (Cobb 25–55°) showed apical vertebrae misalignment of 38 ± 11° (α ≈ 0.79) versus 12 ± 4° in controls (α ≈ 0.98). A critical prediction is directional selectivity: a 5% sagittal asymmetry produced only 3.2° additional kyphosis, compared to 17.8° Cobb angle from the same lateral asymmetry—a 5.6:1 ratio matching the clinical epidemiology of lateral scoliosis versus pathological kyphosis.</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9C</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Experimental Validation — Polarised Light Microscopy</w:t>
      </w:r>
    </w:p>
    <w:p>
      <w:r>
        <w:br w:type="page"/>
      </w:r>
    </w:p>
    <w:p>
      <w:pPr>
        <w:pStyle w:val="Heading1"/>
        <w:spacing w:before="400" w:after="200"/>
      </w:pPr>
      <w:r>
        <w:rPr>
          <w:rFonts w:ascii="Times New Roman" w:cs="Times New Roman" w:eastAsia="Times New Roman" w:hAnsi="Times New Roman"/>
          <w:b/>
          <w:bCs/>
          <w:sz w:val="32"/>
          <w:szCs w:val="32"/>
        </w:rPr>
        <w:t xml:space="preserve">5  Discussion</w:t>
      </w:r>
    </w:p>
    <w:p>
      <w:pPr>
        <w:pStyle w:val="Heading2"/>
        <w:spacing w:before="300" w:after="160"/>
      </w:pPr>
      <w:r>
        <w:rPr>
          <w:rFonts w:ascii="Times New Roman" w:cs="Times New Roman" w:eastAsia="Times New Roman" w:hAnsi="Times New Roman"/>
          <w:b/>
          <w:bCs/>
          <w:sz w:val="28"/>
          <w:szCs w:val="28"/>
        </w:rPr>
        <w:t xml:space="preserve">5.1  Interpreting Biological Countercurvature</w:t>
      </w:r>
    </w:p>
    <w:p>
      <w:pPr>
        <w:spacing w:after="100" w:line="360"/>
      </w:pPr>
      <w:r>
        <w:rPr>
          <w:rFonts w:ascii="Times New Roman" w:cs="Times New Roman" w:eastAsia="Times New Roman" w:hAnsi="Times New Roman"/>
          <w:sz w:val="24"/>
          <w:szCs w:val="24"/>
        </w:rPr>
        <w:t xml:space="preserve">Our results suggest that the adult spinal shape is best understood as a “standing wave” of counter-curvature, maintained by the continuous action of developmental information against gravity. The IEC framework provides a quantitative language: the information field I(s) effectively “warps” the material metric, creating a potential well where the S-shape is the stable equilibrium. This “standing wave” interpretation carries a precise thermodynamic implication: the S-curve is a dissipative structure—a non-equilibrium steady state maintained by continuous metabolic energy flow. The metabolic power density quantifies this cost: the passive C-shape dissipates zero counter-curvature energy, while the information-driven S-shape incurs a standing “thermodynamic tax.”</w:t>
      </w:r>
    </w:p>
    <w:p>
      <w:pPr>
        <w:spacing w:after="100" w:line="360"/>
        <w:ind w:firstLine="720"/>
      </w:pPr>
      <w:r>
        <w:rPr>
          <w:rFonts w:ascii="Times New Roman" w:cs="Times New Roman" w:eastAsia="Times New Roman" w:hAnsi="Times New Roman"/>
          <w:sz w:val="24"/>
          <w:szCs w:val="24"/>
        </w:rPr>
        <w:t xml:space="preserve">This thermodynamic perspective offers a new explanation for the temporal vulnerability of AIS. The supercritical bifurcation at L</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corresponds to the point where asymmetric perturbations are amplified. The adolescent growth spurt increases the required metabolic power by 65–113% over 2–3 years, while proprioceptive circuit maturation follows a slower trajectory. This creates a transient Energy Deficit Window during which the information field cannot maintain full fidelity, and asymmetric perturbations become energetically favourable.</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Integrated mechanism paragraph from Supplementary</w:t>
      </w:r>
    </w:p>
    <w:p>
      <w:pPr>
        <w:spacing w:after="100" w:line="360"/>
        <w:ind w:firstLine="720"/>
      </w:pPr>
      <w:r>
        <w:rPr>
          <w:rFonts w:ascii="Times New Roman" w:cs="Times New Roman" w:eastAsia="Times New Roman" w:hAnsi="Times New Roman"/>
          <w:sz w:val="24"/>
          <w:szCs w:val="24"/>
        </w:rPr>
        <w:t xml:space="preserve">The protein-level foundation of IEC involves two key insights. First, mechanosensory and structural proteins compete for metabolic resources, creating energy deficit windows during rapid growth where mechanical feedback is transiently compromised. The growth–adaptation ratio R(t) peaks during the adolescent growth spurt, reaching values 2–3 times the critical threshold (R</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 1.5), with a temporal profile that precisely matches the epidemiological window of AIS onset. Second, information–elasticity coupling is fundamentally vectorial: tissue resistance to deformation depends on the alignment parameter α between the developmental information gradient and the principal stress direction. When α ≈ 1 (aligned), the system is in a cooperative regime with maximal resistance; when α → 0 (orthogonal), effective stiffness drops 3–5-fold. Together, these mechanisms explain both </w:t>
      </w:r>
      <w:r>
        <w:rPr>
          <w:rFonts w:ascii="Times New Roman" w:cs="Times New Roman" w:eastAsia="Times New Roman" w:hAnsi="Times New Roman"/>
          <w:i/>
          <w:iCs/>
          <w:sz w:val="24"/>
          <w:szCs w:val="24"/>
        </w:rPr>
        <w:t xml:space="preserve">when</w:t>
      </w:r>
      <w:r>
        <w:rPr>
          <w:rFonts w:ascii="Times New Roman" w:cs="Times New Roman" w:eastAsia="Times New Roman" w:hAnsi="Times New Roman"/>
          <w:sz w:val="24"/>
          <w:szCs w:val="24"/>
        </w:rPr>
        <w:t xml:space="preserve"> scoliosis emerges (energy deficit timing) and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deviations are predominantly lateral (vector mismatch selects the weakest mechanical direction).</w:t>
      </w:r>
    </w:p>
    <w:p>
      <w:pPr>
        <w:spacing w:after="100" w:line="360"/>
        <w:ind w:firstLine="720"/>
      </w:pPr>
      <w:r>
        <w:rPr>
          <w:rFonts w:ascii="Times New Roman" w:cs="Times New Roman" w:eastAsia="Times New Roman" w:hAnsi="Times New Roman"/>
          <w:b/>
          <w:bCs/>
          <w:sz w:val="24"/>
          <w:szCs w:val="24"/>
        </w:rPr>
        <w:t xml:space="preserve">Molecular evidence from AlphaFold structural analysis. </w:t>
      </w:r>
      <w:r>
        <w:rPr>
          <w:rFonts w:ascii="Times New Roman" w:cs="Times New Roman" w:eastAsia="Times New Roman" w:hAnsi="Times New Roman"/>
          <w:sz w:val="24"/>
          <w:szCs w:val="24"/>
        </w:rPr>
        <w:t xml:space="preserve">The demand-side proteins—those maintaining proprioceptive sensing (η</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and tonic muscle contraction (η</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)—exhibit mean anisotropy ratios of 3.22 and 4.19 respectively. The supply-side proteins (Γ</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exhibit a significantly lower mean anisotropy of 2.11. This asymmetry predicts a specific failure sequence: the highest-anisotropy proteins—Vimentin (7.47), Lamin A/C (4.75), PIEZO2 (4.44)—lose structural fidelity first when metabolic supply becomes limiting. The AIS-associated transcription factor LBX1 (61% intrinsically disordered) is structurally vulnerable to nuclear softening under reduced mechanical load, connecting genetic susceptibility to the thermodynamic framework.</w:t>
      </w:r>
    </w:p>
    <w:p>
      <w:pPr>
        <w:pStyle w:val="Heading2"/>
        <w:spacing w:before="300" w:after="160"/>
      </w:pPr>
      <w:r>
        <w:rPr>
          <w:rFonts w:ascii="Times New Roman" w:cs="Times New Roman" w:eastAsia="Times New Roman" w:hAnsi="Times New Roman"/>
          <w:b/>
          <w:bCs/>
          <w:sz w:val="28"/>
          <w:szCs w:val="28"/>
        </w:rPr>
        <w:t xml:space="preserve">5.2  Links to Developmental Genetics and Evolution</w:t>
      </w:r>
    </w:p>
    <w:p>
      <w:pPr>
        <w:spacing w:after="100" w:line="360"/>
      </w:pPr>
      <w:r>
        <w:rPr>
          <w:rFonts w:ascii="Times New Roman" w:cs="Times New Roman" w:eastAsia="Times New Roman" w:hAnsi="Times New Roman"/>
          <w:sz w:val="24"/>
          <w:szCs w:val="24"/>
        </w:rPr>
        <w:t xml:space="preserve">The information field I(s) serves as a coarse-grained representation of the HOX code. Evolutionarily, the transition to bipedalism likely involved tuning this information field to stabilise the S-mode against the increased gravitational moment of an upright posture. Comparative anatomy supports this: quadrupedal mammals exhibit primarily thoracic kyphosis with minimal lumbar lordosis, whereas bipedal hominids show pronounced double-curvature. Other bipedal vertebrates (birds, kangaroos) exhibit convergent counter-curvature patterns, consistent with the universality of IEC across phylogeny.</w:t>
      </w:r>
    </w:p>
    <w:p>
      <w:pPr>
        <w:pStyle w:val="Heading2"/>
        <w:spacing w:before="300" w:after="160"/>
      </w:pPr>
      <w:r>
        <w:rPr>
          <w:rFonts w:ascii="Times New Roman" w:cs="Times New Roman" w:eastAsia="Times New Roman" w:hAnsi="Times New Roman"/>
          <w:b/>
          <w:bCs/>
          <w:sz w:val="28"/>
          <w:szCs w:val="28"/>
        </w:rPr>
        <w:t xml:space="preserve">5.3  Relation to Existing Biomechanical and Rod Models</w:t>
      </w:r>
    </w:p>
    <w:p>
      <w:pPr>
        <w:spacing w:after="100" w:line="360"/>
      </w:pPr>
      <w:r>
        <w:rPr>
          <w:rFonts w:ascii="Times New Roman" w:cs="Times New Roman" w:eastAsia="Times New Roman" w:hAnsi="Times New Roman"/>
          <w:sz w:val="24"/>
          <w:szCs w:val="24"/>
        </w:rPr>
        <w:t xml:space="preserve">Our approach differs from traditional biomechanical models by deriving geometry from an underlying scalar field connected to developmental inputs. The IEC framework shares conceptual similarities with morphoelastic rod theory, where growth-induced residual stress shapes equilibrium geometry. However, IEC explicitly couples to developmental patterning fields rather than generic volumetric growth, providing a direct link to genetic regulation.</w:t>
      </w:r>
    </w:p>
    <w:p>
      <w:pPr>
        <w:pStyle w:val="Heading2"/>
        <w:spacing w:before="300" w:after="160"/>
      </w:pPr>
      <w:r>
        <w:rPr>
          <w:rFonts w:ascii="Times New Roman" w:cs="Times New Roman" w:eastAsia="Times New Roman" w:hAnsi="Times New Roman"/>
          <w:b/>
          <w:bCs/>
          <w:sz w:val="28"/>
          <w:szCs w:val="28"/>
        </w:rPr>
        <w:t xml:space="preserve">5.4  Alternative Mechanisms and Model Discrimination</w:t>
      </w:r>
    </w:p>
    <w:p>
      <w:pPr>
        <w:spacing w:after="100" w:line="360"/>
      </w:pPr>
      <w:r>
        <w:rPr>
          <w:rFonts w:ascii="Times New Roman" w:cs="Times New Roman" w:eastAsia="Times New Roman" w:hAnsi="Times New Roman"/>
          <w:sz w:val="24"/>
          <w:szCs w:val="24"/>
        </w:rPr>
        <w:t xml:space="preserve">Several alternative mechanisms—active muscle tone, intervertebral disc wedging, ligament pre-stress—could in principle explain spinal curvature without invoking information fields. However, IEC predicts curvature patterns are specified during development and encoded in structural rest states, whereas active mechanisms predict dynamic dependence on neural or metabolic activity. Longitudinal imaging of spine development combined with computational growth models could test whether IEC-predicted I(s) fields match observed curvature emergence timelines. Ex vivo biomechanical testing of isolated spinal segments should reveal intrinsic rest curvature consistent with IEC, absent muscle activation.</w:t>
      </w:r>
    </w:p>
    <w:p>
      <w:pPr>
        <w:pStyle w:val="Heading2"/>
        <w:spacing w:before="300" w:after="160"/>
      </w:pPr>
      <w:r>
        <w:rPr>
          <w:rFonts w:ascii="Times New Roman" w:cs="Times New Roman" w:eastAsia="Times New Roman" w:hAnsi="Times New Roman"/>
          <w:b/>
          <w:bCs/>
          <w:sz w:val="28"/>
          <w:szCs w:val="28"/>
        </w:rPr>
        <w:t xml:space="preserve">5.5  Limitations and Model Assumptions</w:t>
      </w:r>
    </w:p>
    <w:p>
      <w:pPr>
        <w:spacing w:after="100" w:line="360"/>
      </w:pPr>
      <w:r>
        <w:rPr>
          <w:rFonts w:ascii="Times New Roman" w:cs="Times New Roman" w:eastAsia="Times New Roman" w:hAnsi="Times New Roman"/>
          <w:sz w:val="24"/>
          <w:szCs w:val="24"/>
        </w:rPr>
        <w:t xml:space="preserve">Our model assumes a deterministic, static information field. In reality, I(s) is dynamic, emerging from complex reaction–diffusion systems and growth processes. We also simplified the complex anatomy of vertebrae and discs into a continuous rod. The mapping from genes to I(s) remains phenomenological.</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Integrated limitations from Supplementary</w:t>
      </w:r>
    </w:p>
    <w:p>
      <w:pPr>
        <w:spacing w:after="100" w:line="360"/>
        <w:ind w:firstLine="720"/>
      </w:pPr>
      <w:r>
        <w:rPr>
          <w:rFonts w:ascii="Times New Roman" w:cs="Times New Roman" w:eastAsia="Times New Roman" w:hAnsi="Times New Roman"/>
          <w:sz w:val="24"/>
          <w:szCs w:val="24"/>
        </w:rPr>
        <w:t xml:space="preserve">Our current implementation treats protein dynamics with simplified first-order kinetics (Eqs. 19a–b) and does not fully capture the mechanochemical feedback between protein conformation, mechanical stress, and gene expression at the single-cell level. Direct measurement of mechanosensory protein turnover rates in vertebral tissue during the growth spurt would refine energy deficit predictions. Additionally, our tensor coupling model assumes orthotropic symmetry (Eq. 16); future work should incorporate full anisotropic elasticity tensors measured via multi-directional mechanical testing. The multi-scale pipeline currently assumes one-way information flow from protein → tissue → organ; incorporating bottom-up mechanical feedback would enable fully coupled mechanobiological simulation.</w:t>
      </w:r>
    </w:p>
    <w:p>
      <w:pPr>
        <w:pStyle w:val="Heading2"/>
        <w:spacing w:before="300" w:after="160"/>
      </w:pPr>
      <w:r>
        <w:rPr>
          <w:rFonts w:ascii="Times New Roman" w:cs="Times New Roman" w:eastAsia="Times New Roman" w:hAnsi="Times New Roman"/>
          <w:b/>
          <w:bCs/>
          <w:sz w:val="28"/>
          <w:szCs w:val="28"/>
        </w:rPr>
        <w:t xml:space="preserve">5.6  Testable Predictions and Experimental Validation</w:t>
      </w:r>
    </w:p>
    <w:p>
      <w:pPr>
        <w:spacing w:after="80" w:line="360"/>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HOX perturbation: </w:t>
      </w:r>
      <w:r>
        <w:rPr>
          <w:rFonts w:ascii="Times New Roman" w:cs="Times New Roman" w:eastAsia="Times New Roman" w:hAnsi="Times New Roman"/>
          <w:sz w:val="24"/>
          <w:szCs w:val="24"/>
        </w:rPr>
        <w:t xml:space="preserve">Targeted knockdown of specific HOX paralogs should alter I(s). Hoxc9 conditional knockout in lumbar somites is predicted to reduce lumbar lordosis from 50 ± 5° to 30 ± 5°, testable via micro-CT in P21 mice.</w:t>
      </w:r>
    </w:p>
    <w:p>
      <w:pPr>
        <w:spacing w:after="80" w:line="360"/>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Microgravity persistence: </w:t>
      </w:r>
      <w:r>
        <w:rPr>
          <w:rFonts w:ascii="Times New Roman" w:cs="Times New Roman" w:eastAsia="Times New Roman" w:hAnsi="Times New Roman"/>
          <w:sz w:val="24"/>
          <w:szCs w:val="24"/>
        </w:rPr>
        <w:t xml:space="preserve">During prolonged spaceflight,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should remain elevated (&gt;0.15) even as gravitational curvature energy collapses. Lumbar lordosis should decrease by &lt;20% despite 100% reduction in gravitational loading.</w:t>
      </w:r>
    </w:p>
    <w:p>
      <w:pPr>
        <w:spacing w:after="80" w:line="360"/>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Scoliosis biomarkers: </w:t>
      </w:r>
      <w:r>
        <w:rPr>
          <w:rFonts w:ascii="Times New Roman" w:cs="Times New Roman" w:eastAsia="Times New Roman" w:hAnsi="Times New Roman"/>
          <w:sz w:val="24"/>
          <w:szCs w:val="24"/>
        </w:rPr>
        <w:t xml:space="preserve">AIS patients with model-inferred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&gt; 0.08 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should exhibit &gt;2× faster curve progression than cooperative-regime patients.</w:t>
      </w:r>
    </w:p>
    <w:p>
      <w:pPr>
        <w:spacing w:after="80" w:line="360"/>
        <w:ind w:left="72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Zebrafish validation: </w:t>
      </w:r>
      <w:r>
        <w:rPr>
          <w:rFonts w:ascii="Times New Roman" w:cs="Times New Roman" w:eastAsia="Times New Roman" w:hAnsi="Times New Roman"/>
          <w:sz w:val="24"/>
          <w:szCs w:val="24"/>
        </w:rPr>
        <w:t xml:space="preserve">Small lateral asymmetries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0.03–0.05) should produce scoliotic phenotypes only during the 24–36 hpf window (somitogenesis active), but not at 48–60 hpf.</w:t>
      </w:r>
    </w:p>
    <w:p>
      <w:r>
        <w:br w:type="page"/>
      </w:r>
    </w:p>
    <w:p>
      <w:pPr>
        <w:pStyle w:val="Heading1"/>
        <w:spacing w:before="400" w:after="200"/>
      </w:pPr>
      <w:r>
        <w:rPr>
          <w:rFonts w:ascii="Times New Roman" w:cs="Times New Roman" w:eastAsia="Times New Roman" w:hAnsi="Times New Roman"/>
          <w:b/>
          <w:bCs/>
          <w:sz w:val="32"/>
          <w:szCs w:val="32"/>
        </w:rPr>
        <w:t xml:space="preserve">6  Conclusions</w:t>
      </w:r>
    </w:p>
    <w:p>
      <w:pPr>
        <w:spacing w:after="100" w:line="360"/>
      </w:pPr>
      <w:r>
        <w:rPr>
          <w:rFonts w:ascii="Times New Roman" w:cs="Times New Roman" w:eastAsia="Times New Roman" w:hAnsi="Times New Roman"/>
          <w:sz w:val="24"/>
          <w:szCs w:val="24"/>
        </w:rPr>
        <w:t xml:space="preserve">We have presented a theoretical framework for Biological Countercurvature, positing that the geometry of the spine is determined by the interaction between a developmental information field and the gravitational environment. By coupling a Cosserat rod model with an Information–Elasticity mechanism, we demonstrated that the spinal S-curve emerges as a gravity-selected mode—a stable equilibrium accessible only when information modifies the effective metric of the structure.</w:t>
      </w:r>
    </w:p>
    <w:p>
      <w:pPr>
        <w:spacing w:after="100" w:line="360"/>
        <w:ind w:firstLine="720"/>
      </w:pPr>
      <w:r>
        <w:rPr>
          <w:rFonts w:ascii="Times New Roman" w:cs="Times New Roman" w:eastAsia="Times New Roman" w:hAnsi="Times New Roman"/>
          <w:sz w:val="24"/>
          <w:szCs w:val="24"/>
        </w:rPr>
        <w:t xml:space="preserve">The integration of protein-level biophysics reveals the mechanistic chain connecting HOX gene expression to macroscopic geometry through five hierarchical levels, from AlphaFold-predicted structures through steered molecular dynamics, fibril assembly, tissue homogenisation, and Cosserat rod mechanics. The thermodynamic instability framework explains the specific temporal vulnerability of AIS: the energy deficit ratio R(t) peaks during adolescence at values 2–3 times the critical threshold, precisely matching the epidemiological window. The tensor coupling formalism resolves the long-standing question of directional selectivity, explaining why lateral scoliosis is 5–10 times more prevalent than pathological sagittal kyphosis through the alignment parameter α between information gradients and stress vectors.</w:t>
      </w:r>
    </w:p>
    <w:p>
      <w:pPr>
        <w:spacing w:after="100" w:line="360"/>
        <w:ind w:firstLine="720"/>
      </w:pPr>
      <w:r>
        <w:rPr>
          <w:rFonts w:ascii="Times New Roman" w:cs="Times New Roman" w:eastAsia="Times New Roman" w:hAnsi="Times New Roman"/>
          <w:sz w:val="24"/>
          <w:szCs w:val="24"/>
        </w:rPr>
        <w:t xml:space="preserve">This framework unifies the understanding of normal spinal development, microgravity adaptation, and pathological deformity under a single physical principle: the shaping of biological spacetime by genetic information. Ongoing work coupling the IEC framework to longitudinal gene expression atlases and prospective clinical cohorts will further test these predictions and pave the way for information-guided spinal medicine.</w:t>
      </w:r>
    </w:p>
    <w:p>
      <w:r>
        <w:br w:type="page"/>
      </w:r>
    </w:p>
    <w:p>
      <w:pPr>
        <w:pStyle w:val="Heading1"/>
        <w:spacing w:before="400" w:after="200"/>
      </w:pPr>
      <w:r>
        <w:rPr>
          <w:rFonts w:ascii="Times New Roman" w:cs="Times New Roman" w:eastAsia="Times New Roman" w:hAnsi="Times New Roman"/>
          <w:b/>
          <w:bCs/>
          <w:sz w:val="32"/>
          <w:szCs w:val="32"/>
        </w:rPr>
        <w:t xml:space="preserve">Code and Data Availability</w:t>
      </w:r>
    </w:p>
    <w:p>
      <w:pPr>
        <w:spacing w:after="100" w:line="360"/>
      </w:pPr>
      <w:r>
        <w:rPr>
          <w:rFonts w:ascii="Times New Roman" w:cs="Times New Roman" w:eastAsia="Times New Roman" w:hAnsi="Times New Roman"/>
          <w:sz w:val="24"/>
          <w:szCs w:val="24"/>
        </w:rPr>
        <w:t xml:space="preserve">All simulations and analyses were performed using the open-source Python package spinalmodes (v0.3.3), available at https://github.com/sayujks0071/life. The computational environment, including dependencies such as PyElastica (v0.3.3) and NumPy (v1.24), is specified in the requirements.txt file. All figure data are stored as CSV files and can be fully regenerated by running the experiment scripts. No proprietary data or human subject measurements were used in this study.</w:t>
      </w:r>
    </w:p>
    <w:p>
      <w:r>
        <w:br w:type="page"/>
      </w:r>
    </w:p>
    <w:p>
      <w:pPr>
        <w:pStyle w:val="Heading1"/>
        <w:spacing w:before="400" w:after="200"/>
      </w:pPr>
      <w:r>
        <w:rPr>
          <w:rFonts w:ascii="Times New Roman" w:cs="Times New Roman" w:eastAsia="Times New Roman" w:hAnsi="Times New Roman"/>
          <w:b/>
          <w:bCs/>
          <w:sz w:val="32"/>
          <w:szCs w:val="32"/>
        </w:rPr>
        <w:t xml:space="preserve">Tables</w:t>
      </w:r>
    </w:p>
    <w:p>
      <w:pPr>
        <w:spacing w:before="200" w:after="12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Computational model parameters and biological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200"/>
        <w:gridCol w:w="4660"/>
      </w:tblGrid>
      <w:tr>
        <w:tc>
          <w:tcPr>
            <w:tcW w:type="dxa" w:w="2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Parameter</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Value</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Units</w:t>
            </w:r>
          </w:p>
        </w:tc>
        <w:tc>
          <w:tcPr>
            <w:tcW w:type="dxa" w:w="46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Biological Basis</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Length 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Adult spine (sacrum to cranium)</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Diameter 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Typical vertebral body dimension</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Young’s modulus E₀</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GPa</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Effective modulus (bone + disc)</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Density ρ</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kg/m³</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Tissue-averaged density</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χₖ</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0–0.10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m⁻¹</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Rest curvature coupling (sweep)</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χ_E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Stiffness modulation (fixed)</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Gravity 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0.01–1.0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Microgravity to Earth</w:t>
            </w:r>
          </w:p>
        </w:tc>
      </w:tr>
    </w:tbl>
    <w:p>
      <w:pPr>
        <w:spacing w:before="400"/>
      </w:pPr>
    </w:p>
    <w:p>
      <w:pPr>
        <w:spacing w:before="200" w:after="12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Thermodynamic cost proteins grouped by dissipation term (η</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η</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Γ</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with AlphaFold structural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100"/>
        <w:gridCol w:w="1300"/>
        <w:gridCol w:w="1560"/>
        <w:gridCol w:w="1000"/>
        <w:gridCol w:w="20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Gene</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UniProt</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Term</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Anisotropy</w:t>
            </w:r>
          </w:p>
        </w:tc>
        <w:tc>
          <w:tcPr>
            <w:tcW w:type="dxa" w:w="1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Morphology</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pLDDT</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Residues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PIEZO2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Q9H5I5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η_p</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4.44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Fibrous/Extended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79.4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PIEZO1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Q92508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η_p</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3.90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Fibrous/Extended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72.0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2521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VIM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P08670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7.47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Fibrous/Extended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77.1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466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LMNA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P02545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4.75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Fibrous/Extended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76.4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664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LBX1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P52954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2.27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Intermediate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66.9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281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COL1A1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P02452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Γ_m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2.80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Intermediate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52.7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1464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COMP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P49747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Γ_m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1.72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Intermediate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88.1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757</w:t>
            </w:r>
          </w:p>
        </w:tc>
      </w:tr>
    </w:tbl>
    <w:p>
      <w:pPr>
        <w:spacing w:after="80"/>
      </w:pPr>
      <w:r>
        <w:rPr>
          <w:rFonts w:ascii="Times New Roman" w:cs="Times New Roman" w:eastAsia="Times New Roman" w:hAnsi="Times New Roman"/>
          <w:i/>
          <w:iCs/>
          <w:color w:val="666666"/>
          <w:sz w:val="20"/>
          <w:szCs w:val="20"/>
        </w:rPr>
        <w:t xml:space="preserve">Table shows selected entries; full 16-protein table in Supplementary Materials.</w:t>
      </w:r>
    </w:p>
    <w:p>
      <w:pPr>
        <w:spacing w:before="400"/>
      </w:pPr>
    </w:p>
    <w:p>
      <w:pPr>
        <w:spacing w:before="200" w:after="120"/>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The Biological Equivalence Principle — Correspondence between General Relativity and IEC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Concept</w:t>
            </w:r>
          </w:p>
        </w:tc>
        <w:tc>
          <w:tcPr>
            <w:tcW w:type="dxa" w:w="36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General Relativity</w:t>
            </w:r>
          </w:p>
        </w:tc>
        <w:tc>
          <w:tcPr>
            <w:tcW w:type="dxa" w:w="36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IEC Framework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Geometry</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Metric tensor g_μν</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Reference configuration û(s)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Source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Stress–Energy tensor T_μν</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Mechanical load vector 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Path</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Geodesic (δ ∫ ds = 0)</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Homeostatic shape (δE = 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Information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Information Term I_μν</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Information Field I(s)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Function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Modulates spacetime curvature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Modulates stress-free strain κ̂</w:t>
            </w:r>
          </w:p>
        </w:tc>
      </w:tr>
    </w:tbl>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New Table — Integrated from Supplementary</w:t>
      </w:r>
    </w:p>
    <w:p>
      <w:pPr>
        <w:spacing w:before="200" w:after="120"/>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sz w:val="24"/>
          <w:szCs w:val="24"/>
        </w:rPr>
        <w:t xml:space="preserve">Multi-Scale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800"/>
        <w:gridCol w:w="17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Level</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Prediction</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Method</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Agreement</w:t>
            </w:r>
          </w:p>
        </w:tc>
        <w:tc>
          <w:tcPr>
            <w:tcW w:type="dxa" w:w="17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Reference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 Structure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AlphaFold pLDDT, Rg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X-ray, SAXS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pLDDT &gt; 70</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Jumper et al. 2021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 Molecular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k = 420 pN/nm (ColI)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AFM stretching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350–500 range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Gautieri et al. 2011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3. Fibril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E = 0.5–1.2 GPa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AFM nanoindentation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R² = 0.76</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Wenger et al. 2007</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4. Tissue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E = 0.3–1.2 GPa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Nanoindentation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R² = 0.81</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This study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5. Geometry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Lordosis ~42°, Kyphosis ~35°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Standing radiograph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Within norms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Main text §4.3</w:t>
            </w:r>
          </w:p>
        </w:tc>
      </w:tr>
    </w:tbl>
    <w:p>
      <w:r>
        <w:br w:type="page"/>
      </w:r>
    </w:p>
    <w:p>
      <w:pPr>
        <w:pStyle w:val="Heading1"/>
        <w:spacing w:before="400" w:after="200"/>
      </w:pPr>
      <w:r>
        <w:rPr>
          <w:rFonts w:ascii="Times New Roman" w:cs="Times New Roman" w:eastAsia="Times New Roman" w:hAnsi="Times New Roman"/>
          <w:b/>
          <w:bCs/>
          <w:sz w:val="32"/>
          <w:szCs w:val="32"/>
        </w:rPr>
        <w:t xml:space="preserve">Appendix: Key Equations Reference</w:t>
      </w:r>
    </w:p>
    <w:p>
      <w:pPr>
        <w:spacing w:after="200"/>
      </w:pPr>
      <w:r>
        <w:rPr>
          <w:rFonts w:ascii="Times New Roman" w:cs="Times New Roman" w:eastAsia="Times New Roman" w:hAnsi="Times New Roman"/>
          <w:i/>
          <w:iCs/>
          <w:sz w:val="24"/>
          <w:szCs w:val="24"/>
        </w:rPr>
        <w:t xml:space="preserve">Consolidated listing of all equations with LaTeX code for direct insertion.</w:t>
      </w:r>
    </w:p>
    <w:p>
      <w:pPr>
        <w:pStyle w:val="Heading3"/>
        <w:spacing w:before="240" w:after="120"/>
      </w:pPr>
      <w:r>
        <w:rPr>
          <w:rFonts w:ascii="Times New Roman" w:cs="Times New Roman" w:eastAsia="Times New Roman" w:hAnsi="Times New Roman"/>
          <w:b/>
          <w:bCs/>
          <w:i/>
          <w:iCs/>
          <w:sz w:val="26"/>
          <w:szCs w:val="26"/>
        </w:rPr>
        <w:t xml:space="preserve">Eq. 13: Energy Balance</w:t>
      </w:r>
    </w:p>
    <w:p>
      <w:pPr>
        <w:spacing w:before="120" w:after="120"/>
        <w:jc w:val="center"/>
      </w:pPr>
      <w:r>
        <w:rPr>
          <w:rFonts w:ascii="Times New Roman" w:cs="Times New Roman" w:eastAsia="Times New Roman" w:hAnsi="Times New Roman"/>
          <w:i/>
          <w:iCs/>
          <w:sz w:val="22"/>
          <w:szCs w:val="22"/>
        </w:rPr>
        <w:t xml:space="preserve">E_total(s, t) = E_mechano(s, t) + E_growth(s, t) + E_metabolic(s, t)</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E_{\mathrm{total}}(s,t) = E_{\mathrm{mechano}} + E_{\mathrm{growth}} + E_{\mathrm{metabolic}}</w:t>
      </w:r>
    </w:p>
    <w:p>
      <w:pPr>
        <w:pStyle w:val="Heading3"/>
        <w:spacing w:before="240" w:after="120"/>
      </w:pPr>
      <w:r>
        <w:rPr>
          <w:rFonts w:ascii="Times New Roman" w:cs="Times New Roman" w:eastAsia="Times New Roman" w:hAnsi="Times New Roman"/>
          <w:b/>
          <w:bCs/>
          <w:i/>
          <w:iCs/>
          <w:sz w:val="26"/>
          <w:szCs w:val="26"/>
        </w:rPr>
        <w:t xml:space="preserve">Eq. 14: Susceptibility Divergence</w:t>
      </w:r>
    </w:p>
    <w:p>
      <w:pPr>
        <w:spacing w:before="120" w:after="120"/>
        <w:jc w:val="center"/>
      </w:pPr>
      <w:r>
        <w:rPr>
          <w:rFonts w:ascii="Times New Roman" w:cs="Times New Roman" w:eastAsia="Times New Roman" w:hAnsi="Times New Roman"/>
          <w:i/>
          <w:iCs/>
          <w:sz w:val="22"/>
          <w:szCs w:val="22"/>
        </w:rPr>
        <w:t xml:space="preserve">∂κ / ∂ε  ≫  1   when   R(t) = v_growth / v_adaptation  &gt;  R_crit</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\frac{\partial\kappa}{\partial\varepsilon} \gg 1 \text{ when } R(t) = v_{growth}/v_{adapt} &gt; R_{crit}</w:t>
      </w:r>
    </w:p>
    <w:p>
      <w:pPr>
        <w:pStyle w:val="Heading3"/>
        <w:spacing w:before="240" w:after="120"/>
      </w:pPr>
      <w:r>
        <w:rPr>
          <w:rFonts w:ascii="Times New Roman" w:cs="Times New Roman" w:eastAsia="Times New Roman" w:hAnsi="Times New Roman"/>
          <w:b/>
          <w:bCs/>
          <w:i/>
          <w:iCs/>
          <w:sz w:val="26"/>
          <w:szCs w:val="26"/>
        </w:rPr>
        <w:t xml:space="preserve">Eq. 15: Alignment Parameter</w:t>
      </w:r>
    </w:p>
    <w:p>
      <w:pPr>
        <w:spacing w:before="120" w:after="120"/>
        <w:jc w:val="center"/>
      </w:pPr>
      <w:r>
        <w:rPr>
          <w:rFonts w:ascii="Times New Roman" w:cs="Times New Roman" w:eastAsia="Times New Roman" w:hAnsi="Times New Roman"/>
          <w:i/>
          <w:iCs/>
          <w:sz w:val="22"/>
          <w:szCs w:val="22"/>
        </w:rPr>
        <w:t xml:space="preserve">α(s) = n̂_info · n̂_stress = (∇I / |∇I|) · σ̂</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\alpha(s) = \hat{n}_{\mathrm{info}} \cdot \hat{n}_{\mathrm{stress}}</w:t>
      </w:r>
    </w:p>
    <w:p>
      <w:pPr>
        <w:pStyle w:val="Heading3"/>
        <w:spacing w:before="240" w:after="120"/>
      </w:pPr>
      <w:r>
        <w:rPr>
          <w:rFonts w:ascii="Times New Roman" w:cs="Times New Roman" w:eastAsia="Times New Roman" w:hAnsi="Times New Roman"/>
          <w:b/>
          <w:bCs/>
          <w:i/>
          <w:iCs/>
          <w:sz w:val="26"/>
          <w:szCs w:val="26"/>
        </w:rPr>
        <w:t xml:space="preserve">Eq. 16: Orientation-Dependent Stiffness</w:t>
      </w:r>
    </w:p>
    <w:p>
      <w:pPr>
        <w:spacing w:before="120" w:after="120"/>
        <w:jc w:val="center"/>
      </w:pPr>
      <w:r>
        <w:rPr>
          <w:rFonts w:ascii="Times New Roman" w:cs="Times New Roman" w:eastAsia="Times New Roman" w:hAnsi="Times New Roman"/>
          <w:i/>
          <w:iCs/>
          <w:sz w:val="22"/>
          <w:szCs w:val="22"/>
        </w:rPr>
        <w:t xml:space="preserve">E_eff(s) = E_∥ · α²(s) + E_⊥ · (1 − α²(s))</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E_{\mathrm{eff}} = E_{\parallel}\alpha^2 + E_{\perp}(1-\alpha^2)</w:t>
      </w:r>
    </w:p>
    <w:p>
      <w:pPr>
        <w:pStyle w:val="Heading3"/>
        <w:spacing w:before="240" w:after="120"/>
      </w:pPr>
      <w:r>
        <w:rPr>
          <w:rFonts w:ascii="Times New Roman" w:cs="Times New Roman" w:eastAsia="Times New Roman" w:hAnsi="Times New Roman"/>
          <w:b/>
          <w:bCs/>
          <w:i/>
          <w:iCs/>
          <w:sz w:val="26"/>
          <w:szCs w:val="26"/>
        </w:rPr>
        <w:t xml:space="preserve">Eq. 18: Tissue Homogenisation</w:t>
      </w:r>
    </w:p>
    <w:p>
      <w:pPr>
        <w:spacing w:before="120" w:after="120"/>
        <w:jc w:val="center"/>
      </w:pPr>
      <w:r>
        <w:rPr>
          <w:rFonts w:ascii="Times New Roman" w:cs="Times New Roman" w:eastAsia="Times New Roman" w:hAnsi="Times New Roman"/>
          <w:i/>
          <w:iCs/>
          <w:sz w:val="22"/>
          <w:szCs w:val="22"/>
        </w:rPr>
        <w:t xml:space="preserve">C_tissue(s) = Σᵢ φᵢ(s) · R(θᵢ) · C_fibril,i · R(θᵢ)ᵀ</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\mathbf{C}_{tissue} = \sum_i \varphi_i R(\theta_i) C_{fibril,i} R(\theta_i)^T</w:t>
      </w:r>
    </w:p>
    <w:p>
      <w:pPr>
        <w:pStyle w:val="Heading3"/>
        <w:spacing w:before="240" w:after="120"/>
      </w:pPr>
      <w:r>
        <w:rPr>
          <w:rFonts w:ascii="Times New Roman" w:cs="Times New Roman" w:eastAsia="Times New Roman" w:hAnsi="Times New Roman"/>
          <w:b/>
          <w:bCs/>
          <w:i/>
          <w:iCs/>
          <w:sz w:val="26"/>
          <w:szCs w:val="26"/>
        </w:rPr>
        <w:t xml:space="preserve">Eqs. 19a–b: Protein Population Dynamics</w:t>
      </w:r>
    </w:p>
    <w:p>
      <w:pPr>
        <w:spacing w:before="120" w:after="120"/>
        <w:jc w:val="center"/>
      </w:pPr>
      <w:r>
        <w:rPr>
          <w:rFonts w:ascii="Times New Roman" w:cs="Times New Roman" w:eastAsia="Times New Roman" w:hAnsi="Times New Roman"/>
          <w:i/>
          <w:iCs/>
          <w:sz w:val="22"/>
          <w:szCs w:val="22"/>
        </w:rPr>
        <w:t xml:space="preserve">dP_mechano/dt = α_m(E_mechano) − δ_m P_mechano</w:t>
      </w:r>
    </w:p>
    <w:p>
      <w:pPr>
        <w:spacing w:before="120" w:after="120"/>
        <w:jc w:val="center"/>
      </w:pPr>
      <w:r>
        <w:rPr>
          <w:rFonts w:ascii="Times New Roman" w:cs="Times New Roman" w:eastAsia="Times New Roman" w:hAnsi="Times New Roman"/>
          <w:i/>
          <w:iCs/>
          <w:sz w:val="22"/>
          <w:szCs w:val="22"/>
        </w:rPr>
        <w:t xml:space="preserve">dP_growth/dt  = α_g(E_growth)  − δ_g P_growth</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\frac{dP_{mechano}}{dt} = \alpha_m - \delta_m P_{mechano}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Krishnan S — Biological Countercurvature of Spacetime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2026-02-16T20:37:20.478Z</dcterms:created>
  <dcterms:modified xsi:type="dcterms:W3CDTF">2026-02-16T20:37:20.486Z</dcterms:modified>
</cp:coreProperties>
</file>

<file path=docProps/custom.xml><?xml version="1.0" encoding="utf-8"?>
<Properties xmlns="http://schemas.openxmlformats.org/officeDocument/2006/custom-properties" xmlns:vt="http://schemas.openxmlformats.org/officeDocument/2006/docPropsVTypes"/>
</file>