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line="360" w:lineRule="auto"/>
        <w:jc w:val="center"/>
      </w:pPr>
      <w:r>
        <w:rPr>
          <w:rFonts w:ascii="Arial" w:cs="Arial" w:eastAsia="Arial" w:hAnsi="Arial"/>
          <w:b/>
          <w:bCs/>
          <w:sz w:val="32"/>
          <w:szCs w:val="32"/>
        </w:rPr>
        <w:t xml:space="preserve">Energy Deficit Window and Structural Anisotropy:</w:t>
      </w:r>
    </w:p>
    <w:p>
      <w:pPr>
        <w:spacing w:after="240" w:line="360" w:lineRule="auto"/>
        <w:jc w:val="center"/>
      </w:pPr>
      <w:r>
        <w:rPr>
          <w:rFonts w:ascii="Arial" w:cs="Arial" w:eastAsia="Arial" w:hAnsi="Arial"/>
          <w:b/>
          <w:bCs/>
          <w:sz w:val="32"/>
          <w:szCs w:val="32"/>
        </w:rPr>
        <w:t xml:space="preserve">An Information–Elasticity Framework for Adolescent Idiopathic Scoliosis Onset</w:t>
      </w:r>
    </w:p>
    <w:p>
      <w:pPr>
        <w:spacing w:after="120" w:line="360" w:lineRule="auto"/>
        <w:jc w:val="center"/>
      </w:pPr>
      <w:r>
        <w:rPr>
          <w:rFonts w:ascii="Arial" w:cs="Arial" w:eastAsia="Arial" w:hAnsi="Arial"/>
          <w:sz w:val="24"/>
          <w:szCs w:val="24"/>
        </w:rPr>
        <w:t xml:space="preserve">Dr. Sayuj K. Sasidharan Nair</w:t>
      </w:r>
    </w:p>
    <w:p>
      <w:pPr>
        <w:spacing w:after="120" w:line="360" w:lineRule="auto"/>
        <w:jc w:val="center"/>
      </w:pPr>
      <w:r>
        <w:rPr>
          <w:rFonts w:ascii="Arial" w:cs="Arial" w:eastAsia="Arial" w:hAnsi="Arial"/>
          <w:sz w:val="22"/>
          <w:szCs w:val="22"/>
        </w:rPr>
        <w:t xml:space="preserve">Independent Researcher</w:t>
      </w:r>
    </w:p>
    <w:p>
      <w:pPr>
        <w:spacing w:after="120" w:line="360" w:lineRule="auto"/>
        <w:jc w:val="center"/>
      </w:pPr>
      <w:r>
        <w:rPr>
          <w:rFonts w:ascii="Arial" w:cs="Arial" w:eastAsia="Arial" w:hAnsi="Arial"/>
          <w:sz w:val="22"/>
          <w:szCs w:val="22"/>
        </w:rPr>
        <w:t xml:space="preserve">Correspondence: hellodr@drsayuj.info</w:t>
      </w:r>
    </w:p>
    <w:p>
      <w:pPr>
        <w:spacing w:after="480" w:line="360" w:lineRule="auto"/>
        <w:jc w:val="center"/>
      </w:pPr>
      <w:r>
        <w:rPr>
          <w:rFonts w:ascii="Arial" w:cs="Arial" w:eastAsia="Arial" w:hAnsi="Arial"/>
          <w:sz w:val="22"/>
          <w:szCs w:val="22"/>
        </w:rPr>
        <w:t xml:space="preserve">Submitted to: Journal of Orthopaedic Research: Spine</w:t>
      </w:r>
    </w:p>
    <w:p>
      <w:pPr>
        <w:pStyle w:val="Heading1"/>
      </w:pPr>
      <w:r>
        <w:t xml:space="preserve">ABSTRACT</w:t>
      </w:r>
    </w:p>
    <w:p>
      <w:pPr>
        <w:spacing w:after="160" w:line="360" w:lineRule="auto"/>
        <w:jc w:val="both"/>
      </w:pPr>
      <w:r>
        <w:rPr>
          <w:rFonts w:ascii="Arial" w:cs="Arial" w:eastAsia="Arial" w:hAnsi="Arial"/>
          <w:sz w:val="24"/>
          <w:szCs w:val="24"/>
        </w:rPr>
        <w:t xml:space="preserve">Background: Adolescent idiopathic scoliosis (AIS) emerges suddenly during rapid growth despite normal spine anatomy at birth. Current biomechanical models inadequately explain why spinal geometry destabilizes during a narrow developmental window. We present the Information–Elasticity Coupling (IEC) framework, which integrates developmental patterning with Cosserat rod mechanics to explain scoliosis emergence as an energy deficit phenomenon.</w:t>
      </w:r>
    </w:p>
    <w:p>
      <w:pPr>
        <w:spacing w:after="160" w:line="360" w:lineRule="auto"/>
        <w:jc w:val="both"/>
      </w:pPr>
      <w:r>
        <w:rPr>
          <w:rFonts w:ascii="Arial" w:cs="Arial" w:eastAsia="Arial" w:hAnsi="Arial"/>
          <w:sz w:val="24"/>
          <w:szCs w:val="24"/>
        </w:rPr>
        <w:t xml:space="preserve">Methods: The IEC framework couples a developmental information field I(s) derived from homeobox gene patterning with the elastic free energy of spinal curvature using Cosserat rod theory. Phase diagram analysis and PyElastica simulations identified critical growth thresholds. AlphaFold v6 structural analysis of 23 mechanotransduction proteins (12 demand-side, 11 supply-side) quantified structural anisotropy as a proxy for maintenance cost via gyration tensor eigenvalue ratios √(λ₁/λ₃).</w:t>
      </w:r>
    </w:p>
    <w:p>
      <w:pPr>
        <w:spacing w:after="160" w:line="360" w:lineRule="auto"/>
        <w:jc w:val="both"/>
      </w:pPr>
      <w:r>
        <w:rPr>
          <w:rFonts w:ascii="Arial" w:cs="Arial" w:eastAsia="Arial" w:hAnsi="Arial"/>
          <w:sz w:val="24"/>
          <w:szCs w:val="24"/>
        </w:rPr>
        <w:t xml:space="preserve">Results: The IEC framework selects the S-curve as the lowest-energy ground state, predicting lumbar lordosis of 42° ± 5° and thoracic kyphosis of 35° ± 4°. Scoliosis emerges via supercritical bifurcation when spinal length exceeds L_crit ≈ 0.38 m, matching adolescent growth spurt onset. AlphaFold analysis revealed a statistically significant 72.3% demand–supply anisotropy gap (Demand: 3.08 ± 1.50 versus Supply: 1.79 ± 0.59; p = 0.011, Mann–Whitney U test; Cohen's d = 1.11). Vimentin (VIM, anisotropy 5.57) emerged as the most vulnerable protein with vulnerability index 3.11× the supply-side mean.</w:t>
      </w:r>
    </w:p>
    <w:p>
      <w:pPr>
        <w:spacing w:after="160" w:line="360" w:lineRule="auto"/>
        <w:jc w:val="both"/>
      </w:pPr>
      <w:r>
        <w:rPr>
          <w:rFonts w:ascii="Arial" w:cs="Arial" w:eastAsia="Arial" w:hAnsi="Arial"/>
          <w:sz w:val="24"/>
          <w:szCs w:val="24"/>
        </w:rPr>
        <w:t xml:space="preserve">Conclusions: Spinal geometry functions as a thermodynamic standing wave maintained by continuous adenosine triphosphate expenditure. The energy deficit window quantitatively explains AIS vulnerability during adolescent growth. Testable predictions include high-anisotropy protein collapse during metabolic stress and circadian resynchronization rescuing progression, suggesting therapeutic targets in mitochondrial biogenesis and circadian regulation.</w:t>
      </w:r>
    </w:p>
    <w:p>
      <w:pPr>
        <w:spacing w:after="360" w:line="360" w:lineRule="auto"/>
        <w:jc w:val="both"/>
      </w:pPr>
      <w:r>
        <w:rPr>
          <w:rFonts w:ascii="Arial" w:cs="Arial" w:eastAsia="Arial" w:hAnsi="Arial"/>
          <w:sz w:val="24"/>
          <w:szCs w:val="24"/>
        </w:rPr>
        <w:t xml:space="preserve">Keywords: adolescent idiopathic scoliosis, energy deficit, mechanotransduction, Information–Elasticity Coupling, AlphaFold structural analysis, Cosserat rod, bifurcation, demand–supply anisotropy</w:t>
      </w:r>
    </w:p>
    <w:p>
      <w:r>
        <w:br w:type="page"/>
      </w:r>
    </w:p>
    <w:p>
      <w:pPr>
        <w:pStyle w:val="Heading1"/>
      </w:pPr>
      <w:r>
        <w:t xml:space="preserve">1. INTRODUCTION</w:t>
      </w:r>
    </w:p>
    <w:p>
      <w:pPr>
        <w:pStyle w:val="Heading2"/>
      </w:pPr>
      <w:r>
        <w:t xml:space="preserve">1.1 The Gravity–Information Equivalence</w:t>
      </w:r>
    </w:p>
    <w:p>
      <w:pPr>
        <w:spacing w:after="160" w:line="360" w:lineRule="auto"/>
        <w:jc w:val="both"/>
      </w:pPr>
      <w:r>
        <w:rPr>
          <w:rFonts w:ascii="Arial" w:cs="Arial" w:eastAsia="Arial" w:hAnsi="Arial"/>
          <w:sz w:val="24"/>
          <w:szCs w:val="24"/>
        </w:rPr>
        <w:t xml:space="preserve">Biological organisms resist gravity through active information-driven geometry. The human spine illustrates this principle: without muscular control, the spine assumes a passive C-shaped kyphotic configuration under gravitational load. The healthy spine, however, maintains a complex sagittal S-curve with alternating lordosis and kyphosis. This geometry is mechanically unstable and requires continuous active maintenance.</w:t>
      </w:r>
    </w:p>
    <w:p>
      <w:pPr>
        <w:spacing w:after="160" w:line="360" w:lineRule="auto"/>
        <w:jc w:val="both"/>
      </w:pPr>
      <w:r>
        <w:rPr>
          <w:rFonts w:ascii="Arial" w:cs="Arial" w:eastAsia="Arial" w:hAnsi="Arial"/>
          <w:sz w:val="24"/>
          <w:szCs w:val="24"/>
        </w:rPr>
        <w:t xml:space="preserve">The 'translation problem' in developmental biology asks: how does discrete genetic code (homeobox gene combinatorics specifying segmental identity) translate into continuous three-dimensional geometry? We propose that a biological information field I(s), emergent from homeobox gene patterning and maintained by developmental signaling cascades, acts as a warped effective metric on the spinal rod. This field couples to elastic strain such that regions with high information density resist curvature changes, while low-information regions accommodate gravity; this is analogous to how the equivalence principle in general relativity relates gravity and local geometry.</w:t>
      </w:r>
    </w:p>
    <w:p>
      <w:pPr>
        <w:spacing w:after="160" w:line="360" w:lineRule="auto"/>
        <w:jc w:val="both"/>
      </w:pPr>
      <w:r>
        <w:rPr>
          <w:rFonts w:ascii="Arial" w:cs="Arial" w:eastAsia="Arial" w:hAnsi="Arial"/>
          <w:sz w:val="24"/>
          <w:szCs w:val="24"/>
        </w:rPr>
        <w:t xml:space="preserve">This information-geometric framework predicts vulnerability: when growth outpaces the organism's ability to maintain the information field, the system becomes unstable and geometric instability (scoliosis) emerges.</w:t>
      </w:r>
    </w:p>
    <w:p>
      <w:pPr>
        <w:pStyle w:val="Heading2"/>
      </w:pPr>
      <w:r>
        <w:t xml:space="preserve">1.2 Mechanosensory Band-Pass Filter: Vector–Scalar Matching</w:t>
      </w:r>
    </w:p>
    <w:p>
      <w:pPr>
        <w:spacing w:after="160" w:line="360" w:lineRule="auto"/>
        <w:jc w:val="both"/>
      </w:pPr>
      <w:r>
        <w:rPr>
          <w:rFonts w:ascii="Arial" w:cs="Arial" w:eastAsia="Arial" w:hAnsi="Arial"/>
          <w:sz w:val="24"/>
          <w:szCs w:val="24"/>
        </w:rPr>
        <w:t xml:space="preserve">Cells sense deformation through mechanotransducers. The proprioceptive system relies on two classes of mechanosensors: phasic vector sensors (for example, PIEZO2 in muscle spindles) that detect strain rate and directionality with high metabolic cost, and tonic scalar sensors (for example, PIEZO1) that detect isotropic pressure non-directionally at lower cost. Healthy morphogenesis requires coherent integration of both signal types, a 'vector–scalar match.'</w:t>
      </w:r>
    </w:p>
    <w:p>
      <w:pPr>
        <w:spacing w:after="160" w:line="360" w:lineRule="auto"/>
        <w:jc w:val="both"/>
      </w:pPr>
      <w:r>
        <w:rPr>
          <w:rFonts w:ascii="Arial" w:cs="Arial" w:eastAsia="Arial" w:hAnsi="Arial"/>
          <w:sz w:val="24"/>
          <w:szCs w:val="24"/>
        </w:rPr>
        <w:t xml:space="preserve">During adolescent growth, when metabolic supply becomes constrained, phasic vector sensors (which are structurally anisotropic and costly) degrade first. This causes Vector–Scalar Mismatch: the spine receives only coarse pressure information without precise directional feedback, leading to loss of geometric coherence and scoliotic buckling.</w:t>
      </w:r>
    </w:p>
    <w:p>
      <w:pPr>
        <w:pStyle w:val="Heading2"/>
      </w:pPr>
      <w:r>
        <w:t xml:space="preserve">1.3 The Thermodynamic Standing Wave</w:t>
      </w:r>
    </w:p>
    <w:p>
      <w:pPr>
        <w:spacing w:after="160" w:line="360" w:lineRule="auto"/>
        <w:jc w:val="both"/>
      </w:pPr>
      <w:r>
        <w:rPr>
          <w:rFonts w:ascii="Arial" w:cs="Arial" w:eastAsia="Arial" w:hAnsi="Arial"/>
          <w:sz w:val="24"/>
          <w:szCs w:val="24"/>
        </w:rPr>
        <w:t xml:space="preserve">We propose that the spinal S-curve functions as a dissipative structure in the Prigogine sense, maintained by continuous energy expenditure against equilibrium. The thermodynamic cost of maintaining counter-curvature scales with body length: elastic strain energy scales as L², gravitational moment increases as L³, while nutrient transport capacity scales sublinearly (approximately L⁰·⁵). This allometric mismatch creates an inevitable energy deficit window during rapid adolescent growth.</w:t>
      </w:r>
    </w:p>
    <w:p>
      <w:pPr>
        <w:pStyle w:val="Heading2"/>
      </w:pPr>
      <w:r>
        <w:t xml:space="preserve">1.4 Critical Predictions</w:t>
      </w:r>
    </w:p>
    <w:p>
      <w:pPr>
        <w:spacing w:after="160" w:line="360" w:lineRule="auto"/>
        <w:jc w:val="both"/>
      </w:pPr>
      <w:r>
        <w:rPr>
          <w:rFonts w:ascii="Arial" w:cs="Arial" w:eastAsia="Arial" w:hAnsi="Arial"/>
          <w:sz w:val="24"/>
          <w:szCs w:val="24"/>
        </w:rPr>
        <w:t xml:space="preserve">The IEC framework makes three falsifiable predictions: (1) PIEZO1 and PIEZO2 silencing in proprioceptive neurons phenocopies scoliosis; (2) high-anisotropy proteins undergo preferential degradation during metabolic stress, followed by scoliotic progression; (3) circadian re-entrainment rescues scoliosis progression by restoring PPARGC1A-mediated mitochondrial biogenesis.</w:t>
      </w:r>
    </w:p>
    <w:p>
      <w:r>
        <w:br w:type="page"/>
      </w:r>
    </w:p>
    <w:p>
      <w:pPr>
        <w:pStyle w:val="Heading1"/>
      </w:pPr>
      <w:r>
        <w:t xml:space="preserve">2. METHODS</w:t>
      </w:r>
    </w:p>
    <w:p>
      <w:pPr>
        <w:pStyle w:val="Heading2"/>
      </w:pPr>
      <w:r>
        <w:t xml:space="preserve">2.1 Information–Elasticity Coupling Framework</w:t>
      </w:r>
    </w:p>
    <w:p>
      <w:pPr>
        <w:spacing w:after="160" w:line="360" w:lineRule="auto"/>
        <w:jc w:val="both"/>
      </w:pPr>
      <w:r>
        <w:rPr>
          <w:rFonts w:ascii="Arial" w:cs="Arial" w:eastAsia="Arial" w:hAnsi="Arial"/>
          <w:sz w:val="24"/>
          <w:szCs w:val="24"/>
        </w:rPr>
        <w:t xml:space="preserve">The IEC framework defines a biological information field I(s) ∈ [0,1] from homeobox gene patterning, yielding an information-modified effective metric g_eff(s) = 1 + β₁I(s) + β₂I(s)². The free energy functional couples curvature κ(s), twist τ(s), and gravitational potential: U_IEC = ∫[κ(s)² g_eff(s) + τ(s)² + ρgz_cm(s)]ds, with coupling strength χ_κ modulating information–elasticity interaction.</w:t>
      </w:r>
    </w:p>
    <w:p>
      <w:pPr>
        <w:pStyle w:val="Heading2"/>
      </w:pPr>
      <w:r>
        <w:t xml:space="preserve">2.2 Computational Implementation</w:t>
      </w:r>
    </w:p>
    <w:p>
      <w:pPr>
        <w:spacing w:after="160" w:line="360" w:lineRule="auto"/>
        <w:jc w:val="both"/>
      </w:pPr>
      <w:r>
        <w:rPr>
          <w:rFonts w:ascii="Arial" w:cs="Arial" w:eastAsia="Arial" w:hAnsi="Arial"/>
          <w:sz w:val="24"/>
          <w:szCs w:val="24"/>
        </w:rPr>
        <w:t xml:space="preserve">We solved the linearized eigenvalue problem for mode selection using MATLAB R2023a and performed full three-dimensional Cosserat rod simulations using PyElastica across parameter space: χ_κ ∈ [0.01, 0.15], gravitational load g ∈ [0, 1.0], and spinal length L ∈ [0.30, 0.50] m. Sensitivity analysis used ± 10% parameter variation around baseline.</w:t>
      </w:r>
    </w:p>
    <w:p>
      <w:pPr>
        <w:pStyle w:val="Heading2"/>
      </w:pPr>
      <w:r>
        <w:t xml:space="preserve">2.3 AlphaFold Structural Analysis</w:t>
      </w:r>
    </w:p>
    <w:p>
      <w:pPr>
        <w:spacing w:after="160" w:line="360" w:lineRule="auto"/>
        <w:jc w:val="both"/>
      </w:pPr>
      <w:r>
        <w:rPr>
          <w:rFonts w:ascii="Arial" w:cs="Arial" w:eastAsia="Arial" w:hAnsi="Arial"/>
          <w:sz w:val="24"/>
          <w:szCs w:val="24"/>
        </w:rPr>
        <w:t xml:space="preserve">We selected 23 proteins critical to spinal mechanotransduction and metabolic regulation, stratified into demand-side (n = 12: mechanosensors and cytoskeletal elements) and supply-side (n = 11: metabolic regulators). AlphaFold v6 structures were retrieved via REST application programming interface (alphafold.ebi.ac.uk, accessed February 2026). For each protein, we computed from Cα coordinates: anisotropy ratio = √(λ₁/λ₃) from gyration tensor eigenvalues; disorder fraction (residues with predicted local distance difference test score &lt;50); mean predicted local distance difference test confidence; radius of gyration; and hinge candidates (low-confidence residues flanked by confident regions).</w:t>
      </w:r>
    </w:p>
    <w:p>
      <w:pPr>
        <w:pStyle w:val="Heading2"/>
      </w:pPr>
      <w:r>
        <w:t xml:space="preserve">2.4 Statistical Methods</w:t>
      </w:r>
    </w:p>
    <w:p>
      <w:pPr>
        <w:spacing w:after="160" w:line="360" w:lineRule="auto"/>
        <w:jc w:val="both"/>
      </w:pPr>
      <w:r>
        <w:rPr>
          <w:rFonts w:ascii="Arial" w:cs="Arial" w:eastAsia="Arial" w:hAnsi="Arial"/>
          <w:sz w:val="24"/>
          <w:szCs w:val="24"/>
        </w:rPr>
        <w:t xml:space="preserve">Demand versus supply anisotropy distributions were compared using Mann–Whitney U test (one-sided) and Welch's t-test. Effect size was quantified via Cohen's d. Significance threshold: α = 0.05. All analyses: Python 3.11, SciPy 1.12.0, NumPy 1.26.</w:t>
      </w:r>
    </w:p>
    <w:p>
      <w:r>
        <w:br w:type="page"/>
      </w:r>
    </w:p>
    <w:p>
      <w:pPr>
        <w:pStyle w:val="Heading1"/>
      </w:pPr>
      <w:r>
        <w:t xml:space="preserve">3. RESULTS</w:t>
      </w:r>
    </w:p>
    <w:p>
      <w:pPr>
        <w:pStyle w:val="Heading2"/>
      </w:pPr>
      <w:r>
        <w:t xml:space="preserve">3.1 Mode Spectrum and S-Curve Selection</w:t>
      </w:r>
    </w:p>
    <w:p>
      <w:pPr>
        <w:spacing w:after="160" w:line="360" w:lineRule="auto"/>
        <w:jc w:val="both"/>
      </w:pPr>
      <w:r>
        <w:rPr>
          <w:rFonts w:ascii="Arial" w:cs="Arial" w:eastAsia="Arial" w:hAnsi="Arial"/>
          <w:sz w:val="24"/>
          <w:szCs w:val="24"/>
        </w:rPr>
        <w:t xml:space="preserve">Without information coupling (χ_κ = 0), the ground state is passive C-shaped sag. As χ_κ increases toward biologically realistic values (0.05–0.08), the S-shaped eigenmode transitions to the ground state at χ_κ ≈ 0.04, with the S-mode eigenvalue decreasing approximately 30% relative to the C-mode. The information field acts as an 'information-driven spring' that selectively favors the S-curve.</w:t>
      </w:r>
    </w:p>
    <w:p>
      <w:pPr>
        <w:pStyle w:val="Heading2"/>
      </w:pPr>
      <w:r>
        <w:t xml:space="preserve">3.2 Cosserat Rod Solutions and Geometric Validation</w:t>
      </w:r>
    </w:p>
    <w:p>
      <w:pPr>
        <w:spacing w:after="160" w:line="360" w:lineRule="auto"/>
        <w:jc w:val="both"/>
      </w:pPr>
      <w:r>
        <w:rPr>
          <w:rFonts w:ascii="Arial" w:cs="Arial" w:eastAsia="Arial" w:hAnsi="Arial"/>
          <w:sz w:val="24"/>
          <w:szCs w:val="24"/>
        </w:rPr>
        <w:t xml:space="preserve">Three-dimensional Cosserat rod simulations produced equilibrium spine shapes matching clinical anatomy. For baseline parameters (χ_κ = 0.065, g = 1.0, L = 0.40 m): predicted lumbar lordosis 42° ± 5° (clinical norm: 40°–60°), thoracic kyphosis 35° ± 4° (clinical norm: 20°–45°), and geodesic deviation D_geo = 0.113 ± 0.011. Critically, the S-curve persists as gravitational load approaches zero, demonstrating that shape is maintained by information geometry, not passive gravity.</w:t>
      </w:r>
    </w:p>
    <w:p>
      <w:pPr>
        <w:pStyle w:val="Heading2"/>
      </w:pPr>
      <w:r>
        <w:t xml:space="preserve">3.3 Phase Diagram</w:t>
      </w:r>
    </w:p>
    <w:p>
      <w:pPr>
        <w:spacing w:after="160" w:line="360" w:lineRule="auto"/>
        <w:jc w:val="both"/>
      </w:pPr>
      <w:r>
        <w:rPr>
          <w:rFonts w:ascii="Arial" w:cs="Arial" w:eastAsia="Arial" w:hAnsi="Arial"/>
          <w:sz w:val="24"/>
          <w:szCs w:val="24"/>
        </w:rPr>
        <w:t xml:space="preserve">The (χ_κ, g) phase diagram revealed three regimes: (i) gravity-dominated (χ_κ &lt; 0.04): passive C-shape, corresponding to infancy; (ii) cooperative (χ_κ ∈ [0.04, 0.08]): stable S-curve, the healthy developmental regime; (iii) information-dominated (χ_κ &gt; 0.09): hypersensitivity to asymmetry, predisposing to pathological curvature.</w:t>
      </w:r>
    </w:p>
    <w:p>
      <w:pPr>
        <w:pStyle w:val="Heading2"/>
      </w:pPr>
      <w:r>
        <w:t xml:space="preserve">3.4 Scoliosis Emergence via Supercritical Bifurcation</w:t>
      </w:r>
    </w:p>
    <w:p>
      <w:pPr>
        <w:spacing w:after="160" w:line="360" w:lineRule="auto"/>
        <w:jc w:val="both"/>
      </w:pPr>
      <w:r>
        <w:rPr>
          <w:rFonts w:ascii="Arial" w:cs="Arial" w:eastAsia="Arial" w:hAnsi="Arial"/>
          <w:sz w:val="24"/>
          <w:szCs w:val="24"/>
        </w:rPr>
        <w:t xml:space="preserve">Bifurcation analysis revealed a supercritical pitchfork bifurcation at χ_κ ≈ 0.06. Below this threshold, 5% lateral bending stiffness asymmetry produces Cobb angles &lt;5° (subclinical). Above it, the same asymmetry produces Cobb angles &gt;15° (clinical threshold). This coupling strength corresponds to proprioceptive maturation around age 10–12 years, explaining why AIS emerges during this specific developmental window.</w:t>
      </w:r>
    </w:p>
    <w:p>
      <w:pPr>
        <w:pStyle w:val="Heading2"/>
      </w:pPr>
      <w:r>
        <w:t xml:space="preserve">3.5 Growth Dynamics and Critical Length</w:t>
      </w:r>
    </w:p>
    <w:p>
      <w:pPr>
        <w:spacing w:after="160" w:line="360" w:lineRule="auto"/>
        <w:jc w:val="both"/>
      </w:pPr>
      <w:r>
        <w:rPr>
          <w:rFonts w:ascii="Arial" w:cs="Arial" w:eastAsia="Arial" w:hAnsi="Arial"/>
          <w:sz w:val="24"/>
          <w:szCs w:val="24"/>
        </w:rPr>
        <w:t xml:space="preserve">Simulating the adolescent growth spurt (L: 0.35→0.45 m over 2–3 years) identified L_crit ≈ 0.38 m. Below this threshold, asymmetries are suppressed. Above it, scoliosis emerges via bifurcation. This critical length corresponds to skeletal development at age 10–11 years, matching the epidemiological window of AIS onset (peak incidence: girls 12–14, boys 13–15).</w:t>
      </w:r>
    </w:p>
    <w:p>
      <w:pPr>
        <w:pStyle w:val="Heading2"/>
      </w:pPr>
      <w:r>
        <w:t xml:space="preserve">3.6 Thermodynamic Cost and Energy Deficit Window</w:t>
      </w:r>
    </w:p>
    <w:p>
      <w:pPr>
        <w:spacing w:after="160" w:line="360" w:lineRule="auto"/>
        <w:jc w:val="both"/>
      </w:pPr>
      <w:r>
        <w:rPr>
          <w:rFonts w:ascii="Arial" w:cs="Arial" w:eastAsia="Arial" w:hAnsi="Arial"/>
          <w:sz w:val="24"/>
          <w:szCs w:val="24"/>
        </w:rPr>
        <w:t xml:space="preserve">The metabolic cost of maintaining counter-curvature scales as L²–L³, while supply capacity scales as approximately L⁰·⁵. This mismatch creates an energy deficit window (L ∈ [0.35, 0.45] m, ages 10–15): at L = 0.30 m, supply exceeds demand (safe); at L = 0.38 m, demand equals supply (critical threshold); at L = 0.45 m, demand exceeds supply by approximately 46%. During this window, metabolic constraints force prioritization, and expensive proprioceptive sensors degrade first.</w:t>
      </w:r>
    </w:p>
    <w:p>
      <w:r>
        <w:br w:type="page"/>
      </w:r>
    </w:p>
    <w:p>
      <w:pPr>
        <w:pStyle w:val="Heading2"/>
      </w:pPr>
      <w:r>
        <w:t xml:space="preserve">3.7 AlphaFold Structural Analysis: Demand Versus Supply Proteins</w:t>
      </w:r>
    </w:p>
    <w:p>
      <w:pPr>
        <w:spacing w:after="160" w:line="360" w:lineRule="auto"/>
        <w:jc w:val="both"/>
      </w:pPr>
      <w:r>
        <w:rPr>
          <w:rFonts w:ascii="Arial" w:cs="Arial" w:eastAsia="Arial" w:hAnsi="Arial"/>
          <w:sz w:val="24"/>
          <w:szCs w:val="24"/>
        </w:rPr>
        <w:t xml:space="preserve">AlphaFold v6 analysis of all 23 proteins (23 out of 23 successfully retrieved) revealed striking structural asymmetry between demand-side and supply-side proteins. Complete metrics are reported in Table 1.</w:t>
      </w:r>
    </w:p>
    <w:p>
      <w:pPr>
        <w:spacing w:after="120" w:line="360" w:lineRule="auto"/>
        <w:jc w:val="center"/>
      </w:pPr>
      <w:r>
        <w:rPr>
          <w:rFonts w:ascii="Arial" w:cs="Arial" w:eastAsia="Arial" w:hAnsi="Arial"/>
          <w:b/>
          <w:bCs/>
          <w:sz w:val="24"/>
          <w:szCs w:val="24"/>
        </w:rPr>
        <w:t xml:space="preserve">Table 1. AlphaFold v6 Structural Metrics for 23 IEC Framework Proteins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900"/>
        <w:gridCol w:w="1100"/>
        <w:gridCol w:w="700"/>
        <w:gridCol w:w="750"/>
        <w:gridCol w:w="750"/>
        <w:gridCol w:w="750"/>
        <w:gridCol w:w="750"/>
        <w:gridCol w:w="750"/>
        <w:gridCol w:w="750"/>
        <w:gridCol w:w="1310"/>
      </w:tblGrid>
      <w:tr>
        <w:tc>
          <w:tcPr>
            <w:tcW w:type="dxa" w:w="85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pPr>
              <w:jc w:val="center"/>
            </w:pPr>
            <w:r>
              <w:rPr>
                <w:rFonts w:ascii="Arial" w:cs="Arial" w:eastAsia="Arial" w:hAnsi="Arial"/>
                <w:b/>
                <w:bCs/>
                <w:sz w:val="18"/>
                <w:szCs w:val="18"/>
              </w:rPr>
              <w:t xml:space="preserve">Gene</w:t>
            </w:r>
          </w:p>
        </w:tc>
        <w:tc>
          <w:tcPr>
            <w:tcW w:type="dxa" w:w="90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pPr>
              <w:jc w:val="center"/>
            </w:pPr>
            <w:r>
              <w:rPr>
                <w:rFonts w:ascii="Arial" w:cs="Arial" w:eastAsia="Arial" w:hAnsi="Arial"/>
                <w:b/>
                <w:bCs/>
                <w:sz w:val="18"/>
                <w:szCs w:val="18"/>
              </w:rPr>
              <w:t xml:space="preserve">Category</w:t>
            </w:r>
          </w:p>
        </w:tc>
        <w:tc>
          <w:tcPr>
            <w:tcW w:type="dxa" w:w="110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pPr>
              <w:jc w:val="center"/>
            </w:pPr>
            <w:r>
              <w:rPr>
                <w:rFonts w:ascii="Arial" w:cs="Arial" w:eastAsia="Arial" w:hAnsi="Arial"/>
                <w:b/>
                <w:bCs/>
                <w:sz w:val="18"/>
                <w:szCs w:val="18"/>
              </w:rPr>
              <w:t xml:space="preserve">Role</w:t>
            </w:r>
          </w:p>
        </w:tc>
        <w:tc>
          <w:tcPr>
            <w:tcW w:type="dxa" w:w="70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pPr>
              <w:jc w:val="center"/>
            </w:pPr>
            <w:r>
              <w:rPr>
                <w:rFonts w:ascii="Arial" w:cs="Arial" w:eastAsia="Arial" w:hAnsi="Arial"/>
                <w:b/>
                <w:bCs/>
                <w:sz w:val="18"/>
                <w:szCs w:val="18"/>
              </w:rPr>
              <w:t xml:space="preserve">Length</w:t>
            </w:r>
          </w:p>
        </w:tc>
        <w:tc>
          <w:tcPr>
            <w:tcW w:type="dxa" w:w="75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pPr>
              <w:jc w:val="center"/>
            </w:pPr>
            <w:r>
              <w:rPr>
                <w:rFonts w:ascii="Arial" w:cs="Arial" w:eastAsia="Arial" w:hAnsi="Arial"/>
                <w:b/>
                <w:bCs/>
                <w:sz w:val="18"/>
                <w:szCs w:val="18"/>
              </w:rPr>
              <w:t xml:space="preserve">pLDDT</w:t>
            </w:r>
          </w:p>
        </w:tc>
        <w:tc>
          <w:tcPr>
            <w:tcW w:type="dxa" w:w="75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pPr>
              <w:jc w:val="center"/>
            </w:pPr>
            <w:r>
              <w:rPr>
                <w:rFonts w:ascii="Arial" w:cs="Arial" w:eastAsia="Arial" w:hAnsi="Arial"/>
                <w:b/>
                <w:bCs/>
                <w:sz w:val="18"/>
                <w:szCs w:val="18"/>
              </w:rPr>
              <w:t xml:space="preserve">Anisotropy</w:t>
            </w:r>
          </w:p>
        </w:tc>
        <w:tc>
          <w:tcPr>
            <w:tcW w:type="dxa" w:w="75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pPr>
              <w:jc w:val="center"/>
            </w:pPr>
            <w:r>
              <w:rPr>
                <w:rFonts w:ascii="Arial" w:cs="Arial" w:eastAsia="Arial" w:hAnsi="Arial"/>
                <w:b/>
                <w:bCs/>
                <w:sz w:val="18"/>
                <w:szCs w:val="18"/>
              </w:rPr>
              <w:t xml:space="preserve">Disorder %</w:t>
            </w:r>
          </w:p>
        </w:tc>
        <w:tc>
          <w:tcPr>
            <w:tcW w:type="dxa" w:w="75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pPr>
              <w:jc w:val="center"/>
            </w:pPr>
            <w:r>
              <w:rPr>
                <w:rFonts w:ascii="Arial" w:cs="Arial" w:eastAsia="Arial" w:hAnsi="Arial"/>
                <w:b/>
                <w:bCs/>
                <w:sz w:val="18"/>
                <w:szCs w:val="18"/>
              </w:rPr>
              <w:t xml:space="preserve">Rg (Å)</w:t>
            </w:r>
          </w:p>
        </w:tc>
        <w:tc>
          <w:tcPr>
            <w:tcW w:type="dxa" w:w="75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pPr>
              <w:jc w:val="center"/>
            </w:pPr>
            <w:r>
              <w:rPr>
                <w:rFonts w:ascii="Arial" w:cs="Arial" w:eastAsia="Arial" w:hAnsi="Arial"/>
                <w:b/>
                <w:bCs/>
                <w:sz w:val="18"/>
                <w:szCs w:val="18"/>
              </w:rPr>
              <w:t xml:space="preserve">Hinges</w:t>
            </w:r>
          </w:p>
        </w:tc>
      </w:tr>
      <w:tr>
        <w:tc>
          <w:tcPr>
            <w:tcW w:type="dxa" w:w="8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VIM</w:t>
            </w:r>
          </w:p>
        </w:tc>
        <w:tc>
          <w:tcPr>
            <w:tcW w:type="dxa" w:w="9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Demand</w:t>
            </w:r>
          </w:p>
        </w:tc>
        <w:tc>
          <w:tcPr>
            <w:tcW w:type="dxa" w:w="11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Intermediate filament scaffold</w:t>
            </w:r>
          </w:p>
        </w:tc>
        <w:tc>
          <w:tcPr>
            <w:tcW w:type="dxa" w:w="7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466</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77.1</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5.57</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24.0%</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71.7</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0</w:t>
            </w:r>
          </w:p>
        </w:tc>
      </w:tr>
      <w:tr>
        <w:tc>
          <w:tcPr>
            <w:tcW w:type="dxa" w:w="8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PTK7</w:t>
            </w:r>
          </w:p>
        </w:tc>
        <w:tc>
          <w:tcPr>
            <w:tcW w:type="dxa" w:w="9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Demand</w:t>
            </w:r>
          </w:p>
        </w:tc>
        <w:tc>
          <w:tcPr>
            <w:tcW w:type="dxa" w:w="11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Planar cell polarity receptor</w:t>
            </w:r>
          </w:p>
        </w:tc>
        <w:tc>
          <w:tcPr>
            <w:tcW w:type="dxa" w:w="7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1070</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82.7</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5.28</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9.4%</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63.8</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1</w:t>
            </w:r>
          </w:p>
        </w:tc>
      </w:tr>
      <w:tr>
        <w:tc>
          <w:tcPr>
            <w:tcW w:type="dxa" w:w="8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LMNA</w:t>
            </w:r>
          </w:p>
        </w:tc>
        <w:tc>
          <w:tcPr>
            <w:tcW w:type="dxa" w:w="9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Demand</w:t>
            </w:r>
          </w:p>
        </w:tc>
        <w:tc>
          <w:tcPr>
            <w:tcW w:type="dxa" w:w="11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Nuclear lamina protein</w:t>
            </w:r>
          </w:p>
        </w:tc>
        <w:tc>
          <w:tcPr>
            <w:tcW w:type="dxa" w:w="7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664</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76.4</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4.71</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25.8%</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78.7</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0</w:t>
            </w:r>
          </w:p>
        </w:tc>
      </w:tr>
      <w:tr>
        <w:tc>
          <w:tcPr>
            <w:tcW w:type="dxa" w:w="8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DSTYK</w:t>
            </w:r>
          </w:p>
        </w:tc>
        <w:tc>
          <w:tcPr>
            <w:tcW w:type="dxa" w:w="9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Demand</w:t>
            </w:r>
          </w:p>
        </w:tc>
        <w:tc>
          <w:tcPr>
            <w:tcW w:type="dxa" w:w="11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Mechanotransduction kinase</w:t>
            </w:r>
          </w:p>
        </w:tc>
        <w:tc>
          <w:tcPr>
            <w:tcW w:type="dxa" w:w="7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929</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80.2</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3.65</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10.3%</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46.4</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1</w:t>
            </w:r>
          </w:p>
        </w:tc>
      </w:tr>
      <w:tr>
        <w:tc>
          <w:tcPr>
            <w:tcW w:type="dxa" w:w="8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PIEZO2</w:t>
            </w:r>
          </w:p>
        </w:tc>
        <w:tc>
          <w:tcPr>
            <w:tcW w:type="dxa" w:w="9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Demand</w:t>
            </w:r>
          </w:p>
        </w:tc>
        <w:tc>
          <w:tcPr>
            <w:tcW w:type="dxa" w:w="11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Vector mechanosensor (directional)</w:t>
            </w:r>
          </w:p>
        </w:tc>
        <w:tc>
          <w:tcPr>
            <w:tcW w:type="dxa" w:w="7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709</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79.4</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3.45</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13.7%</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48.6</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0</w:t>
            </w:r>
          </w:p>
        </w:tc>
      </w:tr>
      <w:tr>
        <w:tc>
          <w:tcPr>
            <w:tcW w:type="dxa" w:w="8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PIEZO1</w:t>
            </w:r>
          </w:p>
        </w:tc>
        <w:tc>
          <w:tcPr>
            <w:tcW w:type="dxa" w:w="9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Demand</w:t>
            </w:r>
          </w:p>
        </w:tc>
        <w:tc>
          <w:tcPr>
            <w:tcW w:type="dxa" w:w="11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Scalar mechanosensor (pressure)</w:t>
            </w:r>
          </w:p>
        </w:tc>
        <w:tc>
          <w:tcPr>
            <w:tcW w:type="dxa" w:w="7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2521</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72.0</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3.14</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17.0%</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64.2</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4</w:t>
            </w:r>
          </w:p>
        </w:tc>
      </w:tr>
      <w:tr>
        <w:tc>
          <w:tcPr>
            <w:tcW w:type="dxa" w:w="8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ADGRG6</w:t>
            </w:r>
          </w:p>
        </w:tc>
        <w:tc>
          <w:tcPr>
            <w:tcW w:type="dxa" w:w="9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Demand</w:t>
            </w:r>
          </w:p>
        </w:tc>
        <w:tc>
          <w:tcPr>
            <w:tcW w:type="dxa" w:w="11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Adhesion G protein-coupled receptor</w:t>
            </w:r>
          </w:p>
        </w:tc>
        <w:tc>
          <w:tcPr>
            <w:tcW w:type="dxa" w:w="7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1221</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73.7</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2.80</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15.3%</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55.0</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7</w:t>
            </w:r>
          </w:p>
        </w:tc>
      </w:tr>
      <w:tr>
        <w:tc>
          <w:tcPr>
            <w:tcW w:type="dxa" w:w="8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CAV1</w:t>
            </w:r>
          </w:p>
        </w:tc>
        <w:tc>
          <w:tcPr>
            <w:tcW w:type="dxa" w:w="9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Demand</w:t>
            </w:r>
          </w:p>
        </w:tc>
        <w:tc>
          <w:tcPr>
            <w:tcW w:type="dxa" w:w="11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Caveolar structural protein</w:t>
            </w:r>
          </w:p>
        </w:tc>
        <w:tc>
          <w:tcPr>
            <w:tcW w:type="dxa" w:w="7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178</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78.4</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2.52</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2.8%</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32.3</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0</w:t>
            </w:r>
          </w:p>
        </w:tc>
      </w:tr>
      <w:tr>
        <w:tc>
          <w:tcPr>
            <w:tcW w:type="dxa" w:w="8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RUNX3</w:t>
            </w:r>
          </w:p>
        </w:tc>
        <w:tc>
          <w:tcPr>
            <w:tcW w:type="dxa" w:w="9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Demand</w:t>
            </w:r>
          </w:p>
        </w:tc>
        <w:tc>
          <w:tcPr>
            <w:tcW w:type="dxa" w:w="11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Proprioceptor transcription factor</w:t>
            </w:r>
          </w:p>
        </w:tc>
        <w:tc>
          <w:tcPr>
            <w:tcW w:type="dxa" w:w="7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415</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60.6</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1.57</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56.1%</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42.7</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0</w:t>
            </w:r>
          </w:p>
        </w:tc>
      </w:tr>
      <w:tr>
        <w:tc>
          <w:tcPr>
            <w:tcW w:type="dxa" w:w="8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EGR3</w:t>
            </w:r>
          </w:p>
        </w:tc>
        <w:tc>
          <w:tcPr>
            <w:tcW w:type="dxa" w:w="9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Demand</w:t>
            </w:r>
          </w:p>
        </w:tc>
        <w:tc>
          <w:tcPr>
            <w:tcW w:type="dxa" w:w="11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Spindle transcription factor</w:t>
            </w:r>
          </w:p>
        </w:tc>
        <w:tc>
          <w:tcPr>
            <w:tcW w:type="dxa" w:w="7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387</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50.0</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1.56</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64.3%</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39.8</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0</w:t>
            </w:r>
          </w:p>
        </w:tc>
      </w:tr>
      <w:tr>
        <w:tc>
          <w:tcPr>
            <w:tcW w:type="dxa" w:w="8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FBN2</w:t>
            </w:r>
          </w:p>
        </w:tc>
        <w:tc>
          <w:tcPr>
            <w:tcW w:type="dxa" w:w="9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Demand</w:t>
            </w:r>
          </w:p>
        </w:tc>
        <w:tc>
          <w:tcPr>
            <w:tcW w:type="dxa" w:w="11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Extracellular matrix fibrillin</w:t>
            </w:r>
          </w:p>
        </w:tc>
        <w:tc>
          <w:tcPr>
            <w:tcW w:type="dxa" w:w="7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1473</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68.4</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1.42</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12.3%</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54.5</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3</w:t>
            </w:r>
          </w:p>
        </w:tc>
      </w:tr>
      <w:tr>
        <w:tc>
          <w:tcPr>
            <w:tcW w:type="dxa" w:w="8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LBX1</w:t>
            </w:r>
          </w:p>
        </w:tc>
        <w:tc>
          <w:tcPr>
            <w:tcW w:type="dxa" w:w="9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Demand</w:t>
            </w:r>
          </w:p>
        </w:tc>
        <w:tc>
          <w:tcPr>
            <w:tcW w:type="dxa" w:w="11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Cell specification transcription factor</w:t>
            </w:r>
          </w:p>
        </w:tc>
        <w:tc>
          <w:tcPr>
            <w:tcW w:type="dxa" w:w="7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348</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61.7</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1.36</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33.3%</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43.6</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0</w:t>
            </w:r>
          </w:p>
        </w:tc>
      </w:tr>
      <w:tr>
        <w:tc>
          <w:tcPr>
            <w:tcW w:type="dxa" w:w="8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PLOD1</w:t>
            </w:r>
          </w:p>
        </w:tc>
        <w:tc>
          <w:tcPr>
            <w:tcW w:type="dxa" w:w="9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Supply</w:t>
            </w:r>
          </w:p>
        </w:tc>
        <w:tc>
          <w:tcPr>
            <w:tcW w:type="dxa" w:w="11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Collagen lysine hydroxylase</w:t>
            </w:r>
          </w:p>
        </w:tc>
        <w:tc>
          <w:tcPr>
            <w:tcW w:type="dxa" w:w="7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727</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92.7</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3.13</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3.0%</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36.4</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0</w:t>
            </w:r>
          </w:p>
        </w:tc>
      </w:tr>
      <w:tr>
        <w:tc>
          <w:tcPr>
            <w:tcW w:type="dxa" w:w="8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GHR</w:t>
            </w:r>
          </w:p>
        </w:tc>
        <w:tc>
          <w:tcPr>
            <w:tcW w:type="dxa" w:w="9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Supply</w:t>
            </w:r>
          </w:p>
        </w:tc>
        <w:tc>
          <w:tcPr>
            <w:tcW w:type="dxa" w:w="11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Growth hormone receptor</w:t>
            </w:r>
          </w:p>
        </w:tc>
        <w:tc>
          <w:tcPr>
            <w:tcW w:type="dxa" w:w="7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638</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58.7</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2.27</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50.5%</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52.9</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0</w:t>
            </w:r>
          </w:p>
        </w:tc>
      </w:tr>
      <w:tr>
        <w:tc>
          <w:tcPr>
            <w:tcW w:type="dxa" w:w="8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ARNTL</w:t>
            </w:r>
          </w:p>
        </w:tc>
        <w:tc>
          <w:tcPr>
            <w:tcW w:type="dxa" w:w="9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Supply</w:t>
            </w:r>
          </w:p>
        </w:tc>
        <w:tc>
          <w:tcPr>
            <w:tcW w:type="dxa" w:w="11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Circadian clock protein (BMAL1)</w:t>
            </w:r>
          </w:p>
        </w:tc>
        <w:tc>
          <w:tcPr>
            <w:tcW w:type="dxa" w:w="7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626</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65.5</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2.13</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40.4%</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42.2</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0</w:t>
            </w:r>
          </w:p>
        </w:tc>
      </w:tr>
      <w:tr>
        <w:tc>
          <w:tcPr>
            <w:tcW w:type="dxa" w:w="8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SHH</w:t>
            </w:r>
          </w:p>
        </w:tc>
        <w:tc>
          <w:tcPr>
            <w:tcW w:type="dxa" w:w="9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Supply</w:t>
            </w:r>
          </w:p>
        </w:tc>
        <w:tc>
          <w:tcPr>
            <w:tcW w:type="dxa" w:w="11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Hedgehog morphogenic ligand</w:t>
            </w:r>
          </w:p>
        </w:tc>
        <w:tc>
          <w:tcPr>
            <w:tcW w:type="dxa" w:w="7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462</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78.4</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1.94</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16.5%</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27.4</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1</w:t>
            </w:r>
          </w:p>
        </w:tc>
      </w:tr>
      <w:tr>
        <w:tc>
          <w:tcPr>
            <w:tcW w:type="dxa" w:w="8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COMP</w:t>
            </w:r>
          </w:p>
        </w:tc>
        <w:tc>
          <w:tcPr>
            <w:tcW w:type="dxa" w:w="9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Supply</w:t>
            </w:r>
          </w:p>
        </w:tc>
        <w:tc>
          <w:tcPr>
            <w:tcW w:type="dxa" w:w="11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Cartilage oligomeric matrix protein</w:t>
            </w:r>
          </w:p>
        </w:tc>
        <w:tc>
          <w:tcPr>
            <w:tcW w:type="dxa" w:w="7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757</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88.1</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1.94</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6.5%</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36.7</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2</w:t>
            </w:r>
          </w:p>
        </w:tc>
      </w:tr>
      <w:tr>
        <w:tc>
          <w:tcPr>
            <w:tcW w:type="dxa" w:w="8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CDKN1A</w:t>
            </w:r>
          </w:p>
        </w:tc>
        <w:tc>
          <w:tcPr>
            <w:tcW w:type="dxa" w:w="9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Supply</w:t>
            </w:r>
          </w:p>
        </w:tc>
        <w:tc>
          <w:tcPr>
            <w:tcW w:type="dxa" w:w="11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Cell cycle inhibitor (p21)</w:t>
            </w:r>
          </w:p>
        </w:tc>
        <w:tc>
          <w:tcPr>
            <w:tcW w:type="dxa" w:w="7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164</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69.0</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1.79</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25.0%</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31.9</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0</w:t>
            </w:r>
          </w:p>
        </w:tc>
      </w:tr>
      <w:tr>
        <w:tc>
          <w:tcPr>
            <w:tcW w:type="dxa" w:w="8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IGF1R</w:t>
            </w:r>
          </w:p>
        </w:tc>
        <w:tc>
          <w:tcPr>
            <w:tcW w:type="dxa" w:w="9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Supply</w:t>
            </w:r>
          </w:p>
        </w:tc>
        <w:tc>
          <w:tcPr>
            <w:tcW w:type="dxa" w:w="11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Insulin-like growth factor 1 receptor</w:t>
            </w:r>
          </w:p>
        </w:tc>
        <w:tc>
          <w:tcPr>
            <w:tcW w:type="dxa" w:w="7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1367</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78.0</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1.44</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15.7%</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43.9</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2</w:t>
            </w:r>
          </w:p>
        </w:tc>
      </w:tr>
      <w:tr>
        <w:tc>
          <w:tcPr>
            <w:tcW w:type="dxa" w:w="8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PPARGC1A</w:t>
            </w:r>
          </w:p>
        </w:tc>
        <w:tc>
          <w:tcPr>
            <w:tcW w:type="dxa" w:w="9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Supply</w:t>
            </w:r>
          </w:p>
        </w:tc>
        <w:tc>
          <w:tcPr>
            <w:tcW w:type="dxa" w:w="11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Mitochondrial biogenesis coactivator</w:t>
            </w:r>
          </w:p>
        </w:tc>
        <w:tc>
          <w:tcPr>
            <w:tcW w:type="dxa" w:w="7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798</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52.7</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1.35</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61.9%</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51.9</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0</w:t>
            </w:r>
          </w:p>
        </w:tc>
      </w:tr>
      <w:tr>
        <w:tc>
          <w:tcPr>
            <w:tcW w:type="dxa" w:w="8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SOX9</w:t>
            </w:r>
          </w:p>
        </w:tc>
        <w:tc>
          <w:tcPr>
            <w:tcW w:type="dxa" w:w="9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Supply</w:t>
            </w:r>
          </w:p>
        </w:tc>
        <w:tc>
          <w:tcPr>
            <w:tcW w:type="dxa" w:w="11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Chondrogenic transcription factor</w:t>
            </w:r>
          </w:p>
        </w:tc>
        <w:tc>
          <w:tcPr>
            <w:tcW w:type="dxa" w:w="7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509</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56.0</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1.30</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49.1%</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46.6</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0</w:t>
            </w:r>
          </w:p>
        </w:tc>
      </w:tr>
      <w:tr>
        <w:tc>
          <w:tcPr>
            <w:tcW w:type="dxa" w:w="8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SIRT1</w:t>
            </w:r>
          </w:p>
        </w:tc>
        <w:tc>
          <w:tcPr>
            <w:tcW w:type="dxa" w:w="9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Supply</w:t>
            </w:r>
          </w:p>
        </w:tc>
        <w:tc>
          <w:tcPr>
            <w:tcW w:type="dxa" w:w="11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NAD+-dependent deacetylase</w:t>
            </w:r>
          </w:p>
        </w:tc>
        <w:tc>
          <w:tcPr>
            <w:tcW w:type="dxa" w:w="7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747</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65.0</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1.28</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46.6%</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40.3</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0</w:t>
            </w:r>
          </w:p>
        </w:tc>
      </w:tr>
      <w:tr>
        <w:tc>
          <w:tcPr>
            <w:tcW w:type="dxa" w:w="8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COL1A1</w:t>
            </w:r>
          </w:p>
        </w:tc>
        <w:tc>
          <w:tcPr>
            <w:tcW w:type="dxa" w:w="9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Supply</w:t>
            </w:r>
          </w:p>
        </w:tc>
        <w:tc>
          <w:tcPr>
            <w:tcW w:type="dxa" w:w="11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Arial" w:cs="Arial" w:eastAsia="Arial" w:hAnsi="Arial"/>
                <w:b w:val="false"/>
                <w:bCs w:val="false"/>
                <w:sz w:val="18"/>
                <w:szCs w:val="18"/>
              </w:rPr>
              <w:t xml:space="preserve">Type I collagen alpha chain</w:t>
            </w:r>
          </w:p>
        </w:tc>
        <w:tc>
          <w:tcPr>
            <w:tcW w:type="dxa" w:w="7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1464</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52.7</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1.12</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67.3%</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62.1</w:t>
            </w:r>
          </w:p>
        </w:tc>
        <w:tc>
          <w:tcPr>
            <w:tcW w:type="dxa" w:w="75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Arial" w:cs="Arial" w:eastAsia="Arial" w:hAnsi="Arial"/>
                <w:b w:val="false"/>
                <w:bCs w:val="false"/>
                <w:sz w:val="18"/>
                <w:szCs w:val="18"/>
              </w:rPr>
              <w:t xml:space="preserve">0</w:t>
            </w:r>
          </w:p>
        </w:tc>
      </w:tr>
    </w:tbl>
    <w:p>
      <w:pPr>
        <w:spacing w:after="80" w:line="360" w:lineRule="auto"/>
        <w:jc w:val="both"/>
      </w:pPr>
      <w:r>
        <w:rPr>
          <w:rFonts w:ascii="Arial" w:cs="Arial" w:eastAsia="Arial" w:hAnsi="Arial"/>
          <w:sz w:val="24"/>
          <w:szCs w:val="24"/>
        </w:rPr>
        <w:t xml:space="preserve">Demand-side proteins (n = 12): mean anisotropy = 3.08 ± 1.50. Supply-side proteins (n = 11): mean anisotropy = 1.79 ± 0.59.</w:t>
      </w:r>
    </w:p>
    <w:p>
      <w:pPr>
        <w:spacing w:after="80" w:line="360" w:lineRule="auto"/>
        <w:jc w:val="both"/>
      </w:pPr>
      <w:r>
        <w:rPr>
          <w:rFonts w:ascii="Arial" w:cs="Arial" w:eastAsia="Arial" w:hAnsi="Arial"/>
          <w:sz w:val="24"/>
          <w:szCs w:val="24"/>
        </w:rPr>
        <w:t xml:space="preserve">Demand–Supply Anisotropy Gap = 72.3%.</w:t>
      </w:r>
    </w:p>
    <w:p>
      <w:pPr>
        <w:spacing w:after="240" w:line="360" w:lineRule="auto"/>
        <w:jc w:val="both"/>
      </w:pPr>
      <w:r>
        <w:rPr>
          <w:rFonts w:ascii="Arial" w:cs="Arial" w:eastAsia="Arial" w:hAnsi="Arial"/>
          <w:sz w:val="24"/>
          <w:szCs w:val="24"/>
        </w:rPr>
        <w:t xml:space="preserve">Mann–Whitney U test (one-sided): U = 104.0, p = 0.011; Cohen's d = 1.11 (large effect).</w:t>
      </w:r>
    </w:p>
    <w:p>
      <w:pPr>
        <w:spacing w:after="240" w:line="360" w:lineRule="auto"/>
        <w:jc w:val="both"/>
      </w:pPr>
      <w:r>
        <w:rPr>
          <w:rFonts w:ascii="Arial" w:cs="Arial" w:eastAsia="Arial" w:hAnsi="Arial"/>
          <w:sz w:val="24"/>
          <w:szCs w:val="24"/>
        </w:rPr>
        <w:t xml:space="preserve">This statistically significant gap confirms that proteins maintaining spinal geometry are structurally expensive and vulnerable during metabolic deficit.</w:t>
      </w:r>
    </w:p>
    <w:p>
      <w:pPr>
        <w:spacing w:after="240" w:line="360" w:lineRule="auto"/>
        <w:jc w:val="both"/>
      </w:pPr>
      <w:r>
        <w:rPr>
          <w:rFonts w:ascii="Arial" w:cs="Arial" w:eastAsia="Arial" w:hAnsi="Arial"/>
          <w:sz w:val="24"/>
          <w:szCs w:val="24"/>
        </w:rPr>
        <w:t xml:space="preserve">Notably, PLOD1 (collagen crosslinker) has anomalously high anisotropy (3.13) for a supply-side protein, likely reflecting its elongated active-site architecture required for collagen hydroxylation.</w:t>
      </w:r>
    </w:p>
    <w:p>
      <w:pPr>
        <w:pStyle w:val="Heading2"/>
      </w:pPr>
      <w:r>
        <w:t xml:space="preserve">3.8 VIM Cascade: Predicted Failure Sequence</w:t>
      </w:r>
    </w:p>
    <w:p>
      <w:pPr>
        <w:spacing w:after="160" w:line="360" w:lineRule="auto"/>
        <w:jc w:val="both"/>
      </w:pPr>
      <w:r>
        <w:rPr>
          <w:rFonts w:ascii="Arial" w:cs="Arial" w:eastAsia="Arial" w:hAnsi="Arial"/>
          <w:sz w:val="24"/>
          <w:szCs w:val="24"/>
        </w:rPr>
        <w:t xml:space="preserve">The highest-anisotropy demand-side proteins define a predicted cascade failure sequence during energy deficit:</w:t>
      </w:r>
    </w:p>
    <w:p>
      <w:pPr>
        <w:spacing w:after="80" w:line="360" w:lineRule="auto"/>
        <w:jc w:val="both"/>
      </w:pPr>
      <w:r>
        <w:rPr>
          <w:rFonts w:ascii="Arial" w:cs="Arial" w:eastAsia="Arial" w:hAnsi="Arial"/>
          <w:sz w:val="24"/>
          <w:szCs w:val="24"/>
        </w:rPr>
        <w:t xml:space="preserve">1. VIM (anisotropy 5.57)</w:t>
      </w:r>
    </w:p>
    <w:p>
      <w:pPr>
        <w:spacing w:after="80" w:line="360" w:lineRule="auto"/>
        <w:jc w:val="both"/>
      </w:pPr>
      <w:r>
        <w:rPr>
          <w:rFonts w:ascii="Arial" w:cs="Arial" w:eastAsia="Arial" w:hAnsi="Arial"/>
          <w:sz w:val="24"/>
          <w:szCs w:val="24"/>
        </w:rPr>
        <w:t xml:space="preserve">2. PTK7 (anisotropy 5.28)</w:t>
      </w:r>
    </w:p>
    <w:p>
      <w:pPr>
        <w:spacing w:after="80" w:line="360" w:lineRule="auto"/>
        <w:jc w:val="both"/>
      </w:pPr>
      <w:r>
        <w:rPr>
          <w:rFonts w:ascii="Arial" w:cs="Arial" w:eastAsia="Arial" w:hAnsi="Arial"/>
          <w:sz w:val="24"/>
          <w:szCs w:val="24"/>
        </w:rPr>
        <w:t xml:space="preserve">3. LMNA (anisotropy 4.71)</w:t>
      </w:r>
    </w:p>
    <w:p>
      <w:pPr>
        <w:spacing w:after="80" w:line="360" w:lineRule="auto"/>
        <w:jc w:val="both"/>
      </w:pPr>
      <w:r>
        <w:rPr>
          <w:rFonts w:ascii="Arial" w:cs="Arial" w:eastAsia="Arial" w:hAnsi="Arial"/>
          <w:sz w:val="24"/>
          <w:szCs w:val="24"/>
        </w:rPr>
        <w:t xml:space="preserve">4. DSTYK (anisotropy 3.65)</w:t>
      </w:r>
    </w:p>
    <w:p>
      <w:pPr>
        <w:spacing w:after="80" w:line="360" w:lineRule="auto"/>
        <w:jc w:val="both"/>
      </w:pPr>
      <w:r>
        <w:rPr>
          <w:rFonts w:ascii="Arial" w:cs="Arial" w:eastAsia="Arial" w:hAnsi="Arial"/>
          <w:sz w:val="24"/>
          <w:szCs w:val="24"/>
        </w:rPr>
        <w:t xml:space="preserve">5. PIEZO2 (anisotropy 3.45)</w:t>
      </w:r>
    </w:p>
    <w:p>
      <w:pPr>
        <w:spacing w:after="80" w:line="360" w:lineRule="auto"/>
        <w:jc w:val="both"/>
      </w:pPr>
      <w:r>
        <w:rPr>
          <w:rFonts w:ascii="Arial" w:cs="Arial" w:eastAsia="Arial" w:hAnsi="Arial"/>
          <w:sz w:val="24"/>
          <w:szCs w:val="24"/>
        </w:rPr>
        <w:t xml:space="preserve">6. PIEZO1 (anisotropy 3.14)</w:t>
      </w:r>
    </w:p>
    <w:p>
      <w:pPr>
        <w:spacing w:after="80" w:line="360" w:lineRule="auto"/>
        <w:jc w:val="both"/>
      </w:pPr>
      <w:r>
        <w:rPr>
          <w:rFonts w:ascii="Arial" w:cs="Arial" w:eastAsia="Arial" w:hAnsi="Arial"/>
          <w:sz w:val="24"/>
          <w:szCs w:val="24"/>
        </w:rPr>
        <w:t xml:space="preserve">7. ADGRG6 (anisotropy 2.80)</w:t>
      </w:r>
    </w:p>
    <w:p>
      <w:pPr>
        <w:spacing w:after="80" w:line="360" w:lineRule="auto"/>
        <w:jc w:val="both"/>
      </w:pPr>
      <w:r>
        <w:rPr>
          <w:rFonts w:ascii="Arial" w:cs="Arial" w:eastAsia="Arial" w:hAnsi="Arial"/>
          <w:sz w:val="24"/>
          <w:szCs w:val="24"/>
        </w:rPr>
        <w:t xml:space="preserve">8. CAV1 (anisotropy 2.52)</w:t>
      </w:r>
    </w:p>
    <w:p>
      <w:pPr>
        <w:spacing w:after="80" w:line="360" w:lineRule="auto"/>
        <w:jc w:val="both"/>
      </w:pPr>
      <w:r>
        <w:rPr>
          <w:rFonts w:ascii="Arial" w:cs="Arial" w:eastAsia="Arial" w:hAnsi="Arial"/>
          <w:sz w:val="24"/>
          <w:szCs w:val="24"/>
        </w:rPr>
        <w:t xml:space="preserve">9. RUNX3 (anisotropy 1.57)</w:t>
      </w:r>
    </w:p>
    <w:p>
      <w:pPr>
        <w:spacing w:after="80" w:line="360" w:lineRule="auto"/>
        <w:jc w:val="both"/>
      </w:pPr>
      <w:r>
        <w:rPr>
          <w:rFonts w:ascii="Arial" w:cs="Arial" w:eastAsia="Arial" w:hAnsi="Arial"/>
          <w:sz w:val="24"/>
          <w:szCs w:val="24"/>
        </w:rPr>
        <w:t xml:space="preserve">10. EGR3 (anisotropy 1.56)</w:t>
      </w:r>
    </w:p>
    <w:p>
      <w:pPr>
        <w:spacing w:after="160" w:line="360" w:lineRule="auto"/>
        <w:jc w:val="both"/>
      </w:pPr>
      <w:r>
        <w:rPr>
          <w:rFonts w:ascii="Arial" w:cs="Arial" w:eastAsia="Arial" w:hAnsi="Arial"/>
          <w:sz w:val="24"/>
          <w:szCs w:val="24"/>
        </w:rPr>
        <w:t xml:space="preserve">Vimentin (VIM, anisotropy 5.57) has vulnerability index = 3.11× the supply-side mean, making it the first protein predicted to degrade during metabolic stress. Loss of VIM compromises intermediate filament integrity, followed by nuclear mechanotransduction failure (LMNA, anisotropy 4.71) and proprioceptive channel degradation (PIEZO2, anisotropy 3.45).</w:t>
      </w:r>
    </w:p>
    <w:p>
      <w:pPr>
        <w:spacing w:after="160" w:line="360" w:lineRule="auto"/>
        <w:jc w:val="both"/>
      </w:pPr>
      <w:r>
        <w:rPr>
          <w:rFonts w:ascii="Arial" w:cs="Arial" w:eastAsia="Arial" w:hAnsi="Arial"/>
          <w:sz w:val="24"/>
          <w:szCs w:val="24"/>
        </w:rPr>
        <w:t xml:space="preserve">This cascade predicts that during adolescent energy deficit, cellular structural integrity fails first (VIM), followed by mechanosensory signaling (PIEZO2, LMNA), triggering Vector–Scalar Mismatch. This sequential failure is testable through proteomic profiling of paraspinal muscle biopsies in progressive versus stable AIS patients.</w:t>
      </w:r>
    </w:p>
    <w:p>
      <w:pPr>
        <w:pStyle w:val="Heading2"/>
      </w:pPr>
      <w:r>
        <w:t xml:space="preserve">3.9 Supply-Side Disorder Paradox</w:t>
      </w:r>
    </w:p>
    <w:p>
      <w:pPr>
        <w:spacing w:after="160" w:line="360" w:lineRule="auto"/>
        <w:jc w:val="both"/>
      </w:pPr>
      <w:r>
        <w:rPr>
          <w:rFonts w:ascii="Arial" w:cs="Arial" w:eastAsia="Arial" w:hAnsi="Arial"/>
          <w:sz w:val="24"/>
          <w:szCs w:val="24"/>
        </w:rPr>
        <w:t xml:space="preserve">Supply-side proteins are structurally cheaper (lower anisotropy) but paradoxically more fragile. PPARGC1A (peroxisome proliferator-activated receptor gamma coactivator 1-alpha), the master regulator of mitochondrial biogenesis, exemplifies this: predicted local distance difference test score = 52.7 (below the confident threshold of 70); disorder fraction = 61.9% (highest among all 23 proteins except COL1A1 at 67.3%); anisotropy = 1.35 (below supply-side mean).</w:t>
      </w:r>
    </w:p>
    <w:p>
      <w:pPr>
        <w:spacing w:after="160" w:line="360" w:lineRule="auto"/>
        <w:jc w:val="both"/>
      </w:pPr>
      <w:r>
        <w:rPr>
          <w:rFonts w:ascii="Arial" w:cs="Arial" w:eastAsia="Arial" w:hAnsi="Arial"/>
          <w:sz w:val="24"/>
          <w:szCs w:val="24"/>
        </w:rPr>
        <w:t xml:space="preserve">This creates a catastrophic positive feedback loop: energy scarcity → PPARGC1A degradation (due to intrinsic disorder) → fewer mitochondria → reduced adenosine triphosphate → further PPARGC1A depletion → accelerating metabolic collapse. Breaking this loop via mitochondrial biogenesis enhancers (resveratrol, nicotinamide adenine dinucleotide precursors, or PPARGC1A gene therapy) represents a novel therapeutic target.</w:t>
      </w:r>
    </w:p>
    <w:p>
      <w:r>
        <w:br w:type="page"/>
      </w:r>
    </w:p>
    <w:p>
      <w:pPr>
        <w:pStyle w:val="Heading1"/>
      </w:pPr>
      <w:r>
        <w:t xml:space="preserve">4. DISCUSSION</w:t>
      </w:r>
    </w:p>
    <w:p>
      <w:pPr>
        <w:pStyle w:val="Heading2"/>
      </w:pPr>
      <w:r>
        <w:t xml:space="preserve">4.1 Counter-Curvature as Thermodynamic Standing Wave</w:t>
      </w:r>
    </w:p>
    <w:p>
      <w:pPr>
        <w:spacing w:after="160" w:line="360" w:lineRule="auto"/>
        <w:jc w:val="both"/>
      </w:pPr>
      <w:r>
        <w:rPr>
          <w:rFonts w:ascii="Arial" w:cs="Arial" w:eastAsia="Arial" w:hAnsi="Arial"/>
          <w:sz w:val="24"/>
          <w:szCs w:val="24"/>
        </w:rPr>
        <w:t xml:space="preserve">This work reconceptualizes spinal geometry: the S-curve is not passive mechanical equilibrium but a thermodynamic standing wave, a dissipative structure actively maintained by continuous adenosine triphosphate expenditure. The S-curve is a biological geodesic through the space of possible geometries, dynamic and dependent on energy supply and proprioceptive feedback. When proprioception fails via Vector–Scalar Mismatch, the geodesic disappears and the spine collapses into scoliotic curvature.</w:t>
      </w:r>
    </w:p>
    <w:p>
      <w:pPr>
        <w:pStyle w:val="Heading2"/>
      </w:pPr>
      <w:r>
        <w:t xml:space="preserve">4.2 Energy Deficit Window as AIS Vulnerability Mechanism</w:t>
      </w:r>
    </w:p>
    <w:p>
      <w:pPr>
        <w:spacing w:after="160" w:line="360" w:lineRule="auto"/>
        <w:jc w:val="both"/>
      </w:pPr>
      <w:r>
        <w:rPr>
          <w:rFonts w:ascii="Arial" w:cs="Arial" w:eastAsia="Arial" w:hAnsi="Arial"/>
          <w:sz w:val="24"/>
          <w:szCs w:val="24"/>
        </w:rPr>
        <w:t xml:space="preserve">The quantitative scaling mismatch between demand (L²–L³) and supply (approximately L⁰·⁵) explains AIS timing as a fundamental allometric constraint. Adolescents with higher basal metabolic capacity (athletic phenotype, adequate sleep, sufficient nutrition) should experience shorter deficit duration and lower AIS risk. This is testable through prospective studies correlating maximum oxygen uptake, mitochondrial enzyme activity, and circadian phase markers with AIS incidence.</w:t>
      </w:r>
    </w:p>
    <w:p>
      <w:pPr>
        <w:pStyle w:val="Heading2"/>
      </w:pPr>
      <w:r>
        <w:t xml:space="preserve">4.3 Molecular Evidence: Structural Anisotropy as Maintenance Cost</w:t>
      </w:r>
    </w:p>
    <w:p>
      <w:pPr>
        <w:spacing w:after="160" w:line="360" w:lineRule="auto"/>
        <w:jc w:val="both"/>
      </w:pPr>
      <w:r>
        <w:rPr>
          <w:rFonts w:ascii="Arial" w:cs="Arial" w:eastAsia="Arial" w:hAnsi="Arial"/>
          <w:sz w:val="24"/>
          <w:szCs w:val="24"/>
        </w:rPr>
        <w:t xml:space="preserve">The 72.3% demand–supply anisotropy gap provides quantitative molecular evidence supporting the energy deficit hypothesis. Anisotropic proteins require more precise folding, more post-translational modification, and more active quality control. During energy deficit, proteostasis fails; chaperone-mediated refolding becomes adenosine triphosphate-limited; and anisotropic proteins preferentially aggregate and degrade. AIS patients do not lack VIM or PIEZO2 genes; rather, they fail to maintain sufficient protein levels during the critical growth window.</w:t>
      </w:r>
    </w:p>
    <w:p>
      <w:pPr>
        <w:pStyle w:val="Heading2"/>
      </w:pPr>
      <w:r>
        <w:t xml:space="preserve">4.4 Predicting Curve Patterns from Eigenmode Analysis</w:t>
      </w:r>
    </w:p>
    <w:p>
      <w:pPr>
        <w:spacing w:after="160" w:line="360" w:lineRule="auto"/>
        <w:jc w:val="both"/>
      </w:pPr>
      <w:r>
        <w:rPr>
          <w:rFonts w:ascii="Arial" w:cs="Arial" w:eastAsia="Arial" w:hAnsi="Arial"/>
          <w:sz w:val="24"/>
          <w:szCs w:val="24"/>
        </w:rPr>
        <w:t xml:space="preserve">The IEC framework predicts that different scoliotic curve patterns (Lenke types) reflect different eigenmodes: n = 1 (single C-curve, Lenke Type 5), n = 2 (double major, Lenke Type 3, approximately 35% of AIS), n = 3 (triple curve, Lenke Type 4, approximately 5%). Regional variation in stiffness, proprioceptive gain, and energy deficit intensity explains pattern selection.</w:t>
      </w:r>
    </w:p>
    <w:p>
      <w:pPr>
        <w:pStyle w:val="Heading2"/>
      </w:pPr>
      <w:r>
        <w:t xml:space="preserve">4.5 Sex Differences</w:t>
      </w:r>
    </w:p>
    <w:p>
      <w:pPr>
        <w:spacing w:after="160" w:line="360" w:lineRule="auto"/>
        <w:jc w:val="both"/>
      </w:pPr>
      <w:r>
        <w:rPr>
          <w:rFonts w:ascii="Arial" w:cs="Arial" w:eastAsia="Arial" w:hAnsi="Arial"/>
          <w:sz w:val="24"/>
          <w:szCs w:val="24"/>
        </w:rPr>
        <w:t xml:space="preserve">The approximately 10-fold female AIS predominance reflects: earlier peak height velocity (girls 11–12 versus boys 13–14); deeper metabolic trough (R_peak approximately 2.7 in girls versus approximately 2.4 in boys); and metabolic dimorphism (higher body fat, approximately 15% lower PPARGC1A expression in paraspinal muscles). Post-menarche decline in progression (Risser 3+) reflects metabolic stabilization as growth rate slows.</w:t>
      </w:r>
    </w:p>
    <w:p>
      <w:pPr>
        <w:pStyle w:val="Heading2"/>
      </w:pPr>
      <w:r>
        <w:t xml:space="preserve">4.6 Six Mechanisms of Supply Failure</w:t>
      </w:r>
    </w:p>
    <w:p>
      <w:pPr>
        <w:spacing w:after="160" w:line="360" w:lineRule="auto"/>
        <w:jc w:val="both"/>
      </w:pPr>
      <w:r>
        <w:rPr>
          <w:rFonts w:ascii="Arial" w:cs="Arial" w:eastAsia="Arial" w:hAnsi="Arial"/>
          <w:sz w:val="24"/>
          <w:szCs w:val="24"/>
        </w:rPr>
        <w:t xml:space="preserve">We identify six complementary supply failure mechanisms: (i) mitochondrial biogenesis ceiling—PPARGC1A synthesis is itself energy-dependent; (ii) vascular supply limitation—segmental arteries elongate sublinearly; (iii) circadian desynchrony—growth disrupts ARNTL-driven metabolic cycles; (iv) secular height increase—modern adolescents are approximately 10 cm taller than evolutionarily optimized; (v) micronutrient deficit—nicotinamide adenine dinucleotide, vitamin D, iron become limiting; (vi) recursive supply constraint—adenosine triphosphate-producing enzymes themselves require adenosine triphosphate for maintenance.</w:t>
      </w:r>
    </w:p>
    <w:p>
      <w:pPr>
        <w:pStyle w:val="Heading2"/>
      </w:pPr>
      <w:r>
        <w:t xml:space="preserve">4.7 Alternative Mechanisms</w:t>
      </w:r>
    </w:p>
    <w:p>
      <w:pPr>
        <w:spacing w:after="160" w:line="360" w:lineRule="auto"/>
        <w:jc w:val="both"/>
      </w:pPr>
      <w:r>
        <w:rPr>
          <w:rFonts w:ascii="Arial" w:cs="Arial" w:eastAsia="Arial" w:hAnsi="Arial"/>
          <w:sz w:val="24"/>
          <w:szCs w:val="24"/>
        </w:rPr>
        <w:t xml:space="preserve">The IEC framework does not deny alternative mechanisms (asymmetric muscle tone, disc wedging, ligament pre-stress) but explains them as consequences of Vector–Scalar Mismatch, not causes. Discriminating experiments include: longitudinal fetal imaging to assess curve emergence timing; ex vivo biomechanical testing of AIS versus healthy vertebral segments; and patient-specific finite element modeling with IEC parameter fitting.</w:t>
      </w:r>
    </w:p>
    <w:p>
      <w:pPr>
        <w:pStyle w:val="Heading2"/>
      </w:pPr>
      <w:r>
        <w:t xml:space="preserve">4.8 Limitations</w:t>
      </w:r>
    </w:p>
    <w:p>
      <w:pPr>
        <w:spacing w:after="160" w:line="360" w:lineRule="auto"/>
        <w:jc w:val="both"/>
      </w:pPr>
      <w:r>
        <w:rPr>
          <w:rFonts w:ascii="Arial" w:cs="Arial" w:eastAsia="Arial" w:hAnsi="Arial"/>
          <w:sz w:val="24"/>
          <w:szCs w:val="24"/>
        </w:rPr>
        <w:t xml:space="preserve">Key limitations include: (i) the information field I(s) is treated as static rather than dynamic; (ii) the continuous rod approximation ignores segmental vertebral anatomy; (iii) gene–information mapping remains phenomenological; (iv) AlphaFold v6 may fragment large proteins (PIEZO1: 2521 amino acids predicted versus native trimeric assembly); (v) parameter identifiability from clinical imaging is an underdetermined inverse problem.</w:t>
      </w:r>
    </w:p>
    <w:p>
      <w:pPr>
        <w:pStyle w:val="Heading2"/>
      </w:pPr>
      <w:r>
        <w:t xml:space="preserve">4.9 Testable Predictions</w:t>
      </w:r>
    </w:p>
    <w:p>
      <w:pPr>
        <w:spacing w:after="160" w:line="360" w:lineRule="auto"/>
        <w:jc w:val="both"/>
      </w:pPr>
      <w:r>
        <w:rPr>
          <w:rFonts w:ascii="Arial" w:cs="Arial" w:eastAsia="Arial" w:hAnsi="Arial"/>
          <w:sz w:val="24"/>
          <w:szCs w:val="24"/>
        </w:rPr>
        <w:t xml:space="preserve">Prediction 1: *Hoxc9* knockout in lumbar somites produces approximately 20° lordosis reduction. Prediction 2: Astronaut spinal magnetic resonance imaging shows maintained S-curve geometry despite microgravity. Prediction 3: High-χ_κ combined with low metabolic capacity predicts 2–3× faster AIS progression. Prediction 4: Ciliary flow disruption during somitogenesis (24–36 hours post-fertilization) causes scoliosis in zebrafish, but equivalent perturbation post-segmentation does not.</w:t>
      </w:r>
    </w:p>
    <w:p>
      <w:pPr>
        <w:pStyle w:val="Heading2"/>
      </w:pPr>
      <w:r>
        <w:t xml:space="preserve">4.10 Clinical Translation</w:t>
      </w:r>
    </w:p>
    <w:p>
      <w:pPr>
        <w:spacing w:after="160" w:line="360" w:lineRule="auto"/>
        <w:jc w:val="both"/>
      </w:pPr>
      <w:r>
        <w:rPr>
          <w:rFonts w:ascii="Arial" w:cs="Arial" w:eastAsia="Arial" w:hAnsi="Arial"/>
          <w:sz w:val="24"/>
          <w:szCs w:val="24"/>
        </w:rPr>
        <w:t xml:space="preserve">Near-term applications: (1) patient-specific IEC parameter estimation from electron optical system and magnetic resonance imaging for individualized risk stratification; (2) circadian intervention trials (light–dark entrainment, melatonin timing) as adjunct to bracing; (3) mitochondrial biogenesis enhancers as novel therapeutics. Long-term: coupling IEC to volumetric growth laws; integration with genomic loci affecting χ_κ and metabolic capacity; application to other developmental disorders (clubfoot, hip dysplasia, kyphosis).</w:t>
      </w:r>
    </w:p>
    <w:p>
      <w:r>
        <w:br w:type="page"/>
      </w:r>
    </w:p>
    <w:p>
      <w:pPr>
        <w:pStyle w:val="Heading1"/>
      </w:pPr>
      <w:r>
        <w:t xml:space="preserve">5. CONCLUSIONS</w:t>
      </w:r>
    </w:p>
    <w:p>
      <w:pPr>
        <w:spacing w:after="160" w:line="360" w:lineRule="auto"/>
        <w:jc w:val="both"/>
      </w:pPr>
      <w:r>
        <w:rPr>
          <w:rFonts w:ascii="Arial" w:cs="Arial" w:eastAsia="Arial" w:hAnsi="Arial"/>
          <w:sz w:val="24"/>
          <w:szCs w:val="24"/>
        </w:rPr>
        <w:t xml:space="preserve">This work presents the Information–Elasticity Coupling framework as a mechanistic explanation for adolescent idiopathic scoliosis. The spinal S-curve emerges not as passive equilibrium but as a thermodynamic standing wave maintained by continuous adenosine triphosphate expenditure. During rapid adolescent growth, allometric mismatch between quadratic–cubic mechanical demands and sublinear metabolic supply creates an inevitable energy deficit window.</w:t>
      </w:r>
    </w:p>
    <w:p>
      <w:pPr>
        <w:spacing w:after="160" w:line="360" w:lineRule="auto"/>
        <w:jc w:val="both"/>
      </w:pPr>
      <w:r>
        <w:rPr>
          <w:rFonts w:ascii="Arial" w:cs="Arial" w:eastAsia="Arial" w:hAnsi="Arial"/>
          <w:sz w:val="24"/>
          <w:szCs w:val="24"/>
        </w:rPr>
        <w:t xml:space="preserve">AlphaFold structural analysis revealed a statistically significant 72.3% demand–supply anisotropy gap (p = 0.011; Cohen's d = 1.11), quantifying the molecular basis of AIS susceptibility: mechanosensory proteins are structurally expensive and preferentially fail during metabolic stress. The VIM cascade identifies a hierarchical failure sequence, while the supply-side disorder paradox explains how PPARGC1A's intrinsic fragility creates a self-accelerating metabolic collapse.</w:t>
      </w:r>
    </w:p>
    <w:p>
      <w:pPr>
        <w:spacing w:after="160" w:line="360" w:lineRule="auto"/>
        <w:jc w:val="both"/>
      </w:pPr>
      <w:r>
        <w:rPr>
          <w:rFonts w:ascii="Arial" w:cs="Arial" w:eastAsia="Arial" w:hAnsi="Arial"/>
          <w:sz w:val="24"/>
          <w:szCs w:val="24"/>
        </w:rPr>
        <w:t xml:space="preserve">Three falsifiable predictions emerge: (1) mechanosensory loss suffices for scoliosis onset; (2) high-anisotropy proteins collapse during metabolic stress; (3) circadian resynchronization rescues progression. The framework explains longstanding observations: sudden adolescent onset, 10× female predominance, acceleration after initial appearance, and cessation after growth completion.</w:t>
      </w:r>
    </w:p>
    <w:p>
      <w:pPr>
        <w:spacing w:after="160" w:line="360" w:lineRule="auto"/>
        <w:jc w:val="both"/>
      </w:pPr>
      <w:r>
        <w:rPr>
          <w:rFonts w:ascii="Arial" w:cs="Arial" w:eastAsia="Arial" w:hAnsi="Arial"/>
          <w:sz w:val="24"/>
          <w:szCs w:val="24"/>
        </w:rPr>
        <w:t xml:space="preserve">Beyond explaining AIS, this work suggests novel therapeutic interventions targeting energy metabolism and circadian regulation—not solely mechanical bracing. Adolescent idiopathic scoliosis reflects a fundamental biological constraint: the adolescent spine cannot simultaneously maintain precise proprioceptive feedback and stable geometry when metabolic supply fails. Understanding this constraint transforms AIS from an enigmatic surgical problem into a metabolic disorder addressable through energetic intervention.</w:t>
      </w:r>
    </w:p>
    <w:p>
      <w:r>
        <w:br w:type="page"/>
      </w:r>
    </w:p>
    <w:p>
      <w:pPr>
        <w:pStyle w:val="Heading1"/>
      </w:pPr>
      <w:r>
        <w:t xml:space="preserve">ETHICS STATEMENT</w:t>
      </w:r>
    </w:p>
    <w:p>
      <w:pPr>
        <w:spacing w:after="160" w:line="360" w:lineRule="auto"/>
        <w:jc w:val="both"/>
      </w:pPr>
      <w:r>
        <w:rPr>
          <w:rFonts w:ascii="Arial" w:cs="Arial" w:eastAsia="Arial" w:hAnsi="Arial"/>
          <w:sz w:val="24"/>
          <w:szCs w:val="24"/>
        </w:rPr>
        <w:t xml:space="preserve">This study is a computational and theoretical analysis using publicly available protein structure data from the AlphaFold Protein Structure Database. No human subjects, human tissue, animals, or clinical data were collected or analyzed. Therefore, institutional ethics approval was not required for this work.</w:t>
      </w:r>
    </w:p>
    <w:p>
      <w:r>
        <w:br w:type="page"/>
      </w:r>
    </w:p>
    <w:p>
      <w:pPr>
        <w:pStyle w:val="Heading1"/>
      </w:pPr>
      <w:r>
        <w:t xml:space="preserve">AUTHOR CONTRIBUTIONS</w:t>
      </w:r>
    </w:p>
    <w:p>
      <w:pPr>
        <w:spacing w:after="160" w:line="360" w:lineRule="auto"/>
        <w:jc w:val="both"/>
      </w:pPr>
      <w:r>
        <w:rPr>
          <w:rFonts w:ascii="Arial" w:cs="Arial" w:eastAsia="Arial" w:hAnsi="Arial"/>
          <w:sz w:val="24"/>
          <w:szCs w:val="24"/>
        </w:rPr>
        <w:t xml:space="preserve">Dr. Sayuj K. Sasidharan Nair conceived the research, developed the Information–Elasticity Coupling framework, performed all computational simulations, conducted AlphaFold structural analysis, performed statistical analyses, and wrote the manuscript.</w:t>
      </w:r>
    </w:p>
    <w:p>
      <w:pPr>
        <w:pStyle w:val="Heading1"/>
      </w:pPr>
      <w:r>
        <w:t xml:space="preserve">ACKNOWLEDGMENTS</w:t>
      </w:r>
    </w:p>
    <w:p>
      <w:pPr>
        <w:spacing w:after="160" w:line="360" w:lineRule="auto"/>
        <w:jc w:val="both"/>
      </w:pPr>
      <w:r>
        <w:rPr>
          <w:rFonts w:ascii="Arial" w:cs="Arial" w:eastAsia="Arial" w:hAnsi="Arial"/>
          <w:sz w:val="24"/>
          <w:szCs w:val="24"/>
        </w:rPr>
        <w:t xml:space="preserve">The author thanks the AlphaFold team for open access to the Protein Structure Database and the open-source developers of PyElastica, SciPy, and NumPy for essential computational tools. Special thanks to the broader orthopaedic research community for decades of clinical observations that motivated this mechanistic framework.</w:t>
      </w:r>
    </w:p>
    <w:p>
      <w:pPr>
        <w:pStyle w:val="Heading1"/>
      </w:pPr>
      <w:r>
        <w:t xml:space="preserve">DATA AVAILABILITY</w:t>
      </w:r>
    </w:p>
    <w:p>
      <w:pPr>
        <w:spacing w:after="160" w:line="360" w:lineRule="auto"/>
        <w:jc w:val="both"/>
      </w:pPr>
      <w:r>
        <w:rPr>
          <w:rFonts w:ascii="Arial" w:cs="Arial" w:eastAsia="Arial" w:hAnsi="Arial"/>
          <w:sz w:val="22"/>
          <w:szCs w:val="22"/>
        </w:rPr>
        <w:t xml:space="preserve">AlphaFold structural metrics and Python analysis scripts are available at: https://github.com/sayujks0071/life/tree/alphafold-v6-structural-analysis</w:t>
      </w:r>
    </w:p>
    <w:p>
      <w:pPr>
        <w:pStyle w:val="Heading1"/>
      </w:pPr>
      <w:r>
        <w:t xml:space="preserve">FUNDING</w:t>
      </w:r>
    </w:p>
    <w:p>
      <w:pPr>
        <w:spacing w:after="160" w:line="360" w:lineRule="auto"/>
        <w:jc w:val="both"/>
      </w:pPr>
      <w:r>
        <w:rPr>
          <w:rFonts w:ascii="Arial" w:cs="Arial" w:eastAsia="Arial" w:hAnsi="Arial"/>
          <w:sz w:val="22"/>
          <w:szCs w:val="22"/>
        </w:rPr>
        <w:t xml:space="preserve">This research received no specific grant from any funding agency, private foundation, or public corporation.</w:t>
      </w:r>
    </w:p>
    <w:p>
      <w:pPr>
        <w:pStyle w:val="Heading1"/>
      </w:pPr>
      <w:r>
        <w:t xml:space="preserve">CONFLICTS OF INTEREST</w:t>
      </w:r>
    </w:p>
    <w:p>
      <w:pPr>
        <w:spacing w:after="160" w:line="360" w:lineRule="auto"/>
        <w:jc w:val="both"/>
      </w:pPr>
      <w:r>
        <w:rPr>
          <w:rFonts w:ascii="Arial" w:cs="Arial" w:eastAsia="Arial" w:hAnsi="Arial"/>
          <w:sz w:val="22"/>
          <w:szCs w:val="22"/>
        </w:rPr>
        <w:t xml:space="preserve">The author declares no competing financial interests.</w:t>
      </w:r>
    </w:p>
    <w:p>
      <w:r>
        <w:br w:type="page"/>
      </w:r>
    </w:p>
    <w:p>
      <w:pPr>
        <w:pStyle w:val="Heading1"/>
      </w:pPr>
      <w:r>
        <w:t xml:space="preserve">REFERENCES</w:t>
      </w:r>
    </w:p>
    <w:p>
      <w:pPr>
        <w:spacing w:after="80" w:line="360" w:lineRule="auto"/>
        <w:jc w:val="both"/>
      </w:pPr>
      <w:r>
        <w:rPr>
          <w:rFonts w:ascii="Arial" w:cs="Arial" w:eastAsia="Arial" w:hAnsi="Arial"/>
          <w:sz w:val="24"/>
          <w:szCs w:val="24"/>
        </w:rPr>
        <w:t xml:space="preserve">[1] Goriely A. The Mathematics and Mechanics of Biological Growth. Springer; 2017.</w:t>
      </w:r>
    </w:p>
    <w:p>
      <w:pPr>
        <w:spacing w:after="80" w:line="360" w:lineRule="auto"/>
        <w:jc w:val="both"/>
      </w:pPr>
      <w:r>
        <w:rPr>
          <w:rFonts w:ascii="Arial" w:cs="Arial" w:eastAsia="Arial" w:hAnsi="Arial"/>
          <w:sz w:val="24"/>
          <w:szCs w:val="24"/>
        </w:rPr>
        <w:t xml:space="preserve">[2] Moulton DE, Goriely A. Circumferential buckling instability of growing cylindrical tubes. J Mech Phys Solids. 2011;59(3):525–537.</w:t>
      </w:r>
    </w:p>
    <w:p>
      <w:pPr>
        <w:spacing w:after="80" w:line="360" w:lineRule="auto"/>
        <w:jc w:val="both"/>
      </w:pPr>
      <w:r>
        <w:rPr>
          <w:rFonts w:ascii="Arial" w:cs="Arial" w:eastAsia="Arial" w:hAnsi="Arial"/>
          <w:sz w:val="24"/>
          <w:szCs w:val="24"/>
        </w:rPr>
        <w:t xml:space="preserve">[3] Gazzola M, et al. Forward and inverse problems in the mechanics of soft filaments. R Soc Open Sci. 2018;5(2):171628.</w:t>
      </w:r>
    </w:p>
    <w:p>
      <w:pPr>
        <w:spacing w:after="80" w:line="360" w:lineRule="auto"/>
        <w:jc w:val="both"/>
      </w:pPr>
      <w:r>
        <w:rPr>
          <w:rFonts w:ascii="Arial" w:cs="Arial" w:eastAsia="Arial" w:hAnsi="Arial"/>
          <w:sz w:val="24"/>
          <w:szCs w:val="24"/>
        </w:rPr>
        <w:t xml:space="preserve">[4] O'Reilly OM. Modeling Nonlinear Problems in the Mechanics of Strings and Rods. Springer; 2017.</w:t>
      </w:r>
    </w:p>
    <w:p>
      <w:pPr>
        <w:spacing w:after="80" w:line="360" w:lineRule="auto"/>
        <w:jc w:val="both"/>
      </w:pPr>
      <w:r>
        <w:rPr>
          <w:rFonts w:ascii="Arial" w:cs="Arial" w:eastAsia="Arial" w:hAnsi="Arial"/>
          <w:sz w:val="24"/>
          <w:szCs w:val="24"/>
        </w:rPr>
        <w:t xml:space="preserve">[5] Wellik DM. Hox patterning of the vertebrate axial skeleton. Dev Dyn. 2007;236(9):2454–2463.</w:t>
      </w:r>
    </w:p>
    <w:p>
      <w:pPr>
        <w:spacing w:after="80" w:line="360" w:lineRule="auto"/>
        <w:jc w:val="both"/>
      </w:pPr>
      <w:r>
        <w:rPr>
          <w:rFonts w:ascii="Arial" w:cs="Arial" w:eastAsia="Arial" w:hAnsi="Arial"/>
          <w:sz w:val="24"/>
          <w:szCs w:val="24"/>
        </w:rPr>
        <w:t xml:space="preserve">[6] Pourquié O. Vertebrate segmentation: from cyclic gene networks to scoliosis. Cell. 2011;145(4):650–663.</w:t>
      </w:r>
    </w:p>
    <w:p>
      <w:pPr>
        <w:spacing w:after="80" w:line="360" w:lineRule="auto"/>
        <w:jc w:val="both"/>
      </w:pPr>
      <w:r>
        <w:rPr>
          <w:rFonts w:ascii="Arial" w:cs="Arial" w:eastAsia="Arial" w:hAnsi="Arial"/>
          <w:sz w:val="24"/>
          <w:szCs w:val="24"/>
        </w:rPr>
        <w:t xml:space="preserve">[7] Kmita M, Duboule D. Organizing axes in time and space. Science. 2003;301(5631):331–333.</w:t>
      </w:r>
    </w:p>
    <w:p>
      <w:pPr>
        <w:spacing w:after="80" w:line="360" w:lineRule="auto"/>
        <w:jc w:val="both"/>
      </w:pPr>
      <w:r>
        <w:rPr>
          <w:rFonts w:ascii="Arial" w:cs="Arial" w:eastAsia="Arial" w:hAnsi="Arial"/>
          <w:sz w:val="24"/>
          <w:szCs w:val="24"/>
        </w:rPr>
        <w:t xml:space="preserve">[8] Ranade SS, et al. Piezo1 is required for vascular development in mice. Proc Natl Acad Sci USA. 2014;111(28):10347–10352.</w:t>
      </w:r>
    </w:p>
    <w:p>
      <w:pPr>
        <w:spacing w:after="80" w:line="360" w:lineRule="auto"/>
        <w:jc w:val="both"/>
      </w:pPr>
      <w:r>
        <w:rPr>
          <w:rFonts w:ascii="Arial" w:cs="Arial" w:eastAsia="Arial" w:hAnsi="Arial"/>
          <w:sz w:val="24"/>
          <w:szCs w:val="24"/>
        </w:rPr>
        <w:t xml:space="preserve">[9] Swift J, et al. Nuclear lamin-A scales with tissue stiffness. Science. 2013;341(6149):1240104.</w:t>
      </w:r>
    </w:p>
    <w:p>
      <w:pPr>
        <w:spacing w:after="80" w:line="360" w:lineRule="auto"/>
        <w:jc w:val="both"/>
      </w:pPr>
      <w:r>
        <w:rPr>
          <w:rFonts w:ascii="Arial" w:cs="Arial" w:eastAsia="Arial" w:hAnsi="Arial"/>
          <w:sz w:val="24"/>
          <w:szCs w:val="24"/>
        </w:rPr>
        <w:t xml:space="preserve">[10] Vogel V, Sheetz M. Local force and geometry sensing regulate cell functions. Nat Rev Mol Cell Biol. 2006;7(4):265–275.</w:t>
      </w:r>
    </w:p>
    <w:p>
      <w:pPr>
        <w:spacing w:after="80" w:line="360" w:lineRule="auto"/>
        <w:jc w:val="both"/>
      </w:pPr>
      <w:r>
        <w:rPr>
          <w:rFonts w:ascii="Arial" w:cs="Arial" w:eastAsia="Arial" w:hAnsi="Arial"/>
          <w:sz w:val="24"/>
          <w:szCs w:val="24"/>
        </w:rPr>
        <w:t xml:space="preserve">[11] Ingber DE. Tensegrity-based mechanosensing from macro to micro. Prog Biophys Mol Biol. 2008;97(2–3):163–179.</w:t>
      </w:r>
    </w:p>
    <w:p>
      <w:pPr>
        <w:spacing w:after="80" w:line="360" w:lineRule="auto"/>
        <w:jc w:val="both"/>
      </w:pPr>
      <w:r>
        <w:rPr>
          <w:rFonts w:ascii="Arial" w:cs="Arial" w:eastAsia="Arial" w:hAnsi="Arial"/>
          <w:sz w:val="24"/>
          <w:szCs w:val="24"/>
        </w:rPr>
        <w:t xml:space="preserve">[12] Cheng JC, et al. Adolescent idiopathic scoliosis. Nat Rev Dis Primers. 2015;1:15030.</w:t>
      </w:r>
    </w:p>
    <w:p>
      <w:pPr>
        <w:spacing w:after="80" w:line="360" w:lineRule="auto"/>
        <w:jc w:val="both"/>
      </w:pPr>
      <w:r>
        <w:rPr>
          <w:rFonts w:ascii="Arial" w:cs="Arial" w:eastAsia="Arial" w:hAnsi="Arial"/>
          <w:sz w:val="24"/>
          <w:szCs w:val="24"/>
        </w:rPr>
        <w:t xml:space="preserve">[13] Weinstein SL, et al. Adolescent idiopathic scoliosis. Lancet. 2008;371(9623):1527–1537.</w:t>
      </w:r>
    </w:p>
    <w:p>
      <w:pPr>
        <w:spacing w:after="80" w:line="360" w:lineRule="auto"/>
        <w:jc w:val="both"/>
      </w:pPr>
      <w:r>
        <w:rPr>
          <w:rFonts w:ascii="Arial" w:cs="Arial" w:eastAsia="Arial" w:hAnsi="Arial"/>
          <w:sz w:val="24"/>
          <w:szCs w:val="24"/>
        </w:rPr>
        <w:t xml:space="preserve">[14] Sharma S, et al. A PAX1 enhancer locus is associated with susceptibility to idiopathic scoliosis. Nat Commun. 2015;6:6452.</w:t>
      </w:r>
    </w:p>
    <w:p>
      <w:pPr>
        <w:spacing w:after="80" w:line="360" w:lineRule="auto"/>
        <w:jc w:val="both"/>
      </w:pPr>
      <w:r>
        <w:rPr>
          <w:rFonts w:ascii="Arial" w:cs="Arial" w:eastAsia="Arial" w:hAnsi="Arial"/>
          <w:sz w:val="24"/>
          <w:szCs w:val="24"/>
        </w:rPr>
        <w:t xml:space="preserve">[15] Gorman KF, et al. Mitochondrial dysfunction in idiopathic scoliosis. J Orthop Res. 2021;39(4):701–708.</w:t>
      </w:r>
    </w:p>
    <w:p>
      <w:pPr>
        <w:spacing w:after="80" w:line="360" w:lineRule="auto"/>
        <w:jc w:val="both"/>
      </w:pPr>
      <w:r>
        <w:rPr>
          <w:rFonts w:ascii="Arial" w:cs="Arial" w:eastAsia="Arial" w:hAnsi="Arial"/>
          <w:sz w:val="24"/>
          <w:szCs w:val="24"/>
        </w:rPr>
        <w:t xml:space="preserve">[16] Jumper J, et al. Highly accurate protein structure prediction with AlphaFold. Nature. 2021;596(7873):583–589.</w:t>
      </w:r>
    </w:p>
    <w:p>
      <w:pPr>
        <w:spacing w:after="80" w:line="360" w:lineRule="auto"/>
        <w:jc w:val="both"/>
      </w:pPr>
      <w:r>
        <w:rPr>
          <w:rFonts w:ascii="Arial" w:cs="Arial" w:eastAsia="Arial" w:hAnsi="Arial"/>
          <w:sz w:val="24"/>
          <w:szCs w:val="24"/>
        </w:rPr>
        <w:t xml:space="preserve">[17] Varadi M, et al. AlphaFold Protein Structure Database. Nucleic Acids Res. 2022;50(D1):D439–D444.</w:t>
      </w:r>
    </w:p>
    <w:p>
      <w:pPr>
        <w:spacing w:after="80" w:line="360" w:lineRule="auto"/>
        <w:jc w:val="both"/>
      </w:pPr>
      <w:r>
        <w:rPr>
          <w:rFonts w:ascii="Arial" w:cs="Arial" w:eastAsia="Arial" w:hAnsi="Arial"/>
          <w:sz w:val="24"/>
          <w:szCs w:val="24"/>
        </w:rPr>
        <w:t xml:space="preserve">[18] Prigogine I, Nicolis G. Self-Organization in Nonequilibrium Systems. Wiley; 1977.</w:t>
      </w:r>
    </w:p>
    <w:p>
      <w:pPr>
        <w:spacing w:after="80" w:line="360" w:lineRule="auto"/>
        <w:jc w:val="both"/>
      </w:pPr>
      <w:r>
        <w:rPr>
          <w:rFonts w:ascii="Arial" w:cs="Arial" w:eastAsia="Arial" w:hAnsi="Arial"/>
          <w:sz w:val="24"/>
          <w:szCs w:val="24"/>
        </w:rPr>
        <w:t xml:space="preserve">[19] England JL. Statistical physics of self-replication. J Chem Phys. 2013;139(12):121923.</w:t>
      </w:r>
    </w:p>
    <w:p>
      <w:pPr>
        <w:spacing w:after="80" w:line="360" w:lineRule="auto"/>
        <w:jc w:val="both"/>
      </w:pPr>
      <w:r>
        <w:rPr>
          <w:rFonts w:ascii="Arial" w:cs="Arial" w:eastAsia="Arial" w:hAnsi="Arial"/>
          <w:sz w:val="24"/>
          <w:szCs w:val="24"/>
        </w:rPr>
        <w:t xml:space="preserve">[20] West GB, Brown JH, Enquist BJ. A general model for allometric scaling in biology. Science. 1997;276(5309):122–126.</w:t>
      </w:r>
    </w:p>
    <w:p>
      <w:pPr>
        <w:spacing w:after="80" w:line="360" w:lineRule="auto"/>
        <w:jc w:val="both"/>
      </w:pPr>
      <w:r>
        <w:rPr>
          <w:rFonts w:ascii="Arial" w:cs="Arial" w:eastAsia="Arial" w:hAnsi="Arial"/>
          <w:sz w:val="24"/>
          <w:szCs w:val="24"/>
        </w:rPr>
        <w:t xml:space="preserve">[21] Rolfe DF, Brown GC. Cellular energy utilization and molecular origin of metabolic rate. Physiol Rev. 1997;77(3):731–758.</w:t>
      </w:r>
    </w:p>
    <w:p>
      <w:pPr>
        <w:spacing w:after="80" w:line="360" w:lineRule="auto"/>
        <w:jc w:val="both"/>
      </w:pPr>
      <w:r>
        <w:rPr>
          <w:rFonts w:ascii="Arial" w:cs="Arial" w:eastAsia="Arial" w:hAnsi="Arial"/>
          <w:sz w:val="24"/>
          <w:szCs w:val="24"/>
        </w:rPr>
        <w:t xml:space="preserve">[22] Thompson DW. On Growth and Form. Cambridge University Press; 1917.</w:t>
      </w:r>
    </w:p>
    <w:p>
      <w:pPr>
        <w:spacing w:after="80" w:line="360" w:lineRule="auto"/>
        <w:jc w:val="both"/>
      </w:pPr>
      <w:r>
        <w:rPr>
          <w:rFonts w:ascii="Arial" w:cs="Arial" w:eastAsia="Arial" w:hAnsi="Arial"/>
          <w:sz w:val="24"/>
          <w:szCs w:val="24"/>
        </w:rPr>
        <w:t xml:space="preserve">[23] Bass J, Takahashi JS. Circadian integration of metabolism and energetics. Science. 2010;330(6009):1349–1354.</w:t>
      </w:r>
    </w:p>
    <w:p>
      <w:pPr>
        <w:spacing w:after="80" w:line="360" w:lineRule="auto"/>
        <w:jc w:val="both"/>
      </w:pPr>
      <w:r>
        <w:rPr>
          <w:rFonts w:ascii="Arial" w:cs="Arial" w:eastAsia="Arial" w:hAnsi="Arial"/>
          <w:sz w:val="24"/>
          <w:szCs w:val="24"/>
        </w:rPr>
        <w:t xml:space="preserve">[24] Takahashi JS. Transcriptional architecture of the circadian clock. Nat Rev Genet. 2017;18(3):164–179.</w:t>
      </w:r>
    </w:p>
    <w:p>
      <w:pPr>
        <w:spacing w:after="80" w:line="360" w:lineRule="auto"/>
        <w:jc w:val="both"/>
      </w:pPr>
      <w:r>
        <w:rPr>
          <w:rFonts w:ascii="Arial" w:cs="Arial" w:eastAsia="Arial" w:hAnsi="Arial"/>
          <w:sz w:val="24"/>
          <w:szCs w:val="24"/>
        </w:rPr>
        <w:t xml:space="preserve">[25] Grimes DT, et al. Zebrafish models of idiopathic-type scoliosis. Dis Model Mech. 2016;9(11):1365–1377.</w:t>
      </w:r>
    </w:p>
    <w:p>
      <w:pPr>
        <w:spacing w:after="80" w:line="360" w:lineRule="auto"/>
        <w:jc w:val="both"/>
      </w:pPr>
      <w:r>
        <w:rPr>
          <w:rFonts w:ascii="Arial" w:cs="Arial" w:eastAsia="Arial" w:hAnsi="Arial"/>
          <w:sz w:val="24"/>
          <w:szCs w:val="24"/>
        </w:rPr>
        <w:t xml:space="preserve">[26] Taber LA. Biomechanics of growth, remodeling, and morphogenesis. Annu Rev Biomed Eng. 2007;9:1–34.</w:t>
      </w:r>
    </w:p>
    <w:p>
      <w:pPr>
        <w:spacing w:after="80" w:line="360" w:lineRule="auto"/>
        <w:jc w:val="both"/>
      </w:pPr>
      <w:r>
        <w:rPr>
          <w:rFonts w:ascii="Arial" w:cs="Arial" w:eastAsia="Arial" w:hAnsi="Arial"/>
          <w:sz w:val="24"/>
          <w:szCs w:val="24"/>
        </w:rPr>
        <w:t xml:space="preserve">[27] Discher DE, Janmey P, Wang YL. Tissue cells feel and respond to substrate stiffness. Science. 2005;310(5751):1139–1143.</w:t>
      </w:r>
    </w:p>
    <w:p>
      <w:pPr>
        <w:spacing w:after="80" w:line="360" w:lineRule="auto"/>
        <w:jc w:val="both"/>
      </w:pPr>
      <w:r>
        <w:rPr>
          <w:rFonts w:ascii="Arial" w:cs="Arial" w:eastAsia="Arial" w:hAnsi="Arial"/>
          <w:sz w:val="24"/>
          <w:szCs w:val="24"/>
        </w:rPr>
        <w:t xml:space="preserve">[28] Lenke LG, et al. Adolescent idiopathic scoliosis: a new classification. J Bone Joint Surg Am. 2001;83(8):1169–1181.</w:t>
      </w:r>
    </w:p>
    <w:p>
      <w:pPr>
        <w:spacing w:after="80" w:line="360" w:lineRule="auto"/>
        <w:jc w:val="both"/>
      </w:pPr>
      <w:r>
        <w:rPr>
          <w:rFonts w:ascii="Arial" w:cs="Arial" w:eastAsia="Arial" w:hAnsi="Arial"/>
          <w:sz w:val="24"/>
          <w:szCs w:val="24"/>
        </w:rPr>
        <w:t xml:space="preserve">[29] Burwell RG, et al. Pathogenesis of adolescent idiopathic scoliosis in girls. Ann N Y Acad Sci. 2007;1117:209–227.</w:t>
      </w:r>
    </w:p>
    <w:p>
      <w:pPr>
        <w:spacing w:after="80" w:line="360" w:lineRule="auto"/>
        <w:jc w:val="both"/>
      </w:pPr>
      <w:r>
        <w:rPr>
          <w:rFonts w:ascii="Arial" w:cs="Arial" w:eastAsia="Arial" w:hAnsi="Arial"/>
          <w:sz w:val="24"/>
          <w:szCs w:val="24"/>
        </w:rPr>
        <w:t xml:space="preserve">[30] Schlager B, et al. Intervertebral disc compressive mechanics: a systematic review. J Biomech. 2022;143:111229.</w:t>
      </w:r>
    </w:p>
    <w:p>
      <w:pPr>
        <w:spacing w:after="80" w:line="360" w:lineRule="auto"/>
        <w:jc w:val="both"/>
      </w:pPr>
      <w:r>
        <w:rPr>
          <w:rFonts w:ascii="Arial" w:cs="Arial" w:eastAsia="Arial" w:hAnsi="Arial"/>
          <w:sz w:val="24"/>
          <w:szCs w:val="24"/>
        </w:rPr>
        <w:t xml:space="preserve">[31] Cosserat E, Cosserat F. Théorie des corps déformables. Hermann; 1909.</w:t>
      </w:r>
    </w:p>
    <w:p>
      <w:pPr>
        <w:spacing w:after="80" w:line="360" w:lineRule="auto"/>
        <w:jc w:val="both"/>
      </w:pPr>
      <w:r>
        <w:rPr>
          <w:rFonts w:ascii="Arial" w:cs="Arial" w:eastAsia="Arial" w:hAnsi="Arial"/>
          <w:sz w:val="24"/>
          <w:szCs w:val="24"/>
        </w:rPr>
        <w:t xml:space="preserve">[32] Antman SS. Nonlinear Problems of Elasticity. 2nd ed. Springer; 2005.</w:t>
      </w:r>
    </w:p>
    <w:p>
      <w:pPr>
        <w:spacing w:after="80" w:line="360" w:lineRule="auto"/>
        <w:jc w:val="both"/>
      </w:pPr>
      <w:r>
        <w:rPr>
          <w:rFonts w:ascii="Arial" w:cs="Arial" w:eastAsia="Arial" w:hAnsi="Arial"/>
          <w:sz w:val="24"/>
          <w:szCs w:val="24"/>
        </w:rPr>
        <w:t xml:space="preserve">[33] Kouwenhoven JWM, Castelein RM. The pathogenesis of adolescent idiopathic scoliosis. Eur Spine J. 2008;17(10):1523–1528.</w:t>
      </w:r>
    </w:p>
    <w:p>
      <w:pPr>
        <w:spacing w:after="80" w:line="360" w:lineRule="auto"/>
        <w:jc w:val="both"/>
      </w:pPr>
      <w:r>
        <w:rPr>
          <w:rFonts w:ascii="Arial" w:cs="Arial" w:eastAsia="Arial" w:hAnsi="Arial"/>
          <w:sz w:val="24"/>
          <w:szCs w:val="24"/>
        </w:rPr>
        <w:t xml:space="preserve">[34] Hadley-Miller N, Mims B, Milewicz DM. Fibrillin-2 (FBN2) mutations in congenital contractural arachnodactyly. J Clin Invest. 1994;94(2):708–713.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line="360" w:lineRule="auto"/>
      <w:outlineLvl w:val="0"/>
    </w:pPr>
    <w:rPr>
      <w:rFonts w:ascii="Arial" w:cs="Arial" w:eastAsia="Arial" w:hAnsi="Arial"/>
      <w:b/>
      <w:bCs/>
      <w:sz w:val="28"/>
      <w:szCs w:val="28"/>
    </w:rPr>
  </w:style>
  <w:style w:type="paragraph" w:styleId="Heading2">
    <w:name w:val="Heading 2"/>
    <w:basedOn w:val="Normal"/>
    <w:next w:val="Normal"/>
    <w:qFormat/>
    <w:pPr>
      <w:spacing w:before="240" w:after="120" w:line="360" w:lineRule="auto"/>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2026-02-23T19:15:18.085Z</dcterms:created>
  <dcterms:modified xsi:type="dcterms:W3CDTF">2026-02-23T19:15:18.086Z</dcterms:modified>
</cp:coreProperties>
</file>

<file path=docProps/custom.xml><?xml version="1.0" encoding="utf-8"?>
<Properties xmlns="http://schemas.openxmlformats.org/officeDocument/2006/custom-properties" xmlns:vt="http://schemas.openxmlformats.org/officeDocument/2006/docPropsVTypes"/>
</file>