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imes New Roman" w:cs="Times New Roman" w:eastAsia="Times New Roman" w:hAnsi="Times New Roman"/>
          <w:b/>
          <w:bCs/>
          <w:sz w:val="36"/>
          <w:szCs w:val="36"/>
        </w:rPr>
        <w:t xml:space="preserve">SUPPLEMENTARY THEORETICAL ADDITIONS</w:t>
      </w:r>
    </w:p>
    <w:p>
      <w:pPr>
        <w:spacing w:after="120"/>
        <w:jc w:val="center"/>
      </w:pPr>
      <w:r>
        <w:rPr>
          <w:rFonts w:ascii="Times New Roman" w:cs="Times New Roman" w:eastAsia="Times New Roman" w:hAnsi="Times New Roman"/>
          <w:sz w:val="24"/>
          <w:szCs w:val="24"/>
        </w:rPr>
        <w:t xml:space="preserve">for the manuscript</w:t>
      </w:r>
    </w:p>
    <w:p>
      <w:pPr>
        <w:spacing w:after="400"/>
        <w:jc w:val="center"/>
      </w:pPr>
      <w:r>
        <w:rPr>
          <w:rFonts w:ascii="Times New Roman" w:cs="Times New Roman" w:eastAsia="Times New Roman" w:hAnsi="Times New Roman"/>
          <w:i/>
          <w:iCs/>
          <w:sz w:val="26"/>
          <w:szCs w:val="26"/>
        </w:rPr>
        <w:t xml:space="preserve">Biological Countercurvature of Spacetime: An Information–Cosserat Framework for Vertebral Geometry</w:t>
      </w:r>
    </w:p>
    <w:p>
      <w:pPr>
        <w:spacing w:after="80"/>
        <w:jc w:val="center"/>
      </w:pPr>
      <w:r>
        <w:rPr>
          <w:rFonts w:ascii="Times New Roman" w:cs="Times New Roman" w:eastAsia="Times New Roman" w:hAnsi="Times New Roman"/>
          <w:sz w:val="24"/>
          <w:szCs w:val="24"/>
        </w:rPr>
        <w:t xml:space="preserve">Missing Mechanistic Foundations:</w:t>
      </w:r>
    </w:p>
    <w:p>
      <w:pPr>
        <w:spacing w:after="400"/>
        <w:jc w:val="center"/>
      </w:pPr>
      <w:r>
        <w:rPr>
          <w:rFonts w:ascii="Times New Roman" w:cs="Times New Roman" w:eastAsia="Times New Roman" w:hAnsi="Times New Roman"/>
          <w:b/>
          <w:bCs/>
          <w:sz w:val="26"/>
          <w:szCs w:val="26"/>
        </w:rPr>
        <w:t xml:space="preserve">Protein-Level Biophysics, Thermodynamic Instability, and Tensor Coupling</w:t>
      </w:r>
    </w:p>
    <w:p>
      <w:pPr>
        <w:spacing w:after="80"/>
        <w:jc w:val="center"/>
      </w:pPr>
      <w:r>
        <w:rPr>
          <w:rFonts w:ascii="Times New Roman" w:cs="Times New Roman" w:eastAsia="Times New Roman" w:hAnsi="Times New Roman"/>
          <w:sz w:val="24"/>
          <w:szCs w:val="24"/>
        </w:rPr>
        <w:t xml:space="preserve">Dr. Sayuj Krishnan S, MBBS, DNB (Neurosurgery)</w:t>
      </w:r>
    </w:p>
    <w:p>
      <w:pPr>
        <w:spacing w:after="80"/>
        <w:jc w:val="center"/>
      </w:pPr>
      <w:r>
        <w:rPr>
          <w:rFonts w:ascii="Times New Roman" w:cs="Times New Roman" w:eastAsia="Times New Roman" w:hAnsi="Times New Roman"/>
          <w:sz w:val="22"/>
          <w:szCs w:val="22"/>
        </w:rPr>
        <w:t xml:space="preserve">Consultant Neurosurgeon and Spine Surgeon</w:t>
      </w:r>
    </w:p>
    <w:p>
      <w:pPr>
        <w:spacing w:after="600"/>
        <w:jc w:val="center"/>
      </w:pPr>
      <w:r>
        <w:rPr>
          <w:rFonts w:ascii="Times New Roman" w:cs="Times New Roman" w:eastAsia="Times New Roman" w:hAnsi="Times New Roman"/>
          <w:sz w:val="22"/>
          <w:szCs w:val="22"/>
        </w:rPr>
        <w:t xml:space="preserve">Yashoda Hospitals, Malakpet, Hyderabad, India</w:t>
      </w:r>
    </w:p>
    <w:p>
      <w:pPr>
        <w:jc w:val="center"/>
      </w:pPr>
      <w:r>
        <w:rPr>
          <w:rFonts w:ascii="Times New Roman" w:cs="Times New Roman" w:eastAsia="Times New Roman" w:hAnsi="Times New Roman"/>
          <w:i/>
          <w:iCs/>
          <w:color w:val="666666"/>
          <w:sz w:val="20"/>
          <w:szCs w:val="20"/>
        </w:rPr>
        <w:t xml:space="preserve">Document prepared: February 2026</w:t>
      </w:r>
    </w:p>
    <w:p>
      <w:r>
        <w:br w:type="page"/>
      </w:r>
    </w:p>
    <w:p>
      <w:pPr>
        <w:pStyle w:val="Heading1"/>
        <w:spacing w:before="360" w:after="200"/>
      </w:pPr>
      <w:r>
        <w:rPr>
          <w:rFonts w:ascii="Times New Roman" w:cs="Times New Roman" w:eastAsia="Times New Roman" w:hAnsi="Times New Roman"/>
          <w:b/>
          <w:bCs/>
          <w:sz w:val="32"/>
          <w:szCs w:val="32"/>
        </w:rPr>
        <w:t xml:space="preserve">Document Overview</w:t>
      </w:r>
    </w:p>
    <w:p>
      <w:pPr>
        <w:spacing w:after="120" w:line="360"/>
      </w:pPr>
      <w:r>
        <w:rPr>
          <w:rFonts w:ascii="Times New Roman" w:cs="Times New Roman" w:eastAsia="Times New Roman" w:hAnsi="Times New Roman"/>
          <w:sz w:val="24"/>
          <w:szCs w:val="24"/>
        </w:rPr>
        <w:t xml:space="preserve">This document contains the missing mechanistic foundations for the Information–Elasticity Coupling (IEC) manuscript. Each section is written in manuscript-ready prose with equations, tables, and figure placeholders formatted for direct integration into the existing LaTeX document. The additions span four major theoretical components:</w:t>
      </w:r>
    </w:p>
    <w:p>
      <w:pPr>
        <w:spacing w:after="120" w:line="360"/>
        <w:ind w:firstLine="720"/>
      </w:pPr>
      <w:r>
        <w:rPr>
          <w:rFonts w:ascii="Times New Roman" w:cs="Times New Roman" w:eastAsia="Times New Roman" w:hAnsi="Times New Roman"/>
          <w:b/>
          <w:bCs/>
          <w:sz w:val="24"/>
          <w:szCs w:val="24"/>
        </w:rPr>
        <w:t xml:space="preserve">Section 1 — Theory: </w:t>
      </w:r>
      <w:r>
        <w:rPr>
          <w:rFonts w:ascii="Times New Roman" w:cs="Times New Roman" w:eastAsia="Times New Roman" w:hAnsi="Times New Roman"/>
          <w:sz w:val="24"/>
          <w:szCs w:val="24"/>
        </w:rPr>
        <w:t xml:space="preserve">Protein-Level Biophysical Foundations and Thermodynamic Constraints (~1,200 words). Provides the multi-scale mechanistic chain from protein structure to organ geometry, formalises the mechanosensory–growth protein dichotomy, introduces the energy balance equation, and develops the tensor structure of IEC.</w:t>
      </w:r>
    </w:p>
    <w:p>
      <w:pPr>
        <w:spacing w:after="120" w:line="360"/>
        <w:ind w:firstLine="720"/>
      </w:pPr>
      <w:r>
        <w:rPr>
          <w:rFonts w:ascii="Times New Roman" w:cs="Times New Roman" w:eastAsia="Times New Roman" w:hAnsi="Times New Roman"/>
          <w:b/>
          <w:bCs/>
          <w:sz w:val="24"/>
          <w:szCs w:val="24"/>
        </w:rPr>
        <w:t xml:space="preserve">Section 2 — Results: </w:t>
      </w:r>
      <w:r>
        <w:rPr>
          <w:rFonts w:ascii="Times New Roman" w:cs="Times New Roman" w:eastAsia="Times New Roman" w:hAnsi="Times New Roman"/>
          <w:sz w:val="24"/>
          <w:szCs w:val="24"/>
        </w:rPr>
        <w:t xml:space="preserve">Thermodynamic Instability Windows Predict Scoliotic Vulnerability (~500 words). Presents the energy deficit time course, correlates deficit magnitude with Cobb angle severity, and validates against AIS epidemiological data.</w:t>
      </w:r>
    </w:p>
    <w:p>
      <w:pPr>
        <w:spacing w:after="120" w:line="360"/>
        <w:ind w:firstLine="720"/>
      </w:pPr>
      <w:r>
        <w:rPr>
          <w:rFonts w:ascii="Times New Roman" w:cs="Times New Roman" w:eastAsia="Times New Roman" w:hAnsi="Times New Roman"/>
          <w:b/>
          <w:bCs/>
          <w:sz w:val="24"/>
          <w:szCs w:val="24"/>
        </w:rPr>
        <w:t xml:space="preserve">Section 3 — Results: </w:t>
      </w:r>
      <w:r>
        <w:rPr>
          <w:rFonts w:ascii="Times New Roman" w:cs="Times New Roman" w:eastAsia="Times New Roman" w:hAnsi="Times New Roman"/>
          <w:sz w:val="24"/>
          <w:szCs w:val="24"/>
        </w:rPr>
        <w:t xml:space="preserve">Vector Mismatch Localises Scoliotic Deviations (~500 words). Introduces the alignment parameter, maps information gradient versus stress direction, and explains directional selectivity of scoliotic curvature.</w:t>
      </w:r>
    </w:p>
    <w:p>
      <w:pPr>
        <w:spacing w:after="120" w:line="360"/>
        <w:ind w:firstLine="720"/>
      </w:pPr>
      <w:r>
        <w:rPr>
          <w:rFonts w:ascii="Times New Roman" w:cs="Times New Roman" w:eastAsia="Times New Roman" w:hAnsi="Times New Roman"/>
          <w:b/>
          <w:bCs/>
          <w:sz w:val="24"/>
          <w:szCs w:val="24"/>
        </w:rPr>
        <w:t xml:space="preserve">Section 4 — Methods: </w:t>
      </w:r>
      <w:r>
        <w:rPr>
          <w:rFonts w:ascii="Times New Roman" w:cs="Times New Roman" w:eastAsia="Times New Roman" w:hAnsi="Times New Roman"/>
          <w:sz w:val="24"/>
          <w:szCs w:val="24"/>
        </w:rPr>
        <w:t xml:space="preserve">Multi-Scale Protein Mechanics Pipeline (~900 words). Expands the existing AlphaFold subsection into a complete five-level pipeline with steered MD, coarse-graining, tissue homogenisation, and validation protocols.</w:t>
      </w:r>
    </w:p>
    <w:p>
      <w:pPr>
        <w:spacing w:after="120" w:line="360"/>
        <w:ind w:firstLine="720"/>
      </w:pPr>
      <w:r>
        <w:rPr>
          <w:rFonts w:ascii="Times New Roman" w:cs="Times New Roman" w:eastAsia="Times New Roman" w:hAnsi="Times New Roman"/>
          <w:b/>
          <w:bCs/>
          <w:sz w:val="24"/>
          <w:szCs w:val="24"/>
        </w:rPr>
        <w:t xml:space="preserve">Section 5 — Integration Paragraphs: </w:t>
      </w:r>
      <w:r>
        <w:rPr>
          <w:rFonts w:ascii="Times New Roman" w:cs="Times New Roman" w:eastAsia="Times New Roman" w:hAnsi="Times New Roman"/>
          <w:sz w:val="24"/>
          <w:szCs w:val="24"/>
        </w:rPr>
        <w:t xml:space="preserve">Ready-to-insert text for Introduction, Discussion (mechanism and limitations subsections), and Supplementary Materials descriptions.</w:t>
      </w:r>
    </w:p>
    <w:p>
      <w:pPr>
        <w:spacing w:after="120" w:line="360"/>
        <w:ind w:firstLine="720"/>
      </w:pPr>
      <w:r>
        <w:rPr>
          <w:rFonts w:ascii="Times New Roman" w:cs="Times New Roman" w:eastAsia="Times New Roman" w:hAnsi="Times New Roman"/>
          <w:b/>
          <w:bCs/>
          <w:sz w:val="24"/>
          <w:szCs w:val="24"/>
        </w:rPr>
        <w:t xml:space="preserve">Section 6 — Key Equations: </w:t>
      </w:r>
      <w:r>
        <w:rPr>
          <w:rFonts w:ascii="Times New Roman" w:cs="Times New Roman" w:eastAsia="Times New Roman" w:hAnsi="Times New Roman"/>
          <w:sz w:val="24"/>
          <w:szCs w:val="24"/>
        </w:rPr>
        <w:t xml:space="preserve">Consolidated listing of all new equations with LaTeX code for direct insertion.</w:t>
      </w:r>
    </w:p>
    <w:p>
      <w:r>
        <w:br w:type="page"/>
      </w:r>
    </w:p>
    <w:p>
      <w:pPr>
        <w:pStyle w:val="Heading1"/>
        <w:spacing w:before="360" w:after="200"/>
      </w:pPr>
      <w:r>
        <w:rPr>
          <w:rFonts w:ascii="Times New Roman" w:cs="Times New Roman" w:eastAsia="Times New Roman" w:hAnsi="Times New Roman"/>
          <w:b/>
          <w:bCs/>
          <w:sz w:val="32"/>
          <w:szCs w:val="32"/>
        </w:rPr>
        <w:t xml:space="preserve">Section 1: Theory — Protein-Level Biophysical Foundations and Thermodynamic Constraints</w:t>
      </w:r>
    </w:p>
    <w:p>
      <w:pPr>
        <w:spacing w:after="120"/>
      </w:pPr>
      <w:r>
        <w:rPr>
          <w:rFonts w:ascii="Times New Roman" w:cs="Times New Roman" w:eastAsia="Times New Roman" w:hAnsi="Times New Roman"/>
          <w:i/>
          <w:iCs/>
          <w:color w:val="990000"/>
          <w:sz w:val="20"/>
          <w:szCs w:val="20"/>
        </w:rPr>
        <w:t xml:space="preserve">[Insert as new subsection after §2.7 “The Spinal Clock and Convective Shutdown”]</w:t>
      </w:r>
    </w:p>
    <w:p>
      <w:pPr>
        <w:pStyle w:val="Heading2"/>
        <w:spacing w:before="280" w:after="160"/>
      </w:pPr>
      <w:r>
        <w:rPr>
          <w:rFonts w:ascii="Times New Roman" w:cs="Times New Roman" w:eastAsia="Times New Roman" w:hAnsi="Times New Roman"/>
          <w:b/>
          <w:bCs/>
          <w:sz w:val="28"/>
          <w:szCs w:val="28"/>
        </w:rPr>
        <w:t xml:space="preserve">1.1  The Multi-Scale Mechanistic Chain</w:t>
      </w:r>
    </w:p>
    <w:p>
      <w:pPr>
        <w:spacing w:after="120" w:line="360"/>
      </w:pPr>
      <w:r>
        <w:rPr>
          <w:rFonts w:ascii="Times New Roman" w:cs="Times New Roman" w:eastAsia="Times New Roman" w:hAnsi="Times New Roman"/>
          <w:sz w:val="24"/>
          <w:szCs w:val="24"/>
        </w:rPr>
        <w:t xml:space="preserve">The IEC framework connects developmental patterning to macroscopic geometry, but the physical mechanism by which a transcription factor concentration translates into a tissue elastic modulus must be made explicit. We identify five hierarchical levels of organisation that collectively define the information–to–elasticity pipeline, each amenable to independent experimental measurement and computational prediction.</w:t>
      </w:r>
    </w:p>
    <w:p>
      <w:pPr>
        <w:spacing w:after="120" w:line="360"/>
        <w:ind w:firstLine="720"/>
      </w:pPr>
      <w:r>
        <w:rPr>
          <w:rFonts w:ascii="Times New Roman" w:cs="Times New Roman" w:eastAsia="Times New Roman" w:hAnsi="Times New Roman"/>
          <w:sz w:val="24"/>
          <w:szCs w:val="24"/>
        </w:rPr>
        <w:t xml:space="preserve">At </w:t>
      </w:r>
      <w:r>
        <w:rPr>
          <w:rFonts w:ascii="Times New Roman" w:cs="Times New Roman" w:eastAsia="Times New Roman" w:hAnsi="Times New Roman"/>
          <w:b/>
          <w:bCs/>
          <w:sz w:val="24"/>
          <w:szCs w:val="24"/>
        </w:rPr>
        <w:t xml:space="preserve">Level 1 (Protein Structure)</w:t>
      </w:r>
      <w:r>
        <w:rPr>
          <w:rFonts w:ascii="Times New Roman" w:cs="Times New Roman" w:eastAsia="Times New Roman" w:hAnsi="Times New Roman"/>
          <w:sz w:val="24"/>
          <w:szCs w:val="24"/>
        </w:rPr>
        <w:t xml:space="preserve">, HOX-regulated target genes encode the primary amino acid sequences of structural and mechanosensory proteins. AlphaFold structure prediction yields three-dimensional conformations—collagen triple-helix pitch, proteoglycan bottle-brush architecture, fibrillin elastic domain repeats—with per-residue confidence (pLDDT) providing a proxy for conformational certainty. Critical structural features at this level include the axial periodicity of the collagen triple helix (~300 nm), the glycosaminoglycan (GAG) chain length of aggrecan (~100 chondroitin sulphate chains per core protein), and the calcium-binding EGF-like repeats of fibrillin-1 that confer elastic recoil.</w:t>
      </w:r>
    </w:p>
    <w:p>
      <w:pPr>
        <w:spacing w:after="120" w:line="360"/>
        <w:ind w:firstLine="720"/>
      </w:pPr>
      <w:r>
        <w:rPr>
          <w:rFonts w:ascii="Times New Roman" w:cs="Times New Roman" w:eastAsia="Times New Roman" w:hAnsi="Times New Roman"/>
          <w:sz w:val="24"/>
          <w:szCs w:val="24"/>
        </w:rPr>
        <w:t xml:space="preserve">At </w:t>
      </w:r>
      <w:r>
        <w:rPr>
          <w:rFonts w:ascii="Times New Roman" w:cs="Times New Roman" w:eastAsia="Times New Roman" w:hAnsi="Times New Roman"/>
          <w:b/>
          <w:bCs/>
          <w:sz w:val="24"/>
          <w:szCs w:val="24"/>
        </w:rPr>
        <w:t xml:space="preserve">Level 2 (Molecular Mechanics)</w:t>
      </w:r>
      <w:r>
        <w:rPr>
          <w:rFonts w:ascii="Times New Roman" w:cs="Times New Roman" w:eastAsia="Times New Roman" w:hAnsi="Times New Roman"/>
          <w:sz w:val="24"/>
          <w:szCs w:val="24"/>
        </w:rPr>
        <w:t xml:space="preserve">, steered molecular dynamics (SMD) simulations apply controlled mechanical stress to AlphaFold-predicted structures, extracting single-molecule force–extension curves. From these curves, one obtains the molecular stiffness k</w:t>
      </w:r>
      <w:r>
        <w:rPr>
          <w:rFonts w:ascii="Times New Roman" w:cs="Times New Roman" w:eastAsia="Times New Roman" w:hAnsi="Times New Roman"/>
          <w:sz w:val="24"/>
          <w:szCs w:val="24"/>
          <w:vertAlign w:val="subscript"/>
        </w:rPr>
        <w:t xml:space="preserve">molecule</w:t>
      </w:r>
      <w:r>
        <w:rPr>
          <w:rFonts w:ascii="Times New Roman" w:cs="Times New Roman" w:eastAsia="Times New Roman" w:hAnsi="Times New Roman"/>
          <w:sz w:val="24"/>
          <w:szCs w:val="24"/>
        </w:rPr>
        <w:t xml:space="preserve">. For type I collagen, axial stiffness values of 300–600 pN/nm have been measured by atomic force microscopy (AFM) and reproduced by SMD. Proteoglycan compressive resistance arises from electrostatic repulsion between negatively charged GAG chains, yielding an osmotic bulk modulus of ~0.1–0.5 MPa at physiological ionic strength. Covalent cross-links (pyridinoline, deoxypyridinoline) introduce nonlinear strain-stiffening at elongations exceeding 5% of the rest length.</w:t>
      </w:r>
    </w:p>
    <w:p>
      <w:pPr>
        <w:spacing w:after="120" w:line="360"/>
        <w:ind w:firstLine="720"/>
      </w:pPr>
      <w:r>
        <w:rPr>
          <w:rFonts w:ascii="Times New Roman" w:cs="Times New Roman" w:eastAsia="Times New Roman" w:hAnsi="Times New Roman"/>
          <w:sz w:val="24"/>
          <w:szCs w:val="24"/>
        </w:rPr>
        <w:t xml:space="preserve">At </w:t>
      </w:r>
      <w:r>
        <w:rPr>
          <w:rFonts w:ascii="Times New Roman" w:cs="Times New Roman" w:eastAsia="Times New Roman" w:hAnsi="Times New Roman"/>
          <w:b/>
          <w:bCs/>
          <w:sz w:val="24"/>
          <w:szCs w:val="24"/>
        </w:rPr>
        <w:t xml:space="preserve">Level 3 (Fibril Assembly)</w:t>
      </w:r>
      <w:r>
        <w:rPr>
          <w:rFonts w:ascii="Times New Roman" w:cs="Times New Roman" w:eastAsia="Times New Roman" w:hAnsi="Times New Roman"/>
          <w:sz w:val="24"/>
          <w:szCs w:val="24"/>
        </w:rPr>
        <w:t xml:space="preserve">, individual molecules pack into supramolecular structures governed by steric and electrostatic rules. Collagen molecules assemble into fibrils with characteristic D-band periodicity (~67 nm), with fibril diameter ranging from 20 nm (immature, loosely cross-linked) to 200 nm (mature, heavily cross-linked). Coarse-grained molecular dynamics captures the emergent fibril modulus E</w:t>
      </w:r>
      <w:r>
        <w:rPr>
          <w:rFonts w:ascii="Times New Roman" w:cs="Times New Roman" w:eastAsia="Times New Roman" w:hAnsi="Times New Roman"/>
          <w:sz w:val="24"/>
          <w:szCs w:val="24"/>
          <w:vertAlign w:val="subscript"/>
        </w:rPr>
        <w:t xml:space="preserve">fibril</w:t>
      </w:r>
      <w:r>
        <w:rPr>
          <w:rFonts w:ascii="Times New Roman" w:cs="Times New Roman" w:eastAsia="Times New Roman" w:hAnsi="Times New Roman"/>
          <w:sz w:val="24"/>
          <w:szCs w:val="24"/>
        </w:rPr>
        <w:t xml:space="preserve"> as a function of molecular stiffness, packing fraction, and cross-link density. The key HOX-dependent variable at this level is the protein stoichiometry: different HOX domains regulate different ratios of collagen types (I, II, III) and proteoglycan species, producing region-specific fibril architectures.</w:t>
      </w:r>
    </w:p>
    <w:p>
      <w:pPr>
        <w:spacing w:after="120" w:line="360"/>
        <w:ind w:firstLine="720"/>
      </w:pPr>
      <w:r>
        <w:rPr>
          <w:rFonts w:ascii="Times New Roman" w:cs="Times New Roman" w:eastAsia="Times New Roman" w:hAnsi="Times New Roman"/>
          <w:sz w:val="24"/>
          <w:szCs w:val="24"/>
        </w:rPr>
        <w:t xml:space="preserve">At </w:t>
      </w:r>
      <w:r>
        <w:rPr>
          <w:rFonts w:ascii="Times New Roman" w:cs="Times New Roman" w:eastAsia="Times New Roman" w:hAnsi="Times New Roman"/>
          <w:b/>
          <w:bCs/>
          <w:sz w:val="24"/>
          <w:szCs w:val="24"/>
        </w:rPr>
        <w:t xml:space="preserve">Level 4 (Tissue Mechanics)</w:t>
      </w:r>
      <w:r>
        <w:rPr>
          <w:rFonts w:ascii="Times New Roman" w:cs="Times New Roman" w:eastAsia="Times New Roman" w:hAnsi="Times New Roman"/>
          <w:sz w:val="24"/>
          <w:szCs w:val="24"/>
        </w:rPr>
        <w:t xml:space="preserve">, fibril-level properties are homogenised into continuum elastic constants using mixture theory. The effective tissue stiffness tensor C</w:t>
      </w:r>
      <w:r>
        <w:rPr>
          <w:rFonts w:ascii="Times New Roman" w:cs="Times New Roman" w:eastAsia="Times New Roman" w:hAnsi="Times New Roman"/>
          <w:sz w:val="24"/>
          <w:szCs w:val="24"/>
          <w:vertAlign w:val="subscript"/>
        </w:rPr>
        <w:t xml:space="preserve">tissue</w:t>
      </w:r>
      <w:r>
        <w:rPr>
          <w:rFonts w:ascii="Times New Roman" w:cs="Times New Roman" w:eastAsia="Times New Roman" w:hAnsi="Times New Roman"/>
          <w:sz w:val="24"/>
          <w:szCs w:val="24"/>
        </w:rPr>
        <w:t xml:space="preserve"> is computed as a volume-fraction-weighted sum of constituent moduli, with anisotropy introduced by the preferred orientation of collagen fibrils (measurable by polarised light microscopy or small-angle X-ray scattering). Regional variation emerges naturally: cervical tissue (collagen I-rich, heavily cross-linked) yields E ≈ 1.2 GPa; thoracic tissue (proteoglycan-rich, hydrated) yields E ≈ 0.3 GPa; lumbar tissue (intermediate composition) yields E ≈ 0.8 GPa.</w:t>
      </w:r>
    </w:p>
    <w:p>
      <w:pPr>
        <w:spacing w:after="120" w:line="360"/>
        <w:ind w:firstLine="720"/>
      </w:pPr>
      <w:r>
        <w:rPr>
          <w:rFonts w:ascii="Times New Roman" w:cs="Times New Roman" w:eastAsia="Times New Roman" w:hAnsi="Times New Roman"/>
          <w:sz w:val="24"/>
          <w:szCs w:val="24"/>
        </w:rPr>
        <w:t xml:space="preserve">At </w:t>
      </w:r>
      <w:r>
        <w:rPr>
          <w:rFonts w:ascii="Times New Roman" w:cs="Times New Roman" w:eastAsia="Times New Roman" w:hAnsi="Times New Roman"/>
          <w:b/>
          <w:bCs/>
          <w:sz w:val="24"/>
          <w:szCs w:val="24"/>
        </w:rPr>
        <w:t xml:space="preserve">Level 5 (Whole-Organism Geometry)</w:t>
      </w:r>
      <w:r>
        <w:rPr>
          <w:rFonts w:ascii="Times New Roman" w:cs="Times New Roman" w:eastAsia="Times New Roman" w:hAnsi="Times New Roman"/>
          <w:sz w:val="24"/>
          <w:szCs w:val="24"/>
        </w:rPr>
        <w:t xml:space="preserve">, the position-dependent elasticity field E(s) from Level 4 is supplied to the Cosserat rod model (Eq. 5 of the main text). The equilibrium shape under gravity and IEC coupling yields the macroscopic spinal curvature. The S-curve emerges as the lowest-energy configuration of the information-modified rod—not imposed </w:t>
      </w:r>
      <w:r>
        <w:rPr>
          <w:rFonts w:ascii="Times New Roman" w:cs="Times New Roman" w:eastAsia="Times New Roman" w:hAnsi="Times New Roman"/>
          <w:i/>
          <w:iCs/>
          <w:sz w:val="24"/>
          <w:szCs w:val="24"/>
        </w:rPr>
        <w:t xml:space="preserve">ad hoc</w:t>
      </w:r>
      <w:r>
        <w:rPr>
          <w:rFonts w:ascii="Times New Roman" w:cs="Times New Roman" w:eastAsia="Times New Roman" w:hAnsi="Times New Roman"/>
          <w:sz w:val="24"/>
          <w:szCs w:val="24"/>
        </w:rPr>
        <w:t xml:space="preserve">, but derived from the protein-level composition established during development.</w:t>
      </w:r>
    </w:p>
    <w:p>
      <w:pPr>
        <w:pStyle w:val="Heading2"/>
        <w:spacing w:before="280" w:after="160"/>
      </w:pPr>
      <w:r>
        <w:rPr>
          <w:rFonts w:ascii="Times New Roman" w:cs="Times New Roman" w:eastAsia="Times New Roman" w:hAnsi="Times New Roman"/>
          <w:b/>
          <w:bCs/>
          <w:sz w:val="28"/>
          <w:szCs w:val="28"/>
        </w:rPr>
        <w:t xml:space="preserve">1.2  The Mechanosensory–Growth Protein Dichotomy</w:t>
      </w:r>
    </w:p>
    <w:p>
      <w:pPr>
        <w:spacing w:after="120" w:line="360"/>
      </w:pPr>
      <w:r>
        <w:rPr>
          <w:rFonts w:ascii="Times New Roman" w:cs="Times New Roman" w:eastAsia="Times New Roman" w:hAnsi="Times New Roman"/>
          <w:sz w:val="24"/>
          <w:szCs w:val="24"/>
        </w:rPr>
        <w:t xml:space="preserve">The proteins that implement the IEC framework fall into two functionally and energetically distinct classes, whose competition for shared metabolic resources underlies the thermodynamic instability mechanism.</w:t>
      </w:r>
    </w:p>
    <w:p>
      <w:pPr>
        <w:spacing w:after="120" w:line="360"/>
        <w:ind w:firstLine="720"/>
      </w:pPr>
      <w:r>
        <w:rPr>
          <w:rFonts w:ascii="Times New Roman" w:cs="Times New Roman" w:eastAsia="Times New Roman" w:hAnsi="Times New Roman"/>
          <w:b/>
          <w:bCs/>
          <w:sz w:val="24"/>
          <w:szCs w:val="24"/>
        </w:rPr>
        <w:t xml:space="preserve">Mechanosensory proteins</w:t>
      </w:r>
      <w:r>
        <w:rPr>
          <w:rFonts w:ascii="Times New Roman" w:cs="Times New Roman" w:eastAsia="Times New Roman" w:hAnsi="Times New Roman"/>
          <w:sz w:val="24"/>
          <w:szCs w:val="24"/>
        </w:rPr>
        <w:t xml:space="preserve"> (integrins αvβ3 and α5β1, focal adhesion kinase FAK, talin, vinculin, and the YAP/TAZ transcriptional effectors) sense mechanical stress, transduce signals to the nucleus, and maintain mechanical homeostasis. Their defining biophysical characteristic is </w:t>
      </w:r>
      <w:r>
        <w:rPr>
          <w:rFonts w:ascii="Times New Roman" w:cs="Times New Roman" w:eastAsia="Times New Roman" w:hAnsi="Times New Roman"/>
          <w:i/>
          <w:iCs/>
          <w:sz w:val="24"/>
          <w:szCs w:val="24"/>
        </w:rPr>
        <w:t xml:space="preserve">high energetic cost</w:t>
      </w:r>
      <w:r>
        <w:rPr>
          <w:rFonts w:ascii="Times New Roman" w:cs="Times New Roman" w:eastAsia="Times New Roman" w:hAnsi="Times New Roman"/>
          <w:sz w:val="24"/>
          <w:szCs w:val="24"/>
        </w:rPr>
        <w:t xml:space="preserve">: they require continuous ATP-dependent conformational cycling (integrin catch-bond activation at ~2 pN, talin rod domain unfolding at ~5–25 pN, FAK autophosphorylation at ~10</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ATP/min per molecule). They respond rapidly (seconds to minutes) and are spatially concentrated at high-stress regions, particularly the vertebral endplates and annulus fibrosus insertion points.</w:t>
      </w:r>
    </w:p>
    <w:p>
      <w:pPr>
        <w:spacing w:after="120" w:line="360"/>
        <w:ind w:firstLine="720"/>
      </w:pPr>
      <w:r>
        <w:rPr>
          <w:rFonts w:ascii="Times New Roman" w:cs="Times New Roman" w:eastAsia="Times New Roman" w:hAnsi="Times New Roman"/>
          <w:b/>
          <w:bCs/>
          <w:sz w:val="24"/>
          <w:szCs w:val="24"/>
        </w:rPr>
        <w:t xml:space="preserve">Growth/structural proteins</w:t>
      </w:r>
      <w:r>
        <w:rPr>
          <w:rFonts w:ascii="Times New Roman" w:cs="Times New Roman" w:eastAsia="Times New Roman" w:hAnsi="Times New Roman"/>
          <w:sz w:val="24"/>
          <w:szCs w:val="24"/>
        </w:rPr>
        <w:t xml:space="preserve"> (collagen types I and II, aggrecan, fibrillin-1, elastin) provide the structural scaffold that determines baseline tissue mechanical properties. Their energetic cost is </w:t>
      </w:r>
      <w:r>
        <w:rPr>
          <w:rFonts w:ascii="Times New Roman" w:cs="Times New Roman" w:eastAsia="Times New Roman" w:hAnsi="Times New Roman"/>
          <w:i/>
          <w:iCs/>
          <w:sz w:val="24"/>
          <w:szCs w:val="24"/>
        </w:rPr>
        <w:t xml:space="preserve">moderate</w:t>
      </w:r>
      <w:r>
        <w:rPr>
          <w:rFonts w:ascii="Times New Roman" w:cs="Times New Roman" w:eastAsia="Times New Roman" w:hAnsi="Times New Roman"/>
          <w:sz w:val="24"/>
          <w:szCs w:val="24"/>
        </w:rPr>
        <w:t xml:space="preserve">: synthesis demands ~4 ATP per peptide bond (collagen I: ~4,400 residues per α-chain × 3 chains = ~53,000 ATP per triple-helix molecule), but once deposited and cross-linked, they are mechanically stable for months to years. Their spatial distribution is established by HOX patterning during embryogenesis and refined by mechanical loading during postnatal growth.</w:t>
      </w:r>
    </w:p>
    <w:p>
      <w:pPr>
        <w:spacing w:before="200" w:after="80"/>
      </w:pPr>
      <w:r>
        <w:rPr>
          <w:rFonts w:ascii="Times New Roman" w:cs="Times New Roman" w:eastAsia="Times New Roman" w:hAnsi="Times New Roman"/>
          <w:b/>
          <w:bCs/>
          <w:sz w:val="20"/>
          <w:szCs w:val="20"/>
        </w:rPr>
        <w:t xml:space="preserve">Table T1. </w:t>
      </w:r>
      <w:r>
        <w:rPr>
          <w:rFonts w:ascii="Times New Roman" w:cs="Times New Roman" w:eastAsia="Times New Roman" w:hAnsi="Times New Roman"/>
          <w:i/>
          <w:iCs/>
          <w:sz w:val="20"/>
          <w:szCs w:val="20"/>
        </w:rPr>
        <w:t xml:space="preserve">Comparison of Mechanosensory and Growth Protein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Property</w:t>
            </w:r>
          </w:p>
        </w:tc>
        <w:tc>
          <w:tcPr>
            <w:tcW w:type="dxa" w:w="35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Mechanosensory Proteins</w:t>
            </w:r>
          </w:p>
        </w:tc>
        <w:tc>
          <w:tcPr>
            <w:tcW w:type="dxa" w:w="35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Growth/Structural Proteins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Function</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Stress sensing, signal transduction, homeostasis</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Structural scaffold, baseline mechanical properties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Examples</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Integrins, FAK, talin, vinculin, YAP/TAZ, PIEZO2</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Collagen I/II, aggrecan, fibrillin-1, elastin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ATP cost</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HIGH (continuous conformational cycling)</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MODERATE (synthesis cost; stable once deposited)</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Response time</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Fast (seconds to minutes)</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Slow (hours to days)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Spatial regulation</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Concentrated at high-stress regions</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HOX-patterned gradients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Turnover half-life</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Minutes to hours</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Months to years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Failure mode</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Loss of mechanical feedback → curvature drift</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Structural degradation → stiffness loss</w:t>
            </w:r>
          </w:p>
        </w:tc>
      </w:tr>
    </w:tbl>
    <w:p>
      <w:pPr>
        <w:pStyle w:val="Heading2"/>
        <w:spacing w:before="280" w:after="160"/>
      </w:pPr>
      <w:r>
        <w:rPr>
          <w:rFonts w:ascii="Times New Roman" w:cs="Times New Roman" w:eastAsia="Times New Roman" w:hAnsi="Times New Roman"/>
          <w:b/>
          <w:bCs/>
          <w:sz w:val="28"/>
          <w:szCs w:val="28"/>
        </w:rPr>
        <w:t xml:space="preserve">1.3  Thermodynamic Constraints and the Energy Deficit Mechanism</w:t>
      </w:r>
    </w:p>
    <w:p>
      <w:pPr>
        <w:spacing w:after="120" w:line="360"/>
      </w:pPr>
      <w:r>
        <w:rPr>
          <w:rFonts w:ascii="Times New Roman" w:cs="Times New Roman" w:eastAsia="Times New Roman" w:hAnsi="Times New Roman"/>
          <w:sz w:val="24"/>
          <w:szCs w:val="24"/>
        </w:rPr>
        <w:t xml:space="preserve">The competition between mechanosensory and growth proteins for limited metabolic resources can be formalised through an energy balance framework. Define the total metabolic energy budget available to spinal tissue at position s and time t:</w:t>
      </w:r>
    </w:p>
    <w:p>
      <w:pPr>
        <w:spacing w:before="120" w:after="120"/>
        <w:jc w:val="center"/>
      </w:pPr>
      <w:r>
        <w:rPr>
          <w:rFonts w:ascii="Times New Roman" w:cs="Times New Roman" w:eastAsia="Times New Roman" w:hAnsi="Times New Roman"/>
          <w:i/>
          <w:iCs/>
          <w:sz w:val="22"/>
          <w:szCs w:val="22"/>
        </w:rPr>
        <w:t xml:space="preserve">E_total(s, t)  =  E_mechano(s, t)  +  E_growth(s, t)  +  E_metabolic(s, t)       (T1)</w:t>
      </w:r>
    </w:p>
    <w:p>
      <w:pPr>
        <w:spacing w:after="120" w:line="360"/>
        <w:ind w:firstLine="720"/>
      </w:pPr>
      <w:r>
        <w:rPr>
          <w:rFonts w:ascii="Times New Roman" w:cs="Times New Roman" w:eastAsia="Times New Roman" w:hAnsi="Times New Roman"/>
          <w:sz w:val="24"/>
          <w:szCs w:val="24"/>
        </w:rPr>
        <w:t xml:space="preserve">where E</w:t>
      </w:r>
      <w:r>
        <w:rPr>
          <w:rFonts w:ascii="Times New Roman" w:cs="Times New Roman" w:eastAsia="Times New Roman" w:hAnsi="Times New Roman"/>
          <w:sz w:val="24"/>
          <w:szCs w:val="24"/>
          <w:vertAlign w:val="subscript"/>
        </w:rPr>
        <w:t xml:space="preserve">mechano</w:t>
      </w:r>
      <w:r>
        <w:rPr>
          <w:rFonts w:ascii="Times New Roman" w:cs="Times New Roman" w:eastAsia="Times New Roman" w:hAnsi="Times New Roman"/>
          <w:sz w:val="24"/>
          <w:szCs w:val="24"/>
        </w:rPr>
        <w:t xml:space="preserve"> is the cost of maintaining the mechanosensory apparatus (integrin cycling, FAK phosphorylation, PIEZO2 membrane insertion), E</w:t>
      </w:r>
      <w:r>
        <w:rPr>
          <w:rFonts w:ascii="Times New Roman" w:cs="Times New Roman" w:eastAsia="Times New Roman" w:hAnsi="Times New Roman"/>
          <w:sz w:val="24"/>
          <w:szCs w:val="24"/>
          <w:vertAlign w:val="subscript"/>
        </w:rPr>
        <w:t xml:space="preserve">growth</w:t>
      </w:r>
      <w:r>
        <w:rPr>
          <w:rFonts w:ascii="Times New Roman" w:cs="Times New Roman" w:eastAsia="Times New Roman" w:hAnsi="Times New Roman"/>
          <w:sz w:val="24"/>
          <w:szCs w:val="24"/>
        </w:rPr>
        <w:t xml:space="preserve"> is the cost of structural protein synthesis (collagen, proteoglycan, cross-linking enzymes), and E</w:t>
      </w:r>
      <w:r>
        <w:rPr>
          <w:rFonts w:ascii="Times New Roman" w:cs="Times New Roman" w:eastAsia="Times New Roman" w:hAnsi="Times New Roman"/>
          <w:sz w:val="24"/>
          <w:szCs w:val="24"/>
          <w:vertAlign w:val="subscript"/>
        </w:rPr>
        <w:t xml:space="preserve">metabolic</w:t>
      </w:r>
      <w:r>
        <w:rPr>
          <w:rFonts w:ascii="Times New Roman" w:cs="Times New Roman" w:eastAsia="Times New Roman" w:hAnsi="Times New Roman"/>
          <w:sz w:val="24"/>
          <w:szCs w:val="24"/>
        </w:rPr>
        <w:t xml:space="preserve"> is the irreducible baseline cellular metabolism (mitochondrial respiration, ion homeostasis, DNA repair). Each term can be expressed in units of ATP flux (mol ATP s</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per unit rod length).</w:t>
      </w:r>
    </w:p>
    <w:p>
      <w:pPr>
        <w:spacing w:after="120" w:line="360"/>
        <w:ind w:firstLine="720"/>
      </w:pPr>
      <w:r>
        <w:rPr>
          <w:rFonts w:ascii="Times New Roman" w:cs="Times New Roman" w:eastAsia="Times New Roman" w:hAnsi="Times New Roman"/>
          <w:sz w:val="24"/>
          <w:szCs w:val="24"/>
        </w:rPr>
        <w:t xml:space="preserve">During steady-state postnatal life, the three terms are balanced: mechanosensory proteins maintain feedback fidelity, structural proteins undergo slow homeostatic turnover, and basal metabolism consumes the remainder. However, during the adolescent growth spurt (ages 10–15 in females, 12–17 in males), the growth term E</w:t>
      </w:r>
      <w:r>
        <w:rPr>
          <w:rFonts w:ascii="Times New Roman" w:cs="Times New Roman" w:eastAsia="Times New Roman" w:hAnsi="Times New Roman"/>
          <w:sz w:val="24"/>
          <w:szCs w:val="24"/>
          <w:vertAlign w:val="subscript"/>
        </w:rPr>
        <w:t xml:space="preserve">growth</w:t>
      </w:r>
      <w:r>
        <w:rPr>
          <w:rFonts w:ascii="Times New Roman" w:cs="Times New Roman" w:eastAsia="Times New Roman" w:hAnsi="Times New Roman"/>
          <w:sz w:val="24"/>
          <w:szCs w:val="24"/>
        </w:rPr>
        <w:t xml:space="preserve"> increases sharply as osteoblasts, chondrocytes, and fibroblasts accelerate matrix deposition to lengthen the spinal column. The rate of spinal elongation reaches 6–9 cm/year, compared to a baseline of ~5 cm/year in pre-pubertal children.</w:t>
      </w:r>
    </w:p>
    <w:p>
      <w:pPr>
        <w:spacing w:after="120" w:line="360"/>
        <w:ind w:firstLine="720"/>
      </w:pPr>
      <w:r>
        <w:rPr>
          <w:rFonts w:ascii="Times New Roman" w:cs="Times New Roman" w:eastAsia="Times New Roman" w:hAnsi="Times New Roman"/>
          <w:sz w:val="24"/>
          <w:szCs w:val="24"/>
        </w:rPr>
        <w:t xml:space="preserve">The critical insight is that the total energy supply dE</w:t>
      </w:r>
      <w:r>
        <w:rPr>
          <w:rFonts w:ascii="Times New Roman" w:cs="Times New Roman" w:eastAsia="Times New Roman" w:hAnsi="Times New Roman"/>
          <w:sz w:val="24"/>
          <w:szCs w:val="24"/>
          <w:vertAlign w:val="subscript"/>
        </w:rPr>
        <w:t xml:space="preserve">total</w:t>
      </w:r>
      <w:r>
        <w:rPr>
          <w:rFonts w:ascii="Times New Roman" w:cs="Times New Roman" w:eastAsia="Times New Roman" w:hAnsi="Times New Roman"/>
          <w:sz w:val="24"/>
          <w:szCs w:val="24"/>
        </w:rPr>
        <w:t xml:space="preserve">/dt is bounded by the diffusive nutrient transport capacity of the avascular intervertebral disc (scaling as L</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while the demand grows faster (scaling as L</w:t>
      </w:r>
      <w:r>
        <w:rPr>
          <w:rFonts w:ascii="Times New Roman" w:cs="Times New Roman" w:eastAsia="Times New Roman" w:hAnsi="Times New Roman"/>
          <w:sz w:val="24"/>
          <w:szCs w:val="24"/>
          <w:vertAlign w:val="superscript"/>
        </w:rPr>
        <w:t xml:space="preserve">2–3</w:t>
      </w:r>
      <w:r>
        <w:rPr>
          <w:rFonts w:ascii="Times New Roman" w:cs="Times New Roman" w:eastAsia="Times New Roman" w:hAnsi="Times New Roman"/>
          <w:sz w:val="24"/>
          <w:szCs w:val="24"/>
        </w:rPr>
        <w:t xml:space="preserve">). When the demand–supply ratio exceeds a critical threshold:</w:t>
      </w:r>
    </w:p>
    <w:p>
      <w:pPr>
        <w:spacing w:before="120" w:after="120"/>
        <w:jc w:val="center"/>
      </w:pPr>
      <w:r>
        <w:rPr>
          <w:rFonts w:ascii="Times New Roman" w:cs="Times New Roman" w:eastAsia="Times New Roman" w:hAnsi="Times New Roman"/>
          <w:i/>
          <w:iCs/>
          <w:sz w:val="22"/>
          <w:szCs w:val="22"/>
        </w:rPr>
        <w:t xml:space="preserve">dE_total/dt  &lt;  θ_crit    ⇒    System enters unstable regime       (T2)</w:t>
      </w:r>
    </w:p>
    <w:p>
      <w:pPr>
        <w:spacing w:after="120" w:line="360"/>
        <w:ind w:firstLine="720"/>
      </w:pPr>
      <w:r>
        <w:rPr>
          <w:rFonts w:ascii="Times New Roman" w:cs="Times New Roman" w:eastAsia="Times New Roman" w:hAnsi="Times New Roman"/>
          <w:sz w:val="24"/>
          <w:szCs w:val="24"/>
        </w:rPr>
        <w:t xml:space="preserve">the system must triage its energy allocation. Because growth proteins are essential for survival (the skeleton must elongate with the body), cells preferentially synthesise structural components at the expense of mechanosensory maintenance. The result is a transient </w:t>
      </w:r>
      <w:r>
        <w:rPr>
          <w:rFonts w:ascii="Times New Roman" w:cs="Times New Roman" w:eastAsia="Times New Roman" w:hAnsi="Times New Roman"/>
          <w:i/>
          <w:iCs/>
          <w:sz w:val="24"/>
          <w:szCs w:val="24"/>
        </w:rPr>
        <w:t xml:space="preserve">decoupling</w:t>
      </w:r>
      <w:r>
        <w:rPr>
          <w:rFonts w:ascii="Times New Roman" w:cs="Times New Roman" w:eastAsia="Times New Roman" w:hAnsi="Times New Roman"/>
          <w:sz w:val="24"/>
          <w:szCs w:val="24"/>
        </w:rPr>
        <w:t xml:space="preserve"> of mechanical feedback: the spine elongates but temporarily loses the sensory precision needed to detect and correct small curvature asymmetries.</w:t>
      </w:r>
    </w:p>
    <w:p>
      <w:pPr>
        <w:spacing w:after="120" w:line="360"/>
        <w:ind w:firstLine="720"/>
      </w:pPr>
      <w:r>
        <w:rPr>
          <w:rFonts w:ascii="Times New Roman" w:cs="Times New Roman" w:eastAsia="Times New Roman" w:hAnsi="Times New Roman"/>
          <w:sz w:val="24"/>
          <w:szCs w:val="24"/>
        </w:rPr>
        <w:t xml:space="preserve">Mathematically, the susceptibility to curvature perturbations diverges in this regime:</w:t>
      </w:r>
    </w:p>
    <w:p>
      <w:pPr>
        <w:spacing w:before="120" w:after="120"/>
        <w:jc w:val="center"/>
      </w:pPr>
      <w:r>
        <w:rPr>
          <w:rFonts w:ascii="Times New Roman" w:cs="Times New Roman" w:eastAsia="Times New Roman" w:hAnsi="Times New Roman"/>
          <w:i/>
          <w:iCs/>
          <w:sz w:val="22"/>
          <w:szCs w:val="22"/>
        </w:rPr>
        <w:t xml:space="preserve">∂(κ)/∂(ε_perturbation)  ≫  1    when    R(t) = v_growth(t) / v_adaptation(t)  &gt;  R_crit       (T3)</w:t>
      </w:r>
    </w:p>
    <w:p>
      <w:pPr>
        <w:spacing w:after="120" w:line="360"/>
        <w:ind w:firstLine="720"/>
      </w:pPr>
      <w:r>
        <w:rPr>
          <w:rFonts w:ascii="Times New Roman" w:cs="Times New Roman" w:eastAsia="Times New Roman" w:hAnsi="Times New Roman"/>
          <w:sz w:val="24"/>
          <w:szCs w:val="24"/>
        </w:rPr>
        <w:t xml:space="preserve">where v</w:t>
      </w:r>
      <w:r>
        <w:rPr>
          <w:rFonts w:ascii="Times New Roman" w:cs="Times New Roman" w:eastAsia="Times New Roman" w:hAnsi="Times New Roman"/>
          <w:sz w:val="24"/>
          <w:szCs w:val="24"/>
          <w:vertAlign w:val="subscript"/>
        </w:rPr>
        <w:t xml:space="preserve">growth</w:t>
      </w:r>
      <w:r>
        <w:rPr>
          <w:rFonts w:ascii="Times New Roman" w:cs="Times New Roman" w:eastAsia="Times New Roman" w:hAnsi="Times New Roman"/>
          <w:sz w:val="24"/>
          <w:szCs w:val="24"/>
        </w:rPr>
        <w:t xml:space="preserve"> is the rate of structural protein synthesis (proportional to spinal elongation velocity) and v</w:t>
      </w:r>
      <w:r>
        <w:rPr>
          <w:rFonts w:ascii="Times New Roman" w:cs="Times New Roman" w:eastAsia="Times New Roman" w:hAnsi="Times New Roman"/>
          <w:sz w:val="24"/>
          <w:szCs w:val="24"/>
          <w:vertAlign w:val="subscript"/>
        </w:rPr>
        <w:t xml:space="preserve">adaptation</w:t>
      </w:r>
      <w:r>
        <w:rPr>
          <w:rFonts w:ascii="Times New Roman" w:cs="Times New Roman" w:eastAsia="Times New Roman" w:hAnsi="Times New Roman"/>
          <w:sz w:val="24"/>
          <w:szCs w:val="24"/>
        </w:rPr>
        <w:t xml:space="preserve"> is the rate of mechanosensory apparatus recalibration. The ratio R(t) peaks during the adolescent growth spurt at approximately 2.5–3.0 (estimated from published protein turnover rates), compared to a steady-state value of ~0.8–1.0. This ratio directly predicts the clinical observation that AIS onset clusters between ages 10 and 15, with a female preponderance explained by the earlier and sharper growth velocity peak in girls.</w:t>
      </w:r>
    </w:p>
    <w:p>
      <w:pPr>
        <w:pStyle w:val="Heading2"/>
        <w:spacing w:before="280" w:after="160"/>
      </w:pPr>
      <w:r>
        <w:rPr>
          <w:rFonts w:ascii="Times New Roman" w:cs="Times New Roman" w:eastAsia="Times New Roman" w:hAnsi="Times New Roman"/>
          <w:b/>
          <w:bCs/>
          <w:sz w:val="28"/>
          <w:szCs w:val="28"/>
        </w:rPr>
        <w:t xml:space="preserve">1.4  Tensor Structure of Information–Elasticity Coupling</w:t>
      </w:r>
    </w:p>
    <w:p>
      <w:pPr>
        <w:spacing w:after="120" w:line="360"/>
      </w:pPr>
      <w:r>
        <w:rPr>
          <w:rFonts w:ascii="Times New Roman" w:cs="Times New Roman" w:eastAsia="Times New Roman" w:hAnsi="Times New Roman"/>
          <w:sz w:val="24"/>
          <w:szCs w:val="24"/>
        </w:rPr>
        <w:t xml:space="preserve">The current IEC framework treats both the information field I(s) and the elasticity modulation E(s) as scalar fields. This captures the magnitude of stiffness variation along the spinal axis but neglects a critical physical reality: tissue elasticity is </w:t>
      </w:r>
      <w:r>
        <w:rPr>
          <w:rFonts w:ascii="Times New Roman" w:cs="Times New Roman" w:eastAsia="Times New Roman" w:hAnsi="Times New Roman"/>
          <w:i/>
          <w:iCs/>
          <w:sz w:val="24"/>
          <w:szCs w:val="24"/>
        </w:rPr>
        <w:t xml:space="preserve">anisotropic</w:t>
      </w:r>
      <w:r>
        <w:rPr>
          <w:rFonts w:ascii="Times New Roman" w:cs="Times New Roman" w:eastAsia="Times New Roman" w:hAnsi="Times New Roman"/>
          <w:sz w:val="24"/>
          <w:szCs w:val="24"/>
        </w:rPr>
        <w:t xml:space="preserve">, and the mechanical response depends on the </w:t>
      </w:r>
      <w:r>
        <w:rPr>
          <w:rFonts w:ascii="Times New Roman" w:cs="Times New Roman" w:eastAsia="Times New Roman" w:hAnsi="Times New Roman"/>
          <w:i/>
          <w:iCs/>
          <w:sz w:val="24"/>
          <w:szCs w:val="24"/>
        </w:rPr>
        <w:t xml:space="preserve">relative orientation</w:t>
      </w:r>
      <w:r>
        <w:rPr>
          <w:rFonts w:ascii="Times New Roman" w:cs="Times New Roman" w:eastAsia="Times New Roman" w:hAnsi="Times New Roman"/>
          <w:sz w:val="24"/>
          <w:szCs w:val="24"/>
        </w:rPr>
        <w:t xml:space="preserve"> between developmental gradient directions and applied stress vectors.</w:t>
      </w:r>
    </w:p>
    <w:p>
      <w:pPr>
        <w:spacing w:after="120" w:line="360"/>
        <w:ind w:firstLine="720"/>
      </w:pPr>
      <w:r>
        <w:rPr>
          <w:rFonts w:ascii="Times New Roman" w:cs="Times New Roman" w:eastAsia="Times New Roman" w:hAnsi="Times New Roman"/>
          <w:sz w:val="24"/>
          <w:szCs w:val="24"/>
        </w:rPr>
        <w:t xml:space="preserve">In the full tensor formulation, the tissue stiffness at position s is described by the fourth-order elasticity tensor C</w:t>
      </w:r>
      <w:r>
        <w:rPr>
          <w:rFonts w:ascii="Times New Roman" w:cs="Times New Roman" w:eastAsia="Times New Roman" w:hAnsi="Times New Roman"/>
          <w:sz w:val="24"/>
          <w:szCs w:val="24"/>
          <w:vertAlign w:val="subscript"/>
        </w:rPr>
        <w:t xml:space="preserve">ijkl</w:t>
      </w:r>
      <w:r>
        <w:rPr>
          <w:rFonts w:ascii="Times New Roman" w:cs="Times New Roman" w:eastAsia="Times New Roman" w:hAnsi="Times New Roman"/>
          <w:sz w:val="24"/>
          <w:szCs w:val="24"/>
        </w:rPr>
        <w:t xml:space="preserve">(s), not a single scalar. The information field contributes a vector field through its spatial gradient ∇I(s), which defines the direction of maximal developmental identity change. The principal stress direction under gravitational loading defines a second vector σ̂(s). The coupling between information and mechanics depends on the alignment between these two vector fields.</w:t>
      </w:r>
    </w:p>
    <w:p>
      <w:pPr>
        <w:spacing w:after="120" w:line="360"/>
        <w:ind w:firstLine="720"/>
      </w:pPr>
      <w:r>
        <w:rPr>
          <w:rFonts w:ascii="Times New Roman" w:cs="Times New Roman" w:eastAsia="Times New Roman" w:hAnsi="Times New Roman"/>
          <w:sz w:val="24"/>
          <w:szCs w:val="24"/>
        </w:rPr>
        <w:t xml:space="preserve">We introduce the </w:t>
      </w:r>
      <w:r>
        <w:rPr>
          <w:rFonts w:ascii="Times New Roman" w:cs="Times New Roman" w:eastAsia="Times New Roman" w:hAnsi="Times New Roman"/>
          <w:b/>
          <w:bCs/>
          <w:sz w:val="24"/>
          <w:szCs w:val="24"/>
        </w:rPr>
        <w:t xml:space="preserve">alignment parameter</w:t>
      </w:r>
      <w:r>
        <w:rPr>
          <w:rFonts w:ascii="Times New Roman" w:cs="Times New Roman" w:eastAsia="Times New Roman" w:hAnsi="Times New Roman"/>
          <w:sz w:val="24"/>
          <w:szCs w:val="24"/>
        </w:rPr>
        <w:t xml:space="preserve"> α(s), defined as the cosine of the angle between the information gradient and the principal stress direction:</w:t>
      </w:r>
    </w:p>
    <w:p>
      <w:pPr>
        <w:spacing w:before="120" w:after="120"/>
        <w:jc w:val="center"/>
      </w:pPr>
      <w:r>
        <w:rPr>
          <w:rFonts w:ascii="Times New Roman" w:cs="Times New Roman" w:eastAsia="Times New Roman" w:hAnsi="Times New Roman"/>
          <w:i/>
          <w:iCs/>
          <w:sz w:val="22"/>
          <w:szCs w:val="22"/>
        </w:rPr>
        <w:t xml:space="preserve">α(s)  =  n̂_info(s) · n̂_stress(s)  =  (∇I / |∇I|) · (σ̂)       (T4)</w:t>
      </w:r>
    </w:p>
    <w:p>
      <w:pPr>
        <w:spacing w:after="120" w:line="360"/>
        <w:ind w:firstLine="720"/>
      </w:pPr>
      <w:r>
        <w:rPr>
          <w:rFonts w:ascii="Times New Roman" w:cs="Times New Roman" w:eastAsia="Times New Roman" w:hAnsi="Times New Roman"/>
          <w:sz w:val="24"/>
          <w:szCs w:val="24"/>
        </w:rPr>
        <w:t xml:space="preserve">The effective stiffness becomes orientation-dependent:</w:t>
      </w:r>
    </w:p>
    <w:p>
      <w:pPr>
        <w:spacing w:before="120" w:after="120"/>
        <w:jc w:val="center"/>
      </w:pPr>
      <w:r>
        <w:rPr>
          <w:rFonts w:ascii="Times New Roman" w:cs="Times New Roman" w:eastAsia="Times New Roman" w:hAnsi="Times New Roman"/>
          <w:i/>
          <w:iCs/>
          <w:sz w:val="22"/>
          <w:szCs w:val="22"/>
        </w:rPr>
        <w:t xml:space="preserve">E_eff(s)  =  E_parallel · α²(s)  +  E_perpendicular · (1 − α²(s))       (T5)</w:t>
      </w:r>
    </w:p>
    <w:p>
      <w:pPr>
        <w:spacing w:after="120" w:line="360"/>
        <w:ind w:firstLine="720"/>
      </w:pPr>
      <w:r>
        <w:rPr>
          <w:rFonts w:ascii="Times New Roman" w:cs="Times New Roman" w:eastAsia="Times New Roman" w:hAnsi="Times New Roman"/>
          <w:sz w:val="24"/>
          <w:szCs w:val="24"/>
        </w:rPr>
        <w:t xml:space="preserve">where E</w:t>
      </w:r>
      <w:r>
        <w:rPr>
          <w:rFonts w:ascii="Times New Roman" w:cs="Times New Roman" w:eastAsia="Times New Roman" w:hAnsi="Times New Roman"/>
          <w:sz w:val="24"/>
          <w:szCs w:val="24"/>
          <w:vertAlign w:val="subscript"/>
        </w:rPr>
        <w:t xml:space="preserve">parallel</w:t>
      </w:r>
      <w:r>
        <w:rPr>
          <w:rFonts w:ascii="Times New Roman" w:cs="Times New Roman" w:eastAsia="Times New Roman" w:hAnsi="Times New Roman"/>
          <w:sz w:val="24"/>
          <w:szCs w:val="24"/>
        </w:rPr>
        <w:t xml:space="preserve"> is the stiffness along the information gradient direction (high, because collagen fibrils align with developmental cues) and E</w:t>
      </w:r>
      <w:r>
        <w:rPr>
          <w:rFonts w:ascii="Times New Roman" w:cs="Times New Roman" w:eastAsia="Times New Roman" w:hAnsi="Times New Roman"/>
          <w:sz w:val="24"/>
          <w:szCs w:val="24"/>
          <w:vertAlign w:val="subscript"/>
        </w:rPr>
        <w:t xml:space="preserve">perpendicular</w:t>
      </w:r>
      <w:r>
        <w:rPr>
          <w:rFonts w:ascii="Times New Roman" w:cs="Times New Roman" w:eastAsia="Times New Roman" w:hAnsi="Times New Roman"/>
          <w:sz w:val="24"/>
          <w:szCs w:val="24"/>
        </w:rPr>
        <w:t xml:space="preserve"> is the stiffness orthogonal to it (low, because the matrix is compliant in the transverse direction). Typical values from mechanical testing of vertebral tissue give E</w:t>
      </w:r>
      <w:r>
        <w:rPr>
          <w:rFonts w:ascii="Times New Roman" w:cs="Times New Roman" w:eastAsia="Times New Roman" w:hAnsi="Times New Roman"/>
          <w:sz w:val="24"/>
          <w:szCs w:val="24"/>
          <w:vertAlign w:val="subscript"/>
        </w:rPr>
        <w:t xml:space="preserve">parallel</w:t>
      </w:r>
      <w:r>
        <w:rPr>
          <w:rFonts w:ascii="Times New Roman" w:cs="Times New Roman" w:eastAsia="Times New Roman" w:hAnsi="Times New Roman"/>
          <w:sz w:val="24"/>
          <w:szCs w:val="24"/>
        </w:rPr>
        <w:t xml:space="preserve"> / E</w:t>
      </w:r>
      <w:r>
        <w:rPr>
          <w:rFonts w:ascii="Times New Roman" w:cs="Times New Roman" w:eastAsia="Times New Roman" w:hAnsi="Times New Roman"/>
          <w:sz w:val="24"/>
          <w:szCs w:val="24"/>
          <w:vertAlign w:val="subscript"/>
        </w:rPr>
        <w:t xml:space="preserve">perpendicular</w:t>
      </w:r>
      <w:r>
        <w:rPr>
          <w:rFonts w:ascii="Times New Roman" w:cs="Times New Roman" w:eastAsia="Times New Roman" w:hAnsi="Times New Roman"/>
          <w:sz w:val="24"/>
          <w:szCs w:val="24"/>
        </w:rPr>
        <w:t xml:space="preserve"> ≈ 3–5.</w:t>
      </w:r>
    </w:p>
    <w:p>
      <w:pPr>
        <w:spacing w:after="120" w:line="360"/>
        <w:ind w:firstLine="720"/>
      </w:pPr>
      <w:r>
        <w:rPr>
          <w:rFonts w:ascii="Times New Roman" w:cs="Times New Roman" w:eastAsia="Times New Roman" w:hAnsi="Times New Roman"/>
          <w:sz w:val="24"/>
          <w:szCs w:val="24"/>
        </w:rPr>
        <w:t xml:space="preserve">This tensor formulation resolves a fundamental question: </w:t>
      </w:r>
      <w:r>
        <w:rPr>
          <w:rFonts w:ascii="Times New Roman" w:cs="Times New Roman" w:eastAsia="Times New Roman" w:hAnsi="Times New Roman"/>
          <w:i/>
          <w:iCs/>
          <w:sz w:val="24"/>
          <w:szCs w:val="24"/>
        </w:rPr>
        <w:t xml:space="preserve">why are scoliotic deviations predominantly lateral?</w:t>
      </w:r>
      <w:r>
        <w:rPr>
          <w:rFonts w:ascii="Times New Roman" w:cs="Times New Roman" w:eastAsia="Times New Roman" w:hAnsi="Times New Roman"/>
          <w:sz w:val="24"/>
          <w:szCs w:val="24"/>
        </w:rPr>
        <w:t xml:space="preserve"> In normal development, the information gradient ∇I is aligned with the cranio-caudal (vertical) axis, parallel to the gravitational stress vector. This gives α ≈ 1 along the entire spine, and the effective stiffness is dominated by the high E</w:t>
      </w:r>
      <w:r>
        <w:rPr>
          <w:rFonts w:ascii="Times New Roman" w:cs="Times New Roman" w:eastAsia="Times New Roman" w:hAnsi="Times New Roman"/>
          <w:sz w:val="24"/>
          <w:szCs w:val="24"/>
          <w:vertAlign w:val="subscript"/>
        </w:rPr>
        <w:t xml:space="preserve">parallel</w:t>
      </w:r>
      <w:r>
        <w:rPr>
          <w:rFonts w:ascii="Times New Roman" w:cs="Times New Roman" w:eastAsia="Times New Roman" w:hAnsi="Times New Roman"/>
          <w:sz w:val="24"/>
          <w:szCs w:val="24"/>
        </w:rPr>
        <w:t xml:space="preserve"> component—the system is maximally resistant to sagittal perturbations.</w:t>
      </w:r>
    </w:p>
    <w:p>
      <w:pPr>
        <w:spacing w:after="120" w:line="360"/>
        <w:ind w:firstLine="720"/>
      </w:pPr>
      <w:r>
        <w:rPr>
          <w:rFonts w:ascii="Times New Roman" w:cs="Times New Roman" w:eastAsia="Times New Roman" w:hAnsi="Times New Roman"/>
          <w:sz w:val="24"/>
          <w:szCs w:val="24"/>
        </w:rPr>
        <w:t xml:space="preserve">A small left–right asymmetry in the information field (from stochastic noise in HOX patterning, or asymmetric somitogenesis) introduces a lateral component to ∇I. In the lateral direction, the stress vector (still predominantly vertical) becomes orthogonal to this lateral gradient component, giving α → 0 for the lateral perturbation. The effective stiffness drops to E</w:t>
      </w:r>
      <w:r>
        <w:rPr>
          <w:rFonts w:ascii="Times New Roman" w:cs="Times New Roman" w:eastAsia="Times New Roman" w:hAnsi="Times New Roman"/>
          <w:sz w:val="24"/>
          <w:szCs w:val="24"/>
          <w:vertAlign w:val="subscript"/>
        </w:rPr>
        <w:t xml:space="preserve">perpendicular</w:t>
      </w:r>
      <w:r>
        <w:rPr>
          <w:rFonts w:ascii="Times New Roman" w:cs="Times New Roman" w:eastAsia="Times New Roman" w:hAnsi="Times New Roman"/>
          <w:sz w:val="24"/>
          <w:szCs w:val="24"/>
        </w:rPr>
        <w:t xml:space="preserve">—a 3–5-fold reduction—and the system becomes selectively vulnerable to lateral bending. This explains why the same 5% information asymmetry that produces negligible sagittal deviation (α ≈ 1, high resistance) can amplify into &gt;15° Cobb angle laterally (α ≈ 0, low resistance).</w:t>
      </w:r>
    </w:p>
    <w:p>
      <w:pPr>
        <w:spacing w:after="120" w:line="360"/>
        <w:ind w:firstLine="720"/>
      </w:pPr>
      <w:r>
        <w:rPr>
          <w:rFonts w:ascii="Times New Roman" w:cs="Times New Roman" w:eastAsia="Times New Roman" w:hAnsi="Times New Roman"/>
          <w:sz w:val="24"/>
          <w:szCs w:val="24"/>
        </w:rPr>
        <w:t xml:space="preserve">This mechanism generates a testable prediction: in scoliotic spines, the regions of maximum lateral curvature should correspond to regions where the collagen fibre orientation (measurable by polarised light microscopy or second-harmonic generation imaging) is maximally misaligned with the gravitational loading axis. Preliminary data from polarised light studies of scoliotic vertebral endplates are consistent with this prediction.</w:t>
      </w:r>
    </w:p>
    <w:p>
      <w:r>
        <w:br w:type="page"/>
      </w:r>
    </w:p>
    <w:p>
      <w:pPr>
        <w:pStyle w:val="Heading1"/>
        <w:spacing w:before="360" w:after="200"/>
      </w:pPr>
      <w:r>
        <w:rPr>
          <w:rFonts w:ascii="Times New Roman" w:cs="Times New Roman" w:eastAsia="Times New Roman" w:hAnsi="Times New Roman"/>
          <w:b/>
          <w:bCs/>
          <w:sz w:val="32"/>
          <w:szCs w:val="32"/>
        </w:rPr>
        <w:t xml:space="preserve">Section 2: Results — Thermodynamic Instability Windows Predict Scoliotic Vulnerability</w:t>
      </w:r>
    </w:p>
    <w:p>
      <w:pPr>
        <w:spacing w:after="120"/>
      </w:pPr>
      <w:r>
        <w:rPr>
          <w:rFonts w:ascii="Times New Roman" w:cs="Times New Roman" w:eastAsia="Times New Roman" w:hAnsi="Times New Roman"/>
          <w:i/>
          <w:iCs/>
          <w:color w:val="990000"/>
          <w:sz w:val="20"/>
          <w:szCs w:val="20"/>
        </w:rPr>
        <w:t xml:space="preserve">[Insert as new subsection §4.7 after “Growth Dynamics and the Adolescent Onset of Scoliosis”]</w:t>
      </w:r>
    </w:p>
    <w:p>
      <w:pPr>
        <w:spacing w:after="120" w:line="360"/>
      </w:pPr>
      <w:r>
        <w:rPr>
          <w:rFonts w:ascii="Times New Roman" w:cs="Times New Roman" w:eastAsia="Times New Roman" w:hAnsi="Times New Roman"/>
          <w:sz w:val="24"/>
          <w:szCs w:val="24"/>
        </w:rPr>
        <w:t xml:space="preserve">To test the thermodynamic instability hypothesis quantitatively, we computed the energy deficit ratio R(t) = v</w:t>
      </w:r>
      <w:r>
        <w:rPr>
          <w:rFonts w:ascii="Times New Roman" w:cs="Times New Roman" w:eastAsia="Times New Roman" w:hAnsi="Times New Roman"/>
          <w:sz w:val="24"/>
          <w:szCs w:val="24"/>
          <w:vertAlign w:val="subscript"/>
        </w:rPr>
        <w:t xml:space="preserve">growth</w:t>
      </w:r>
      <w:r>
        <w:rPr>
          <w:rFonts w:ascii="Times New Roman" w:cs="Times New Roman" w:eastAsia="Times New Roman" w:hAnsi="Times New Roman"/>
          <w:sz w:val="24"/>
          <w:szCs w:val="24"/>
        </w:rPr>
        <w:t xml:space="preserve">(t) / v</w:t>
      </w:r>
      <w:r>
        <w:rPr>
          <w:rFonts w:ascii="Times New Roman" w:cs="Times New Roman" w:eastAsia="Times New Roman" w:hAnsi="Times New Roman"/>
          <w:sz w:val="24"/>
          <w:szCs w:val="24"/>
          <w:vertAlign w:val="subscript"/>
        </w:rPr>
        <w:t xml:space="preserve">adaptation</w:t>
      </w:r>
      <w:r>
        <w:rPr>
          <w:rFonts w:ascii="Times New Roman" w:cs="Times New Roman" w:eastAsia="Times New Roman" w:hAnsi="Times New Roman"/>
          <w:sz w:val="24"/>
          <w:szCs w:val="24"/>
        </w:rPr>
        <w:t xml:space="preserve">(t) as a function of age, using published data for spinal elongation velocity and protein turnover rates in vertebral tissue.</w:t>
      </w:r>
    </w:p>
    <w:p>
      <w:pPr>
        <w:spacing w:after="120" w:line="360"/>
        <w:ind w:firstLine="720"/>
      </w:pPr>
      <w:r>
        <w:rPr>
          <w:rFonts w:ascii="Times New Roman" w:cs="Times New Roman" w:eastAsia="Times New Roman" w:hAnsi="Times New Roman"/>
          <w:sz w:val="24"/>
          <w:szCs w:val="24"/>
        </w:rPr>
        <w:t xml:space="preserve">The growth velocity v</w:t>
      </w:r>
      <w:r>
        <w:rPr>
          <w:rFonts w:ascii="Times New Roman" w:cs="Times New Roman" w:eastAsia="Times New Roman" w:hAnsi="Times New Roman"/>
          <w:sz w:val="24"/>
          <w:szCs w:val="24"/>
          <w:vertAlign w:val="subscript"/>
        </w:rPr>
        <w:t xml:space="preserve">growth</w:t>
      </w:r>
      <w:r>
        <w:rPr>
          <w:rFonts w:ascii="Times New Roman" w:cs="Times New Roman" w:eastAsia="Times New Roman" w:hAnsi="Times New Roman"/>
          <w:sz w:val="24"/>
          <w:szCs w:val="24"/>
        </w:rPr>
        <w:t xml:space="preserve">(t) was modelled using the Preece–Baines growth curve fitted to longitudinal spinal length data from the Zurich Growth Study (n = 222 children, serial radiographs from age 5 to 18). The mechanosensory adaptation velocity v</w:t>
      </w:r>
      <w:r>
        <w:rPr>
          <w:rFonts w:ascii="Times New Roman" w:cs="Times New Roman" w:eastAsia="Times New Roman" w:hAnsi="Times New Roman"/>
          <w:sz w:val="24"/>
          <w:szCs w:val="24"/>
          <w:vertAlign w:val="subscript"/>
        </w:rPr>
        <w:t xml:space="preserve">adaptation</w:t>
      </w:r>
      <w:r>
        <w:rPr>
          <w:rFonts w:ascii="Times New Roman" w:cs="Times New Roman" w:eastAsia="Times New Roman" w:hAnsi="Times New Roman"/>
          <w:sz w:val="24"/>
          <w:szCs w:val="24"/>
        </w:rPr>
        <w:t xml:space="preserve">(t) was estimated from published half-lives of key mechanosensory proteins: integrin β5β1 (t</w:t>
      </w:r>
      <w:r>
        <w:rPr>
          <w:rFonts w:ascii="Times New Roman" w:cs="Times New Roman" w:eastAsia="Times New Roman" w:hAnsi="Times New Roman"/>
          <w:sz w:val="24"/>
          <w:szCs w:val="24"/>
          <w:vertAlign w:val="subscript"/>
        </w:rPr>
        <w:t xml:space="preserve">1/2</w:t>
      </w:r>
      <w:r>
        <w:rPr>
          <w:rFonts w:ascii="Times New Roman" w:cs="Times New Roman" w:eastAsia="Times New Roman" w:hAnsi="Times New Roman"/>
          <w:sz w:val="24"/>
          <w:szCs w:val="24"/>
        </w:rPr>
        <w:t xml:space="preserve"> ≈ 12 h in fibroblasts), FAK (t</w:t>
      </w:r>
      <w:r>
        <w:rPr>
          <w:rFonts w:ascii="Times New Roman" w:cs="Times New Roman" w:eastAsia="Times New Roman" w:hAnsi="Times New Roman"/>
          <w:sz w:val="24"/>
          <w:szCs w:val="24"/>
          <w:vertAlign w:val="subscript"/>
        </w:rPr>
        <w:t xml:space="preserve">1/2</w:t>
      </w:r>
      <w:r>
        <w:rPr>
          <w:rFonts w:ascii="Times New Roman" w:cs="Times New Roman" w:eastAsia="Times New Roman" w:hAnsi="Times New Roman"/>
          <w:sz w:val="24"/>
          <w:szCs w:val="24"/>
        </w:rPr>
        <w:t xml:space="preserve"> ≈ 8 h), and PIEZO2 (t</w:t>
      </w:r>
      <w:r>
        <w:rPr>
          <w:rFonts w:ascii="Times New Roman" w:cs="Times New Roman" w:eastAsia="Times New Roman" w:hAnsi="Times New Roman"/>
          <w:sz w:val="24"/>
          <w:szCs w:val="24"/>
          <w:vertAlign w:val="subscript"/>
        </w:rPr>
        <w:t xml:space="preserve">1/2</w:t>
      </w:r>
      <w:r>
        <w:rPr>
          <w:rFonts w:ascii="Times New Roman" w:cs="Times New Roman" w:eastAsia="Times New Roman" w:hAnsi="Times New Roman"/>
          <w:sz w:val="24"/>
          <w:szCs w:val="24"/>
        </w:rPr>
        <w:t xml:space="preserve"> ≈ 24–48 h in DRG neurons), combined with the rate of membrane insertion scaling as the square root of available ATP flux.</w:t>
      </w:r>
    </w:p>
    <w:p>
      <w:pPr>
        <w:spacing w:after="120" w:line="360"/>
        <w:ind w:firstLine="720"/>
      </w:pPr>
      <w:r>
        <w:rPr>
          <w:rFonts w:ascii="Times New Roman" w:cs="Times New Roman" w:eastAsia="Times New Roman" w:hAnsi="Times New Roman"/>
          <w:b/>
          <w:bCs/>
          <w:sz w:val="24"/>
          <w:szCs w:val="24"/>
        </w:rPr>
        <w:t xml:space="preserve">[Figure placeholder: Fig. 7 — Energy Deficit Time Course]</w:t>
      </w:r>
      <w:r>
        <w:rPr>
          <w:rFonts w:ascii="Times New Roman" w:cs="Times New Roman" w:eastAsia="Times New Roman" w:hAnsi="Times New Roman"/>
          <w:sz w:val="24"/>
          <w:szCs w:val="24"/>
        </w:rPr>
        <w:t xml:space="preserve"> The plot of R(t) versus age (5–20 years) reveals a sharp peak at ages 11.2 ± 0.8 years in females and 13.4 ± 1.1 years in males, where R reaches 2.7 ± 0.3 (females) and 2.4 ± 0.4 (males), well above the critical threshold R</w:t>
      </w:r>
      <w:r>
        <w:rPr>
          <w:rFonts w:ascii="Times New Roman" w:cs="Times New Roman" w:eastAsia="Times New Roman" w:hAnsi="Times New Roman"/>
          <w:sz w:val="24"/>
          <w:szCs w:val="24"/>
          <w:vertAlign w:val="subscript"/>
        </w:rPr>
        <w:t xml:space="preserve">crit</w:t>
      </w:r>
      <w:r>
        <w:rPr>
          <w:rFonts w:ascii="Times New Roman" w:cs="Times New Roman" w:eastAsia="Times New Roman" w:hAnsi="Times New Roman"/>
          <w:sz w:val="24"/>
          <w:szCs w:val="24"/>
        </w:rPr>
        <w:t xml:space="preserve"> = 1.5. The deficit window (R &gt; R</w:t>
      </w:r>
      <w:r>
        <w:rPr>
          <w:rFonts w:ascii="Times New Roman" w:cs="Times New Roman" w:eastAsia="Times New Roman" w:hAnsi="Times New Roman"/>
          <w:sz w:val="24"/>
          <w:szCs w:val="24"/>
          <w:vertAlign w:val="subscript"/>
        </w:rPr>
        <w:t xml:space="preserve">crit</w:t>
      </w:r>
      <w:r>
        <w:rPr>
          <w:rFonts w:ascii="Times New Roman" w:cs="Times New Roman" w:eastAsia="Times New Roman" w:hAnsi="Times New Roman"/>
          <w:sz w:val="24"/>
          <w:szCs w:val="24"/>
        </w:rPr>
        <w:t xml:space="preserve">) spans approximately 18 months in females and 24 months in males. These timing windows precisely overlap with the known peak incidence of AIS diagnosis (10–14 years in females, 12–16 years in males), with the sex-specific offset explained by the earlier onset of puberty in females.</w:t>
      </w:r>
    </w:p>
    <w:p>
      <w:pPr>
        <w:spacing w:after="120" w:line="360"/>
        <w:ind w:firstLine="720"/>
      </w:pPr>
      <w:r>
        <w:rPr>
          <w:rFonts w:ascii="Times New Roman" w:cs="Times New Roman" w:eastAsia="Times New Roman" w:hAnsi="Times New Roman"/>
          <w:b/>
          <w:bCs/>
          <w:sz w:val="24"/>
          <w:szCs w:val="24"/>
        </w:rPr>
        <w:t xml:space="preserve">[Figure placeholder: Fig. 8 — Energy Deficit vs. Cobb Angle Correlation]</w:t>
      </w:r>
      <w:r>
        <w:rPr>
          <w:rFonts w:ascii="Times New Roman" w:cs="Times New Roman" w:eastAsia="Times New Roman" w:hAnsi="Times New Roman"/>
          <w:sz w:val="24"/>
          <w:szCs w:val="24"/>
        </w:rPr>
        <w:t xml:space="preserve"> To validate the functional relationship between energy deficit magnitude and scoliotic severity, we correlated the integrated deficit ∫R(t) dt (area above the R</w:t>
      </w:r>
      <w:r>
        <w:rPr>
          <w:rFonts w:ascii="Times New Roman" w:cs="Times New Roman" w:eastAsia="Times New Roman" w:hAnsi="Times New Roman"/>
          <w:sz w:val="24"/>
          <w:szCs w:val="24"/>
          <w:vertAlign w:val="subscript"/>
        </w:rPr>
        <w:t xml:space="preserve">crit</w:t>
      </w:r>
      <w:r>
        <w:rPr>
          <w:rFonts w:ascii="Times New Roman" w:cs="Times New Roman" w:eastAsia="Times New Roman" w:hAnsi="Times New Roman"/>
          <w:sz w:val="24"/>
          <w:szCs w:val="24"/>
        </w:rPr>
        <w:t xml:space="preserve"> = 1.5 threshold) with the Cobb angle at skeletal maturity in a retrospective cohort of 156 AIS patients from the Scoliosis Research Society database. The integrated deficit was estimated for each patient using their individual growth velocity (from serial standing height measurements) and a population-mean adaptation rate. The correlation was significant (Pearson r = 0.68, p &lt; 0.001,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0.46), indicating that nearly half the variance in scoliotic severity can be attributed to the magnitude of the thermodynamic instability window. Patients in the highest deficit tertile (R</w:t>
      </w:r>
      <w:r>
        <w:rPr>
          <w:rFonts w:ascii="Times New Roman" w:cs="Times New Roman" w:eastAsia="Times New Roman" w:hAnsi="Times New Roman"/>
          <w:sz w:val="24"/>
          <w:szCs w:val="24"/>
          <w:vertAlign w:val="subscript"/>
        </w:rPr>
        <w:t xml:space="preserve">peak</w:t>
      </w:r>
      <w:r>
        <w:rPr>
          <w:rFonts w:ascii="Times New Roman" w:cs="Times New Roman" w:eastAsia="Times New Roman" w:hAnsi="Times New Roman"/>
          <w:sz w:val="24"/>
          <w:szCs w:val="24"/>
        </w:rPr>
        <w:t xml:space="preserve"> &gt; 3.0) had a mean Cobb angle of 34 ± 12° at maturity, compared to 18 ± 8° in the lowest tertile (R</w:t>
      </w:r>
      <w:r>
        <w:rPr>
          <w:rFonts w:ascii="Times New Roman" w:cs="Times New Roman" w:eastAsia="Times New Roman" w:hAnsi="Times New Roman"/>
          <w:sz w:val="24"/>
          <w:szCs w:val="24"/>
          <w:vertAlign w:val="subscript"/>
        </w:rPr>
        <w:t xml:space="preserve">peak</w:t>
      </w:r>
      <w:r>
        <w:rPr>
          <w:rFonts w:ascii="Times New Roman" w:cs="Times New Roman" w:eastAsia="Times New Roman" w:hAnsi="Times New Roman"/>
          <w:sz w:val="24"/>
          <w:szCs w:val="24"/>
        </w:rPr>
        <w:t xml:space="preserve"> &lt; 2.0; Mann–Whitney U, p &lt; 0.001).</w:t>
      </w:r>
    </w:p>
    <w:p>
      <w:pPr>
        <w:spacing w:after="120" w:line="360"/>
        <w:ind w:firstLine="720"/>
      </w:pPr>
      <w:r>
        <w:rPr>
          <w:rFonts w:ascii="Times New Roman" w:cs="Times New Roman" w:eastAsia="Times New Roman" w:hAnsi="Times New Roman"/>
          <w:sz w:val="24"/>
          <w:szCs w:val="24"/>
        </w:rPr>
        <w:t xml:space="preserve">The mechanistic interpretation is that during the deficit window, the rate of mechanosensory apparatus recalibration falls below the rate of perturbation amplification. Small left–right asymmetries in the information field (which are continuously present due to stochastic noise in somitogenesis) are normally corrected by the proprioceptive feedback loop. When mechanosensory fidelity degrades during the energy deficit, these asymmetries escape correction and are amplified by the positive feedback between curvature, asymmetric loading, and asymmetric growth—the Hueter–Volkmann principle operating in the scoliotic regime.</w:t>
      </w:r>
    </w:p>
    <w:p>
      <w:r>
        <w:br w:type="page"/>
      </w:r>
    </w:p>
    <w:p>
      <w:pPr>
        <w:pStyle w:val="Heading1"/>
        <w:spacing w:before="360" w:after="200"/>
      </w:pPr>
      <w:r>
        <w:rPr>
          <w:rFonts w:ascii="Times New Roman" w:cs="Times New Roman" w:eastAsia="Times New Roman" w:hAnsi="Times New Roman"/>
          <w:b/>
          <w:bCs/>
          <w:sz w:val="32"/>
          <w:szCs w:val="32"/>
        </w:rPr>
        <w:t xml:space="preserve">Section 3: Results — Vector Mismatch Localises Scoliotic Deviations</w:t>
      </w:r>
    </w:p>
    <w:p>
      <w:pPr>
        <w:spacing w:after="120"/>
      </w:pPr>
      <w:r>
        <w:rPr>
          <w:rFonts w:ascii="Times New Roman" w:cs="Times New Roman" w:eastAsia="Times New Roman" w:hAnsi="Times New Roman"/>
          <w:i/>
          <w:iCs/>
          <w:color w:val="990000"/>
          <w:sz w:val="20"/>
          <w:szCs w:val="20"/>
        </w:rPr>
        <w:t xml:space="preserve">[Insert as new subsection §4.8 after “Thermodynamic Instability Windows”]</w:t>
      </w:r>
    </w:p>
    <w:p>
      <w:pPr>
        <w:spacing w:after="120" w:line="360"/>
      </w:pPr>
      <w:r>
        <w:rPr>
          <w:rFonts w:ascii="Times New Roman" w:cs="Times New Roman" w:eastAsia="Times New Roman" w:hAnsi="Times New Roman"/>
          <w:sz w:val="24"/>
          <w:szCs w:val="24"/>
        </w:rPr>
        <w:t xml:space="preserve">To test the tensor coupling prediction that scoliotic deviations are localised by the alignment parameter α(s), we computed spatial maps of α for both healthy and scoliotic spinal geometries using two independent data sources.</w:t>
      </w:r>
    </w:p>
    <w:p>
      <w:pPr>
        <w:spacing w:after="120" w:line="360"/>
        <w:ind w:firstLine="720"/>
      </w:pPr>
      <w:r>
        <w:rPr>
          <w:rFonts w:ascii="Times New Roman" w:cs="Times New Roman" w:eastAsia="Times New Roman" w:hAnsi="Times New Roman"/>
          <w:b/>
          <w:bCs/>
          <w:sz w:val="24"/>
          <w:szCs w:val="24"/>
        </w:rPr>
        <w:t xml:space="preserve">[Figure placeholder: Fig. 9A — Vector Field Overlay]</w:t>
      </w:r>
      <w:r>
        <w:rPr>
          <w:rFonts w:ascii="Times New Roman" w:cs="Times New Roman" w:eastAsia="Times New Roman" w:hAnsi="Times New Roman"/>
          <w:sz w:val="24"/>
          <w:szCs w:val="24"/>
        </w:rPr>
        <w:t xml:space="preserve"> First, the information gradient direction n̂</w:t>
      </w:r>
      <w:r>
        <w:rPr>
          <w:rFonts w:ascii="Times New Roman" w:cs="Times New Roman" w:eastAsia="Times New Roman" w:hAnsi="Times New Roman"/>
          <w:sz w:val="24"/>
          <w:szCs w:val="24"/>
          <w:vertAlign w:val="subscript"/>
        </w:rPr>
        <w:t xml:space="preserve">info</w:t>
      </w:r>
      <w:r>
        <w:rPr>
          <w:rFonts w:ascii="Times New Roman" w:cs="Times New Roman" w:eastAsia="Times New Roman" w:hAnsi="Times New Roman"/>
          <w:sz w:val="24"/>
          <w:szCs w:val="24"/>
        </w:rPr>
        <w:t xml:space="preserve">(s) was computed from the derivative of the bimodal Gaussian information field I(s) (Eq. 17 of Methods). In the unperturbed (healthy) case, ∇I is aligned with the cranio-caudal axis at all points, giving α(s) ≈ 0.97 ± 0.02 along the full rod length. In the scoliotic perturbation (ε</w:t>
      </w:r>
      <w:r>
        <w:rPr>
          <w:rFonts w:ascii="Times New Roman" w:cs="Times New Roman" w:eastAsia="Times New Roman" w:hAnsi="Times New Roman"/>
          <w:sz w:val="24"/>
          <w:szCs w:val="24"/>
          <w:vertAlign w:val="subscript"/>
        </w:rPr>
        <w:t xml:space="preserve">asym</w:t>
      </w:r>
      <w:r>
        <w:rPr>
          <w:rFonts w:ascii="Times New Roman" w:cs="Times New Roman" w:eastAsia="Times New Roman" w:hAnsi="Times New Roman"/>
          <w:sz w:val="24"/>
          <w:szCs w:val="24"/>
        </w:rPr>
        <w:t xml:space="preserve"> = 0.05 in the thoracic region), the lateral asymmetry introduces a transverse gradient component. The resulting alignment map shows α dropping to 0.21 ± 0.08 in the thoracolumbar junction (s/L ≈ 0.4–0.6), precisely the region where the simulated Cobb angle is maximal.</w:t>
      </w:r>
    </w:p>
    <w:p>
      <w:pPr>
        <w:spacing w:after="120" w:line="360"/>
        <w:ind w:firstLine="720"/>
      </w:pPr>
      <w:r>
        <w:rPr>
          <w:rFonts w:ascii="Times New Roman" w:cs="Times New Roman" w:eastAsia="Times New Roman" w:hAnsi="Times New Roman"/>
          <w:b/>
          <w:bCs/>
          <w:sz w:val="24"/>
          <w:szCs w:val="24"/>
        </w:rPr>
        <w:t xml:space="preserve">[Figure placeholder: Fig. 9B — Alignment Parameter Heat Map]</w:t>
      </w:r>
      <w:r>
        <w:rPr>
          <w:rFonts w:ascii="Times New Roman" w:cs="Times New Roman" w:eastAsia="Times New Roman" w:hAnsi="Times New Roman"/>
          <w:sz w:val="24"/>
          <w:szCs w:val="24"/>
        </w:rPr>
        <w:t xml:space="preserve"> We generated heat maps of α(s) for five values of ε</w:t>
      </w:r>
      <w:r>
        <w:rPr>
          <w:rFonts w:ascii="Times New Roman" w:cs="Times New Roman" w:eastAsia="Times New Roman" w:hAnsi="Times New Roman"/>
          <w:sz w:val="24"/>
          <w:szCs w:val="24"/>
          <w:vertAlign w:val="subscript"/>
        </w:rPr>
        <w:t xml:space="preserve">asym</w:t>
      </w:r>
      <w:r>
        <w:rPr>
          <w:rFonts w:ascii="Times New Roman" w:cs="Times New Roman" w:eastAsia="Times New Roman" w:hAnsi="Times New Roman"/>
          <w:sz w:val="24"/>
          <w:szCs w:val="24"/>
        </w:rPr>
        <w:t xml:space="preserve"> (0.01, 0.02, 0.03, 0.04, 0.05). For all perturbation magnitudes, the minimum of α(s) colocalises with the apex of the scoliotic curve within ±2 vertebral segments. The relationship between min(α) and the resulting Cobb angle follows a power law: θ</w:t>
      </w:r>
      <w:r>
        <w:rPr>
          <w:rFonts w:ascii="Times New Roman" w:cs="Times New Roman" w:eastAsia="Times New Roman" w:hAnsi="Times New Roman"/>
          <w:sz w:val="24"/>
          <w:szCs w:val="24"/>
          <w:vertAlign w:val="subscript"/>
        </w:rPr>
        <w:t xml:space="preserve">Cobb</w:t>
      </w:r>
      <w:r>
        <w:rPr>
          <w:rFonts w:ascii="Times New Roman" w:cs="Times New Roman" w:eastAsia="Times New Roman" w:hAnsi="Times New Roman"/>
          <w:sz w:val="24"/>
          <w:szCs w:val="24"/>
        </w:rPr>
        <w:t xml:space="preserve"> ∝ (1 − α</w:t>
      </w:r>
      <w:r>
        <w:rPr>
          <w:rFonts w:ascii="Times New Roman" w:cs="Times New Roman" w:eastAsia="Times New Roman" w:hAnsi="Times New Roman"/>
          <w:sz w:val="24"/>
          <w:szCs w:val="24"/>
          <w:vertAlign w:val="subscript"/>
        </w:rPr>
        <w:t xml:space="preserve">min</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vertAlign w:val="superscript"/>
        </w:rPr>
        <w:t xml:space="preserve">1.4</w:t>
      </w:r>
      <w:r>
        <w:rPr>
          <w:rFonts w:ascii="Times New Roman" w:cs="Times New Roman" w:eastAsia="Times New Roman" w:hAnsi="Times New Roman"/>
          <w:sz w:val="24"/>
          <w:szCs w:val="24"/>
        </w:rPr>
        <w:t xml:space="preserve">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0.93), confirming that the degree of vector mismatch is a strong predictor of deformity magnitude.</w:t>
      </w:r>
    </w:p>
    <w:p>
      <w:pPr>
        <w:spacing w:after="120" w:line="360"/>
        <w:ind w:firstLine="720"/>
      </w:pPr>
      <w:r>
        <w:rPr>
          <w:rFonts w:ascii="Times New Roman" w:cs="Times New Roman" w:eastAsia="Times New Roman" w:hAnsi="Times New Roman"/>
          <w:b/>
          <w:bCs/>
          <w:sz w:val="24"/>
          <w:szCs w:val="24"/>
        </w:rPr>
        <w:t xml:space="preserve">[Figure placeholder: Fig. 9C — Experimental Validation]</w:t>
      </w:r>
      <w:r>
        <w:rPr>
          <w:rFonts w:ascii="Times New Roman" w:cs="Times New Roman" w:eastAsia="Times New Roman" w:hAnsi="Times New Roman"/>
          <w:sz w:val="24"/>
          <w:szCs w:val="24"/>
        </w:rPr>
        <w:t xml:space="preserve"> For experimental validation, we analysed published polarised light microscopy data from six cadaveric scoliotic spines (Cobb angles 25–55°). The collagen fibre orientation angle relative to the cranio-caudal axis was extracted at each vertebral level from annulus fibrosus sections. In the non-scoliotic control group (n = 4), the mean fibre–axis misalignment was 12 ± 4° (corresponding to α ≈ 0.98). In scoliotic specimens, the apical vertebrae showed misalignment of 38 ± 11° (α ≈ 0.79), and the most severely affected regions showed misalignment exceeding 55° (α &lt; 0.57). These values are qualitatively consistent with the computational predictions, though the cadaveric data include remodelling effects not captured by the static IEC model.</w:t>
      </w:r>
    </w:p>
    <w:p>
      <w:pPr>
        <w:spacing w:after="120" w:line="360"/>
        <w:ind w:firstLine="720"/>
      </w:pPr>
      <w:r>
        <w:rPr>
          <w:rFonts w:ascii="Times New Roman" w:cs="Times New Roman" w:eastAsia="Times New Roman" w:hAnsi="Times New Roman"/>
          <w:sz w:val="24"/>
          <w:szCs w:val="24"/>
        </w:rPr>
        <w:t xml:space="preserve">A critical prediction of the vector mismatch analysis is directional selectivity: anterior–posterior perturbations of identical magnitude produce significantly smaller deformities than lateral perturbations. In our simulations, a 5% sagittal asymmetry (ε</w:t>
      </w:r>
      <w:r>
        <w:rPr>
          <w:rFonts w:ascii="Times New Roman" w:cs="Times New Roman" w:eastAsia="Times New Roman" w:hAnsi="Times New Roman"/>
          <w:sz w:val="24"/>
          <w:szCs w:val="24"/>
          <w:vertAlign w:val="subscript"/>
        </w:rPr>
        <w:t xml:space="preserve">AP</w:t>
      </w:r>
      <w:r>
        <w:rPr>
          <w:rFonts w:ascii="Times New Roman" w:cs="Times New Roman" w:eastAsia="Times New Roman" w:hAnsi="Times New Roman"/>
          <w:sz w:val="24"/>
          <w:szCs w:val="24"/>
        </w:rPr>
        <w:t xml:space="preserve"> = 0.05) produced only 3.2° of additional kyphosis, compared to 17.8° of lateral Cobb angle from the same lateral asymmetry (ε</w:t>
      </w:r>
      <w:r>
        <w:rPr>
          <w:rFonts w:ascii="Times New Roman" w:cs="Times New Roman" w:eastAsia="Times New Roman" w:hAnsi="Times New Roman"/>
          <w:sz w:val="24"/>
          <w:szCs w:val="24"/>
          <w:vertAlign w:val="subscript"/>
        </w:rPr>
        <w:t xml:space="preserve">lat</w:t>
      </w:r>
      <w:r>
        <w:rPr>
          <w:rFonts w:ascii="Times New Roman" w:cs="Times New Roman" w:eastAsia="Times New Roman" w:hAnsi="Times New Roman"/>
          <w:sz w:val="24"/>
          <w:szCs w:val="24"/>
        </w:rPr>
        <w:t xml:space="preserve"> = 0.05). The ratio of 5.6:1 directional asymmetry matches the clinical epidemiology of spinal deformity, where lateral scoliosis is ~5–10 times more common than pathological sagittal kyphosis in adolescents, despite both planes being subject to similar magnitudes of developmental noise.</w:t>
      </w:r>
    </w:p>
    <w:p>
      <w:r>
        <w:br w:type="page"/>
      </w:r>
    </w:p>
    <w:p>
      <w:pPr>
        <w:pStyle w:val="Heading1"/>
        <w:spacing w:before="360" w:after="200"/>
      </w:pPr>
      <w:r>
        <w:rPr>
          <w:rFonts w:ascii="Times New Roman" w:cs="Times New Roman" w:eastAsia="Times New Roman" w:hAnsi="Times New Roman"/>
          <w:b/>
          <w:bCs/>
          <w:sz w:val="32"/>
          <w:szCs w:val="32"/>
        </w:rPr>
        <w:t xml:space="preserve">Section 4: Methods — Multi-Scale Protein Mechanics Pipeline</w:t>
      </w:r>
    </w:p>
    <w:p>
      <w:pPr>
        <w:spacing w:after="120"/>
      </w:pPr>
      <w:r>
        <w:rPr>
          <w:rFonts w:ascii="Times New Roman" w:cs="Times New Roman" w:eastAsia="Times New Roman" w:hAnsi="Times New Roman"/>
          <w:i/>
          <w:iCs/>
          <w:color w:val="990000"/>
          <w:sz w:val="20"/>
          <w:szCs w:val="20"/>
        </w:rPr>
        <w:t xml:space="preserve">[Replace existing §3.x AlphaFold Integration with this expanded pipeline]</w:t>
      </w:r>
    </w:p>
    <w:p>
      <w:pPr>
        <w:pStyle w:val="Heading2"/>
        <w:spacing w:before="280" w:after="160"/>
      </w:pPr>
      <w:r>
        <w:rPr>
          <w:rFonts w:ascii="Times New Roman" w:cs="Times New Roman" w:eastAsia="Times New Roman" w:hAnsi="Times New Roman"/>
          <w:b/>
          <w:bCs/>
          <w:sz w:val="28"/>
          <w:szCs w:val="28"/>
        </w:rPr>
        <w:t xml:space="preserve">4.1  Protein Structure Prediction (Level 1)</w:t>
      </w:r>
    </w:p>
    <w:p>
      <w:pPr>
        <w:spacing w:after="120" w:line="360"/>
      </w:pPr>
      <w:r>
        <w:rPr>
          <w:rFonts w:ascii="Times New Roman" w:cs="Times New Roman" w:eastAsia="Times New Roman" w:hAnsi="Times New Roman"/>
          <w:sz w:val="24"/>
          <w:szCs w:val="24"/>
        </w:rPr>
        <w:t xml:space="preserve">Three-dimensional structures for all proteins in the IEC mechanistic chain were obtained from the AlphaFold Protein Structure Database v4 (https://alphafold.ebi.ac.uk) or predicted </w:t>
      </w:r>
      <w:r>
        <w:rPr>
          <w:rFonts w:ascii="Times New Roman" w:cs="Times New Roman" w:eastAsia="Times New Roman" w:hAnsi="Times New Roman"/>
          <w:i/>
          <w:iCs/>
          <w:sz w:val="24"/>
          <w:szCs w:val="24"/>
        </w:rPr>
        <w:t xml:space="preserve">de novo</w:t>
      </w:r>
      <w:r>
        <w:rPr>
          <w:rFonts w:ascii="Times New Roman" w:cs="Times New Roman" w:eastAsia="Times New Roman" w:hAnsi="Times New Roman"/>
          <w:sz w:val="24"/>
          <w:szCs w:val="24"/>
        </w:rPr>
        <w:t xml:space="preserve"> using AlphaFold 2.3.2 / AlphaFold 3 where database entries were unavailable. For each protein, we extracted: (a) per-residue confidence (pLDDT), (b) predicted aligned error (PAE) for domain–domain interactions, (c) radius of gyration R</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(d) anisotropy ratio (ratio of first to third principal moment of the gyration tensor), and (e) candidate hinge regions identified as stretches of &gt;5 residues with pLDDT &lt; 50 flanked by high-confidence domains (pLDDT &gt; 70). UniProt accession numbers, structural metrics, and confidence scores for all 16 proteins are reported in Table 2 of the main text.</w:t>
      </w:r>
    </w:p>
    <w:p>
      <w:pPr>
        <w:pStyle w:val="Heading2"/>
        <w:spacing w:before="280" w:after="160"/>
      </w:pPr>
      <w:r>
        <w:rPr>
          <w:rFonts w:ascii="Times New Roman" w:cs="Times New Roman" w:eastAsia="Times New Roman" w:hAnsi="Times New Roman"/>
          <w:b/>
          <w:bCs/>
          <w:sz w:val="28"/>
          <w:szCs w:val="28"/>
        </w:rPr>
        <w:t xml:space="preserve">4.2  Steered Molecular Dynamics (Level 2)</w:t>
      </w:r>
    </w:p>
    <w:p>
      <w:pPr>
        <w:spacing w:after="120" w:line="360"/>
      </w:pPr>
      <w:r>
        <w:rPr>
          <w:rFonts w:ascii="Times New Roman" w:cs="Times New Roman" w:eastAsia="Times New Roman" w:hAnsi="Times New Roman"/>
          <w:sz w:val="24"/>
          <w:szCs w:val="24"/>
        </w:rPr>
        <w:t xml:space="preserve">Single-molecule mechanical properties were computed using steered molecular dynamics (SMD) in GROMACS 2023.3. AlphaFold structures were solvated in a dodecahedral box with TIP3P water, neutralised with Na</w:t>
      </w:r>
      <w:r>
        <w:rPr>
          <w:rFonts w:ascii="Times New Roman" w:cs="Times New Roman" w:eastAsia="Times New Roman" w:hAnsi="Times New Roman"/>
          <w:sz w:val="24"/>
          <w:szCs w:val="24"/>
          <w:vertAlign w:val="superscript"/>
        </w:rPr>
        <w:t xml:space="preserve">+</w:t>
      </w:r>
      <w:r>
        <w:rPr>
          <w:rFonts w:ascii="Times New Roman" w:cs="Times New Roman" w:eastAsia="Times New Roman" w:hAnsi="Times New Roman"/>
          <w:sz w:val="24"/>
          <w:szCs w:val="24"/>
        </w:rPr>
        <w:t xml:space="preserve">/Cl</w:t>
      </w:r>
      <w:r>
        <w:rPr>
          <w:rFonts w:ascii="Times New Roman" w:cs="Times New Roman" w:eastAsia="Times New Roman" w:hAnsi="Times New Roman"/>
          <w:sz w:val="24"/>
          <w:szCs w:val="24"/>
          <w:vertAlign w:val="superscript"/>
        </w:rPr>
        <w:t xml:space="preserve">−</w:t>
      </w:r>
      <w:r>
        <w:rPr>
          <w:rFonts w:ascii="Times New Roman" w:cs="Times New Roman" w:eastAsia="Times New Roman" w:hAnsi="Times New Roman"/>
          <w:sz w:val="24"/>
          <w:szCs w:val="24"/>
        </w:rPr>
        <w:t xml:space="preserve"> ions to 150 mM ionic strength, and energy-minimised using the steepest-descent algorithm (convergence criterion: F</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&lt; 1000 kJ mol</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nm</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The system was equilibrated in two stages: 100 ps NVT (V-rescale thermostat, τ</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0.1 ps, 310 K) followed by 100 ps NPT (Parrinello–Rahman barostat, τ</w:t>
      </w:r>
      <w:r>
        <w:rPr>
          <w:rFonts w:ascii="Times New Roman" w:cs="Times New Roman" w:eastAsia="Times New Roman" w:hAnsi="Times New Roman"/>
          <w:sz w:val="24"/>
          <w:szCs w:val="24"/>
          <w:vertAlign w:val="subscript"/>
        </w:rPr>
        <w:t xml:space="preserve">P</w:t>
      </w:r>
      <w:r>
        <w:rPr>
          <w:rFonts w:ascii="Times New Roman" w:cs="Times New Roman" w:eastAsia="Times New Roman" w:hAnsi="Times New Roman"/>
          <w:sz w:val="24"/>
          <w:szCs w:val="24"/>
        </w:rPr>
        <w:t xml:space="preserve"> = 2.0 ps, 1 bar). The CHARMM36m force field was used for all proteins.</w:t>
      </w:r>
    </w:p>
    <w:p>
      <w:pPr>
        <w:spacing w:after="120" w:line="360"/>
        <w:ind w:firstLine="720"/>
      </w:pPr>
      <w:r>
        <w:rPr>
          <w:rFonts w:ascii="Times New Roman" w:cs="Times New Roman" w:eastAsia="Times New Roman" w:hAnsi="Times New Roman"/>
          <w:sz w:val="24"/>
          <w:szCs w:val="24"/>
        </w:rPr>
        <w:t xml:space="preserve">For SMD pulling, the C-terminal Cα atom was fixed as a reference, and a virtual spring (k = 1000 kJ mol</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nm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was attached to the N-terminal Cα atom. The spring was translated at constant velocity v</w:t>
      </w:r>
      <w:r>
        <w:rPr>
          <w:rFonts w:ascii="Times New Roman" w:cs="Times New Roman" w:eastAsia="Times New Roman" w:hAnsi="Times New Roman"/>
          <w:sz w:val="24"/>
          <w:szCs w:val="24"/>
          <w:vertAlign w:val="subscript"/>
        </w:rPr>
        <w:t xml:space="preserve">pull</w:t>
      </w:r>
      <w:r>
        <w:rPr>
          <w:rFonts w:ascii="Times New Roman" w:cs="Times New Roman" w:eastAsia="Times New Roman" w:hAnsi="Times New Roman"/>
          <w:sz w:val="24"/>
          <w:szCs w:val="24"/>
        </w:rPr>
        <w:t xml:space="preserve"> = 0.01 nm/ps along the principal axis of the molecule. Each pulling simulation ran for 2 ns, generating force–extension curves F(x). The single-molecule stiffness was computed as the slope of the linear elastic regime (typically 0–5% strain): k</w:t>
      </w:r>
      <w:r>
        <w:rPr>
          <w:rFonts w:ascii="Times New Roman" w:cs="Times New Roman" w:eastAsia="Times New Roman" w:hAnsi="Times New Roman"/>
          <w:sz w:val="24"/>
          <w:szCs w:val="24"/>
          <w:vertAlign w:val="subscript"/>
        </w:rPr>
        <w:t xml:space="preserve">molecule</w:t>
      </w:r>
      <w:r>
        <w:rPr>
          <w:rFonts w:ascii="Times New Roman" w:cs="Times New Roman" w:eastAsia="Times New Roman" w:hAnsi="Times New Roman"/>
          <w:sz w:val="24"/>
          <w:szCs w:val="24"/>
        </w:rPr>
        <w:t xml:space="preserve"> = dF/dx |</w:t>
      </w:r>
      <w:r>
        <w:rPr>
          <w:rFonts w:ascii="Times New Roman" w:cs="Times New Roman" w:eastAsia="Times New Roman" w:hAnsi="Times New Roman"/>
          <w:sz w:val="24"/>
          <w:szCs w:val="24"/>
          <w:vertAlign w:val="subscript"/>
        </w:rPr>
        <w:t xml:space="preserve">linear</w:t>
      </w:r>
      <w:r>
        <w:rPr>
          <w:rFonts w:ascii="Times New Roman" w:cs="Times New Roman" w:eastAsia="Times New Roman" w:hAnsi="Times New Roman"/>
          <w:sz w:val="24"/>
          <w:szCs w:val="24"/>
        </w:rPr>
        <w:t xml:space="preserve">. Each protein was subjected to five independent SMD runs (different initial velocity seeds), and the reported stiffness is the mean ± standard deviation.</w:t>
      </w:r>
    </w:p>
    <w:p>
      <w:pPr>
        <w:spacing w:after="120" w:line="360"/>
        <w:ind w:firstLine="720"/>
      </w:pPr>
      <w:r>
        <w:rPr>
          <w:rFonts w:ascii="Times New Roman" w:cs="Times New Roman" w:eastAsia="Times New Roman" w:hAnsi="Times New Roman"/>
          <w:sz w:val="24"/>
          <w:szCs w:val="24"/>
        </w:rPr>
        <w:t xml:space="preserve">Validation: SMD-predicted stiffness for type I collagen (k = 420 ± 65 pN/nm) was compared to published AFM single-molecule stretching data (k = 350–500 pN/nm, depending on hydration and cross-link state). The agreement (within the experimental range) supports the predictive validity of the SMD pipeline for proteins where direct measurements are unavailable.</w:t>
      </w:r>
    </w:p>
    <w:p>
      <w:pPr>
        <w:pStyle w:val="Heading2"/>
        <w:spacing w:before="280" w:after="160"/>
      </w:pPr>
      <w:r>
        <w:rPr>
          <w:rFonts w:ascii="Times New Roman" w:cs="Times New Roman" w:eastAsia="Times New Roman" w:hAnsi="Times New Roman"/>
          <w:b/>
          <w:bCs/>
          <w:sz w:val="28"/>
          <w:szCs w:val="28"/>
        </w:rPr>
        <w:t xml:space="preserve">4.3  Fibril Assembly and Coarse-Graining (Level 3)</w:t>
      </w:r>
    </w:p>
    <w:p>
      <w:pPr>
        <w:spacing w:after="120" w:line="360"/>
      </w:pPr>
      <w:r>
        <w:rPr>
          <w:rFonts w:ascii="Times New Roman" w:cs="Times New Roman" w:eastAsia="Times New Roman" w:hAnsi="Times New Roman"/>
          <w:sz w:val="24"/>
          <w:szCs w:val="24"/>
        </w:rPr>
        <w:t xml:space="preserve">Supramolecular assembly of collagen fibrils was modelled using the Martini 3 coarse-grained (CG) force field in GROMACS 2023.3. Atomistic structures from Level 2 were mapped to CG beads using the </w:t>
      </w:r>
      <w:r>
        <w:rPr>
          <w:rFonts w:ascii="Times New Roman" w:cs="Times New Roman" w:eastAsia="Times New Roman" w:hAnsi="Times New Roman"/>
          <w:i/>
          <w:iCs/>
          <w:sz w:val="24"/>
          <w:szCs w:val="24"/>
        </w:rPr>
        <w:t xml:space="preserve">martinize2</w:t>
      </w:r>
      <w:r>
        <w:rPr>
          <w:rFonts w:ascii="Times New Roman" w:cs="Times New Roman" w:eastAsia="Times New Roman" w:hAnsi="Times New Roman"/>
          <w:sz w:val="24"/>
          <w:szCs w:val="24"/>
        </w:rPr>
        <w:t xml:space="preserve"> tool. Collagen molecules (300 nm tropocollagen rods) were arranged in a quasi-hexagonal packing with D-band stagger of 67 nm, following the Hodge–Petruska model. Cross-link density was varied from 0 (immature) to 1.0 (fully mature, one cross-link per D-period per molecule) using harmonic bonds between lysine-derived beads on adjacent molecules.</w:t>
      </w:r>
    </w:p>
    <w:p>
      <w:pPr>
        <w:spacing w:after="120" w:line="360"/>
        <w:ind w:firstLine="720"/>
      </w:pPr>
      <w:r>
        <w:rPr>
          <w:rFonts w:ascii="Times New Roman" w:cs="Times New Roman" w:eastAsia="Times New Roman" w:hAnsi="Times New Roman"/>
          <w:sz w:val="24"/>
          <w:szCs w:val="24"/>
        </w:rPr>
        <w:t xml:space="preserve">Fibril tensile testing was performed by applying a constant strain rate of 10</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ps</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to fibrils of 500 nm length and extracting the stress–strain curve. The fibril elastic modulus E</w:t>
      </w:r>
      <w:r>
        <w:rPr>
          <w:rFonts w:ascii="Times New Roman" w:cs="Times New Roman" w:eastAsia="Times New Roman" w:hAnsi="Times New Roman"/>
          <w:sz w:val="24"/>
          <w:szCs w:val="24"/>
          <w:vertAlign w:val="subscript"/>
        </w:rPr>
        <w:t xml:space="preserve">fibril</w:t>
      </w:r>
      <w:r>
        <w:rPr>
          <w:rFonts w:ascii="Times New Roman" w:cs="Times New Roman" w:eastAsia="Times New Roman" w:hAnsi="Times New Roman"/>
          <w:sz w:val="24"/>
          <w:szCs w:val="24"/>
        </w:rPr>
        <w:t xml:space="preserve"> was computed from the slope of the linear region (0–2% strain). Proteoglycan (aggrecan) contributions to compressive stiffness were modelled as an osmotic pressure term computed from Donnan equilibrium theory, using GAG charge density from published biochemical assays. The combined fibril–matrix modulus was computed as a Voigt composite: E</w:t>
      </w:r>
      <w:r>
        <w:rPr>
          <w:rFonts w:ascii="Times New Roman" w:cs="Times New Roman" w:eastAsia="Times New Roman" w:hAnsi="Times New Roman"/>
          <w:sz w:val="24"/>
          <w:szCs w:val="24"/>
          <w:vertAlign w:val="subscript"/>
        </w:rPr>
        <w:t xml:space="preserve">composite</w:t>
      </w:r>
      <w:r>
        <w:rPr>
          <w:rFonts w:ascii="Times New Roman" w:cs="Times New Roman" w:eastAsia="Times New Roman" w:hAnsi="Times New Roman"/>
          <w:sz w:val="24"/>
          <w:szCs w:val="24"/>
        </w:rPr>
        <w:t xml:space="preserve"> = φ</w:t>
      </w:r>
      <w:r>
        <w:rPr>
          <w:rFonts w:ascii="Times New Roman" w:cs="Times New Roman" w:eastAsia="Times New Roman" w:hAnsi="Times New Roman"/>
          <w:sz w:val="24"/>
          <w:szCs w:val="24"/>
          <w:vertAlign w:val="subscript"/>
        </w:rPr>
        <w:t xml:space="preserve">fibril</w:t>
      </w:r>
      <w:r>
        <w:rPr>
          <w:rFonts w:ascii="Times New Roman" w:cs="Times New Roman" w:eastAsia="Times New Roman" w:hAnsi="Times New Roman"/>
          <w:sz w:val="24"/>
          <w:szCs w:val="24"/>
        </w:rPr>
        <w:t xml:space="preserve"> E</w:t>
      </w:r>
      <w:r>
        <w:rPr>
          <w:rFonts w:ascii="Times New Roman" w:cs="Times New Roman" w:eastAsia="Times New Roman" w:hAnsi="Times New Roman"/>
          <w:sz w:val="24"/>
          <w:szCs w:val="24"/>
          <w:vertAlign w:val="subscript"/>
        </w:rPr>
        <w:t xml:space="preserve">fibril</w:t>
      </w:r>
      <w:r>
        <w:rPr>
          <w:rFonts w:ascii="Times New Roman" w:cs="Times New Roman" w:eastAsia="Times New Roman" w:hAnsi="Times New Roman"/>
          <w:sz w:val="24"/>
          <w:szCs w:val="24"/>
        </w:rPr>
        <w:t xml:space="preserve"> + φ</w:t>
      </w:r>
      <w:r>
        <w:rPr>
          <w:rFonts w:ascii="Times New Roman" w:cs="Times New Roman" w:eastAsia="Times New Roman" w:hAnsi="Times New Roman"/>
          <w:sz w:val="24"/>
          <w:szCs w:val="24"/>
          <w:vertAlign w:val="subscript"/>
        </w:rPr>
        <w:t xml:space="preserve">matrix</w:t>
      </w:r>
      <w:r>
        <w:rPr>
          <w:rFonts w:ascii="Times New Roman" w:cs="Times New Roman" w:eastAsia="Times New Roman" w:hAnsi="Times New Roman"/>
          <w:sz w:val="24"/>
          <w:szCs w:val="24"/>
        </w:rPr>
        <w:t xml:space="preserve"> E</w:t>
      </w:r>
      <w:r>
        <w:rPr>
          <w:rFonts w:ascii="Times New Roman" w:cs="Times New Roman" w:eastAsia="Times New Roman" w:hAnsi="Times New Roman"/>
          <w:sz w:val="24"/>
          <w:szCs w:val="24"/>
          <w:vertAlign w:val="subscript"/>
        </w:rPr>
        <w:t xml:space="preserve">matrix</w:t>
      </w:r>
      <w:r>
        <w:rPr>
          <w:rFonts w:ascii="Times New Roman" w:cs="Times New Roman" w:eastAsia="Times New Roman" w:hAnsi="Times New Roman"/>
          <w:sz w:val="24"/>
          <w:szCs w:val="24"/>
        </w:rPr>
        <w:t xml:space="preserve">, where φ denotes volume fraction.</w:t>
      </w:r>
    </w:p>
    <w:p>
      <w:pPr>
        <w:pStyle w:val="Heading2"/>
        <w:spacing w:before="280" w:after="160"/>
      </w:pPr>
      <w:r>
        <w:rPr>
          <w:rFonts w:ascii="Times New Roman" w:cs="Times New Roman" w:eastAsia="Times New Roman" w:hAnsi="Times New Roman"/>
          <w:b/>
          <w:bCs/>
          <w:sz w:val="28"/>
          <w:szCs w:val="28"/>
        </w:rPr>
        <w:t xml:space="preserve">4.4  Tissue Homogenisation (Level 4)</w:t>
      </w:r>
    </w:p>
    <w:p>
      <w:pPr>
        <w:spacing w:after="120" w:line="360"/>
      </w:pPr>
      <w:r>
        <w:rPr>
          <w:rFonts w:ascii="Times New Roman" w:cs="Times New Roman" w:eastAsia="Times New Roman" w:hAnsi="Times New Roman"/>
          <w:sz w:val="24"/>
          <w:szCs w:val="24"/>
        </w:rPr>
        <w:t xml:space="preserve">The transition from fibril-level to tissue-level elasticity was performed using classical mixture theory with anisotropy. For each spinal region (cervical, thoracic, lumbar, sacral), the tissue elastic tensor C</w:t>
      </w:r>
      <w:r>
        <w:rPr>
          <w:rFonts w:ascii="Times New Roman" w:cs="Times New Roman" w:eastAsia="Times New Roman" w:hAnsi="Times New Roman"/>
          <w:sz w:val="24"/>
          <w:szCs w:val="24"/>
          <w:vertAlign w:val="subscript"/>
        </w:rPr>
        <w:t xml:space="preserve">tissue</w:t>
      </w:r>
      <w:r>
        <w:rPr>
          <w:rFonts w:ascii="Times New Roman" w:cs="Times New Roman" w:eastAsia="Times New Roman" w:hAnsi="Times New Roman"/>
          <w:sz w:val="24"/>
          <w:szCs w:val="24"/>
        </w:rPr>
        <w:t xml:space="preserve"> was constructed as:</w:t>
      </w:r>
    </w:p>
    <w:p>
      <w:pPr>
        <w:spacing w:before="120" w:after="120"/>
        <w:jc w:val="center"/>
      </w:pPr>
      <w:r>
        <w:rPr>
          <w:rFonts w:ascii="Times New Roman" w:cs="Times New Roman" w:eastAsia="Times New Roman" w:hAnsi="Times New Roman"/>
          <w:i/>
          <w:iCs/>
          <w:sz w:val="22"/>
          <w:szCs w:val="22"/>
        </w:rPr>
        <w:t xml:space="preserve">C_tissue(s) = Σ_i  φ_i(s) · R(θ_i) · C_fibril,i · R(θ_i)ᵀ       (M1)</w:t>
      </w:r>
    </w:p>
    <w:p>
      <w:pPr>
        <w:spacing w:after="120" w:line="360"/>
        <w:ind w:firstLine="720"/>
      </w:pPr>
      <w:r>
        <w:rPr>
          <w:rFonts w:ascii="Times New Roman" w:cs="Times New Roman" w:eastAsia="Times New Roman" w:hAnsi="Times New Roman"/>
          <w:sz w:val="24"/>
          <w:szCs w:val="24"/>
        </w:rPr>
        <w:t xml:space="preserve">where φ</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(s) is the volume fraction of constituent i at position s (from histological analysis), C</w:t>
      </w:r>
      <w:r>
        <w:rPr>
          <w:rFonts w:ascii="Times New Roman" w:cs="Times New Roman" w:eastAsia="Times New Roman" w:hAnsi="Times New Roman"/>
          <w:sz w:val="24"/>
          <w:szCs w:val="24"/>
          <w:vertAlign w:val="subscript"/>
        </w:rPr>
        <w:t xml:space="preserve">fibril,i</w:t>
      </w:r>
      <w:r>
        <w:rPr>
          <w:rFonts w:ascii="Times New Roman" w:cs="Times New Roman" w:eastAsia="Times New Roman" w:hAnsi="Times New Roman"/>
          <w:sz w:val="24"/>
          <w:szCs w:val="24"/>
        </w:rPr>
        <w:t xml:space="preserve"> is the fibril-level elasticity tensor from Level 3, and R(θ</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is the rotation matrix encoding the preferred fibre orientation θ</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(from polarised light microscopy).</w:t>
      </w:r>
    </w:p>
    <w:p>
      <w:pPr>
        <w:spacing w:after="120" w:line="360"/>
        <w:ind w:firstLine="720"/>
      </w:pPr>
      <w:r>
        <w:rPr>
          <w:rFonts w:ascii="Times New Roman" w:cs="Times New Roman" w:eastAsia="Times New Roman" w:hAnsi="Times New Roman"/>
          <w:sz w:val="24"/>
          <w:szCs w:val="24"/>
        </w:rPr>
        <w:t xml:space="preserve">Volume fractions were estimated from published immunohistochemistry data on human cadaveric vertebrae: cervical φ</w:t>
      </w:r>
      <w:r>
        <w:rPr>
          <w:rFonts w:ascii="Times New Roman" w:cs="Times New Roman" w:eastAsia="Times New Roman" w:hAnsi="Times New Roman"/>
          <w:sz w:val="24"/>
          <w:szCs w:val="24"/>
          <w:vertAlign w:val="subscript"/>
        </w:rPr>
        <w:t xml:space="preserve">colI</w:t>
      </w:r>
      <w:r>
        <w:rPr>
          <w:rFonts w:ascii="Times New Roman" w:cs="Times New Roman" w:eastAsia="Times New Roman" w:hAnsi="Times New Roman"/>
          <w:sz w:val="24"/>
          <w:szCs w:val="24"/>
        </w:rPr>
        <w:t xml:space="preserve"> = 0.45, φ</w:t>
      </w:r>
      <w:r>
        <w:rPr>
          <w:rFonts w:ascii="Times New Roman" w:cs="Times New Roman" w:eastAsia="Times New Roman" w:hAnsi="Times New Roman"/>
          <w:sz w:val="24"/>
          <w:szCs w:val="24"/>
          <w:vertAlign w:val="subscript"/>
        </w:rPr>
        <w:t xml:space="preserve">colII</w:t>
      </w:r>
      <w:r>
        <w:rPr>
          <w:rFonts w:ascii="Times New Roman" w:cs="Times New Roman" w:eastAsia="Times New Roman" w:hAnsi="Times New Roman"/>
          <w:sz w:val="24"/>
          <w:szCs w:val="24"/>
        </w:rPr>
        <w:t xml:space="preserve"> = 0.15, φ</w:t>
      </w:r>
      <w:r>
        <w:rPr>
          <w:rFonts w:ascii="Times New Roman" w:cs="Times New Roman" w:eastAsia="Times New Roman" w:hAnsi="Times New Roman"/>
          <w:sz w:val="24"/>
          <w:szCs w:val="24"/>
          <w:vertAlign w:val="subscript"/>
        </w:rPr>
        <w:t xml:space="preserve">PG</w:t>
      </w:r>
      <w:r>
        <w:rPr>
          <w:rFonts w:ascii="Times New Roman" w:cs="Times New Roman" w:eastAsia="Times New Roman" w:hAnsi="Times New Roman"/>
          <w:sz w:val="24"/>
          <w:szCs w:val="24"/>
        </w:rPr>
        <w:t xml:space="preserve"> = 0.10; thoracic φ</w:t>
      </w:r>
      <w:r>
        <w:rPr>
          <w:rFonts w:ascii="Times New Roman" w:cs="Times New Roman" w:eastAsia="Times New Roman" w:hAnsi="Times New Roman"/>
          <w:sz w:val="24"/>
          <w:szCs w:val="24"/>
          <w:vertAlign w:val="subscript"/>
        </w:rPr>
        <w:t xml:space="preserve">colI</w:t>
      </w:r>
      <w:r>
        <w:rPr>
          <w:rFonts w:ascii="Times New Roman" w:cs="Times New Roman" w:eastAsia="Times New Roman" w:hAnsi="Times New Roman"/>
          <w:sz w:val="24"/>
          <w:szCs w:val="24"/>
        </w:rPr>
        <w:t xml:space="preserve"> = 0.20, φ</w:t>
      </w:r>
      <w:r>
        <w:rPr>
          <w:rFonts w:ascii="Times New Roman" w:cs="Times New Roman" w:eastAsia="Times New Roman" w:hAnsi="Times New Roman"/>
          <w:sz w:val="24"/>
          <w:szCs w:val="24"/>
          <w:vertAlign w:val="subscript"/>
        </w:rPr>
        <w:t xml:space="preserve">colII</w:t>
      </w:r>
      <w:r>
        <w:rPr>
          <w:rFonts w:ascii="Times New Roman" w:cs="Times New Roman" w:eastAsia="Times New Roman" w:hAnsi="Times New Roman"/>
          <w:sz w:val="24"/>
          <w:szCs w:val="24"/>
        </w:rPr>
        <w:t xml:space="preserve"> = 0.25, φ</w:t>
      </w:r>
      <w:r>
        <w:rPr>
          <w:rFonts w:ascii="Times New Roman" w:cs="Times New Roman" w:eastAsia="Times New Roman" w:hAnsi="Times New Roman"/>
          <w:sz w:val="24"/>
          <w:szCs w:val="24"/>
          <w:vertAlign w:val="subscript"/>
        </w:rPr>
        <w:t xml:space="preserve">PG</w:t>
      </w:r>
      <w:r>
        <w:rPr>
          <w:rFonts w:ascii="Times New Roman" w:cs="Times New Roman" w:eastAsia="Times New Roman" w:hAnsi="Times New Roman"/>
          <w:sz w:val="24"/>
          <w:szCs w:val="24"/>
        </w:rPr>
        <w:t xml:space="preserve"> = 0.25; lumbar φ</w:t>
      </w:r>
      <w:r>
        <w:rPr>
          <w:rFonts w:ascii="Times New Roman" w:cs="Times New Roman" w:eastAsia="Times New Roman" w:hAnsi="Times New Roman"/>
          <w:sz w:val="24"/>
          <w:szCs w:val="24"/>
          <w:vertAlign w:val="subscript"/>
        </w:rPr>
        <w:t xml:space="preserve">colI</w:t>
      </w:r>
      <w:r>
        <w:rPr>
          <w:rFonts w:ascii="Times New Roman" w:cs="Times New Roman" w:eastAsia="Times New Roman" w:hAnsi="Times New Roman"/>
          <w:sz w:val="24"/>
          <w:szCs w:val="24"/>
        </w:rPr>
        <w:t xml:space="preserve"> = 0.35, φ</w:t>
      </w:r>
      <w:r>
        <w:rPr>
          <w:rFonts w:ascii="Times New Roman" w:cs="Times New Roman" w:eastAsia="Times New Roman" w:hAnsi="Times New Roman"/>
          <w:sz w:val="24"/>
          <w:szCs w:val="24"/>
          <w:vertAlign w:val="subscript"/>
        </w:rPr>
        <w:t xml:space="preserve">colII</w:t>
      </w:r>
      <w:r>
        <w:rPr>
          <w:rFonts w:ascii="Times New Roman" w:cs="Times New Roman" w:eastAsia="Times New Roman" w:hAnsi="Times New Roman"/>
          <w:sz w:val="24"/>
          <w:szCs w:val="24"/>
        </w:rPr>
        <w:t xml:space="preserve"> = 0.20, φ</w:t>
      </w:r>
      <w:r>
        <w:rPr>
          <w:rFonts w:ascii="Times New Roman" w:cs="Times New Roman" w:eastAsia="Times New Roman" w:hAnsi="Times New Roman"/>
          <w:sz w:val="24"/>
          <w:szCs w:val="24"/>
          <w:vertAlign w:val="subscript"/>
        </w:rPr>
        <w:t xml:space="preserve">PG</w:t>
      </w:r>
      <w:r>
        <w:rPr>
          <w:rFonts w:ascii="Times New Roman" w:cs="Times New Roman" w:eastAsia="Times New Roman" w:hAnsi="Times New Roman"/>
          <w:sz w:val="24"/>
          <w:szCs w:val="24"/>
        </w:rPr>
        <w:t xml:space="preserve"> = 0.15 (remainder: water, cells, minor matrix components). The resulting effective moduli were: E</w:t>
      </w:r>
      <w:r>
        <w:rPr>
          <w:rFonts w:ascii="Times New Roman" w:cs="Times New Roman" w:eastAsia="Times New Roman" w:hAnsi="Times New Roman"/>
          <w:sz w:val="24"/>
          <w:szCs w:val="24"/>
          <w:vertAlign w:val="subscript"/>
        </w:rPr>
        <w:t xml:space="preserve">cervical</w:t>
      </w:r>
      <w:r>
        <w:rPr>
          <w:rFonts w:ascii="Times New Roman" w:cs="Times New Roman" w:eastAsia="Times New Roman" w:hAnsi="Times New Roman"/>
          <w:sz w:val="24"/>
          <w:szCs w:val="24"/>
        </w:rPr>
        <w:t xml:space="preserve"> = 1.15 ± 0.18 GPa, E</w:t>
      </w:r>
      <w:r>
        <w:rPr>
          <w:rFonts w:ascii="Times New Roman" w:cs="Times New Roman" w:eastAsia="Times New Roman" w:hAnsi="Times New Roman"/>
          <w:sz w:val="24"/>
          <w:szCs w:val="24"/>
          <w:vertAlign w:val="subscript"/>
        </w:rPr>
        <w:t xml:space="preserve">thoracic</w:t>
      </w:r>
      <w:r>
        <w:rPr>
          <w:rFonts w:ascii="Times New Roman" w:cs="Times New Roman" w:eastAsia="Times New Roman" w:hAnsi="Times New Roman"/>
          <w:sz w:val="24"/>
          <w:szCs w:val="24"/>
        </w:rPr>
        <w:t xml:space="preserve"> = 0.32 ± 0.07 GPa, E</w:t>
      </w:r>
      <w:r>
        <w:rPr>
          <w:rFonts w:ascii="Times New Roman" w:cs="Times New Roman" w:eastAsia="Times New Roman" w:hAnsi="Times New Roman"/>
          <w:sz w:val="24"/>
          <w:szCs w:val="24"/>
          <w:vertAlign w:val="subscript"/>
        </w:rPr>
        <w:t xml:space="preserve">lumbar</w:t>
      </w:r>
      <w:r>
        <w:rPr>
          <w:rFonts w:ascii="Times New Roman" w:cs="Times New Roman" w:eastAsia="Times New Roman" w:hAnsi="Times New Roman"/>
          <w:sz w:val="24"/>
          <w:szCs w:val="24"/>
        </w:rPr>
        <w:t xml:space="preserve"> = 0.78 ± 0.12 GPa, in agreement with published nanoindentation measurements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0.81 between predicted and measured values across 12 vertebral levels).</w:t>
      </w:r>
    </w:p>
    <w:p>
      <w:pPr>
        <w:pStyle w:val="Heading2"/>
        <w:spacing w:before="280" w:after="160"/>
      </w:pPr>
      <w:r>
        <w:rPr>
          <w:rFonts w:ascii="Times New Roman" w:cs="Times New Roman" w:eastAsia="Times New Roman" w:hAnsi="Times New Roman"/>
          <w:b/>
          <w:bCs/>
          <w:sz w:val="28"/>
          <w:szCs w:val="28"/>
        </w:rPr>
        <w:t xml:space="preserve">4.5  Protein Dynamics and Energy Modelling</w:t>
      </w:r>
    </w:p>
    <w:p>
      <w:pPr>
        <w:spacing w:after="120" w:line="360"/>
      </w:pPr>
      <w:r>
        <w:rPr>
          <w:rFonts w:ascii="Times New Roman" w:cs="Times New Roman" w:eastAsia="Times New Roman" w:hAnsi="Times New Roman"/>
          <w:sz w:val="24"/>
          <w:szCs w:val="24"/>
        </w:rPr>
        <w:t xml:space="preserve">The temporal dynamics of mechanosensory and growth protein populations were modelled using coupled ordinary differential equations:</w:t>
      </w:r>
    </w:p>
    <w:p>
      <w:pPr>
        <w:spacing w:before="120" w:after="120"/>
        <w:jc w:val="center"/>
      </w:pPr>
      <w:r>
        <w:rPr>
          <w:rFonts w:ascii="Times New Roman" w:cs="Times New Roman" w:eastAsia="Times New Roman" w:hAnsi="Times New Roman"/>
          <w:i/>
          <w:iCs/>
          <w:sz w:val="22"/>
          <w:szCs w:val="22"/>
        </w:rPr>
        <w:t xml:space="preserve">dP_mechano/dt  =  α_m(E_mechano) − δ_m P_mechano       (M2a)</w:t>
      </w:r>
    </w:p>
    <w:p>
      <w:pPr>
        <w:spacing w:before="120" w:after="120"/>
        <w:jc w:val="center"/>
      </w:pPr>
      <w:r>
        <w:rPr>
          <w:rFonts w:ascii="Times New Roman" w:cs="Times New Roman" w:eastAsia="Times New Roman" w:hAnsi="Times New Roman"/>
          <w:i/>
          <w:iCs/>
          <w:sz w:val="22"/>
          <w:szCs w:val="22"/>
        </w:rPr>
        <w:t xml:space="preserve">dP_growth/dt   =  α_g(E_growth)  − δ_g P_growth        (M2b)</w:t>
      </w:r>
    </w:p>
    <w:p>
      <w:pPr>
        <w:spacing w:after="120" w:line="360"/>
        <w:ind w:firstLine="720"/>
      </w:pPr>
      <w:r>
        <w:rPr>
          <w:rFonts w:ascii="Times New Roman" w:cs="Times New Roman" w:eastAsia="Times New Roman" w:hAnsi="Times New Roman"/>
          <w:sz w:val="24"/>
          <w:szCs w:val="24"/>
        </w:rPr>
        <w:t xml:space="preserve">where P</w:t>
      </w:r>
      <w:r>
        <w:rPr>
          <w:rFonts w:ascii="Times New Roman" w:cs="Times New Roman" w:eastAsia="Times New Roman" w:hAnsi="Times New Roman"/>
          <w:sz w:val="24"/>
          <w:szCs w:val="24"/>
          <w:vertAlign w:val="subscript"/>
        </w:rPr>
        <w:t xml:space="preserve">mechano</w:t>
      </w:r>
      <w:r>
        <w:rPr>
          <w:rFonts w:ascii="Times New Roman" w:cs="Times New Roman" w:eastAsia="Times New Roman" w:hAnsi="Times New Roman"/>
          <w:sz w:val="24"/>
          <w:szCs w:val="24"/>
        </w:rPr>
        <w:t xml:space="preserve"> and P</w:t>
      </w:r>
      <w:r>
        <w:rPr>
          <w:rFonts w:ascii="Times New Roman" w:cs="Times New Roman" w:eastAsia="Times New Roman" w:hAnsi="Times New Roman"/>
          <w:sz w:val="24"/>
          <w:szCs w:val="24"/>
          <w:vertAlign w:val="subscript"/>
        </w:rPr>
        <w:t xml:space="preserve">growth</w:t>
      </w:r>
      <w:r>
        <w:rPr>
          <w:rFonts w:ascii="Times New Roman" w:cs="Times New Roman" w:eastAsia="Times New Roman" w:hAnsi="Times New Roman"/>
          <w:sz w:val="24"/>
          <w:szCs w:val="24"/>
        </w:rPr>
        <w:t xml:space="preserve"> are the protein population densities (molecules per unit rod length), α</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and α</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are the synthesis rates (functions of available energy), and δ</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and δ</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are the degradation rate constants. The energy constraint couples the two equations: α</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vertAlign w:val="subscript"/>
        </w:rPr>
        <w:t xml:space="preserve">mechano</w:t>
      </w:r>
      <w:r>
        <w:rPr>
          <w:rFonts w:ascii="Times New Roman" w:cs="Times New Roman" w:eastAsia="Times New Roman" w:hAnsi="Times New Roman"/>
          <w:sz w:val="24"/>
          <w:szCs w:val="24"/>
        </w:rPr>
        <w:t xml:space="preserve">) + α</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vertAlign w:val="subscript"/>
        </w:rPr>
        <w:t xml:space="preserve">growth</w:t>
      </w:r>
      <w:r>
        <w:rPr>
          <w:rFonts w:ascii="Times New Roman" w:cs="Times New Roman" w:eastAsia="Times New Roman" w:hAnsi="Times New Roman"/>
          <w:sz w:val="24"/>
          <w:szCs w:val="24"/>
        </w:rPr>
        <w:t xml:space="preserve">) ≤ E</w:t>
      </w:r>
      <w:r>
        <w:rPr>
          <w:rFonts w:ascii="Times New Roman" w:cs="Times New Roman" w:eastAsia="Times New Roman" w:hAnsi="Times New Roman"/>
          <w:sz w:val="24"/>
          <w:szCs w:val="24"/>
          <w:vertAlign w:val="subscript"/>
        </w:rPr>
        <w:t xml:space="preserve">total</w:t>
      </w:r>
      <w:r>
        <w:rPr>
          <w:rFonts w:ascii="Times New Roman" w:cs="Times New Roman" w:eastAsia="Times New Roman" w:hAnsi="Times New Roman"/>
          <w:sz w:val="24"/>
          <w:szCs w:val="24"/>
        </w:rPr>
        <w:t xml:space="preserve">(t) − E</w:t>
      </w:r>
      <w:r>
        <w:rPr>
          <w:rFonts w:ascii="Times New Roman" w:cs="Times New Roman" w:eastAsia="Times New Roman" w:hAnsi="Times New Roman"/>
          <w:sz w:val="24"/>
          <w:szCs w:val="24"/>
          <w:vertAlign w:val="subscript"/>
        </w:rPr>
        <w:t xml:space="preserve">metabolic</w:t>
      </w:r>
      <w:r>
        <w:rPr>
          <w:rFonts w:ascii="Times New Roman" w:cs="Times New Roman" w:eastAsia="Times New Roman" w:hAnsi="Times New Roman"/>
          <w:sz w:val="24"/>
          <w:szCs w:val="24"/>
        </w:rPr>
        <w:t xml:space="preserve">. Parameter values were estimated from published protein turnover measurements: δ</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 0.058 h</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(t</w:t>
      </w:r>
      <w:r>
        <w:rPr>
          <w:rFonts w:ascii="Times New Roman" w:cs="Times New Roman" w:eastAsia="Times New Roman" w:hAnsi="Times New Roman"/>
          <w:sz w:val="24"/>
          <w:szCs w:val="24"/>
          <w:vertAlign w:val="subscript"/>
        </w:rPr>
        <w:t xml:space="preserve">1/2</w:t>
      </w:r>
      <w:r>
        <w:rPr>
          <w:rFonts w:ascii="Times New Roman" w:cs="Times New Roman" w:eastAsia="Times New Roman" w:hAnsi="Times New Roman"/>
          <w:sz w:val="24"/>
          <w:szCs w:val="24"/>
        </w:rPr>
        <w:t xml:space="preserve"> ≈ 12 h for integrins), δ</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 0.001 h</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(t</w:t>
      </w:r>
      <w:r>
        <w:rPr>
          <w:rFonts w:ascii="Times New Roman" w:cs="Times New Roman" w:eastAsia="Times New Roman" w:hAnsi="Times New Roman"/>
          <w:sz w:val="24"/>
          <w:szCs w:val="24"/>
          <w:vertAlign w:val="subscript"/>
        </w:rPr>
        <w:t xml:space="preserve">1/2</w:t>
      </w:r>
      <w:r>
        <w:rPr>
          <w:rFonts w:ascii="Times New Roman" w:cs="Times New Roman" w:eastAsia="Times New Roman" w:hAnsi="Times New Roman"/>
          <w:sz w:val="24"/>
          <w:szCs w:val="24"/>
        </w:rPr>
        <w:t xml:space="preserve"> ≈ 700 h for collagen I in bone).</w:t>
      </w:r>
    </w:p>
    <w:p>
      <w:pPr>
        <w:spacing w:after="120" w:line="360"/>
        <w:ind w:firstLine="720"/>
      </w:pPr>
      <w:r>
        <w:rPr>
          <w:rFonts w:ascii="Times New Roman" w:cs="Times New Roman" w:eastAsia="Times New Roman" w:hAnsi="Times New Roman"/>
          <w:sz w:val="24"/>
          <w:szCs w:val="24"/>
        </w:rPr>
        <w:t xml:space="preserve">The growth spurt was modelled as a time-dependent increase in E</w:t>
      </w:r>
      <w:r>
        <w:rPr>
          <w:rFonts w:ascii="Times New Roman" w:cs="Times New Roman" w:eastAsia="Times New Roman" w:hAnsi="Times New Roman"/>
          <w:sz w:val="24"/>
          <w:szCs w:val="24"/>
          <w:vertAlign w:val="subscript"/>
        </w:rPr>
        <w:t xml:space="preserve">growth</w:t>
      </w:r>
      <w:r>
        <w:rPr>
          <w:rFonts w:ascii="Times New Roman" w:cs="Times New Roman" w:eastAsia="Times New Roman" w:hAnsi="Times New Roman"/>
          <w:sz w:val="24"/>
          <w:szCs w:val="24"/>
        </w:rPr>
        <w:t xml:space="preserve"> demand following a logistic curve fitted to the Preece–Baines growth velocity, while E</w:t>
      </w:r>
      <w:r>
        <w:rPr>
          <w:rFonts w:ascii="Times New Roman" w:cs="Times New Roman" w:eastAsia="Times New Roman" w:hAnsi="Times New Roman"/>
          <w:sz w:val="24"/>
          <w:szCs w:val="24"/>
          <w:vertAlign w:val="subscript"/>
        </w:rPr>
        <w:t xml:space="preserve">total</w:t>
      </w:r>
      <w:r>
        <w:rPr>
          <w:rFonts w:ascii="Times New Roman" w:cs="Times New Roman" w:eastAsia="Times New Roman" w:hAnsi="Times New Roman"/>
          <w:sz w:val="24"/>
          <w:szCs w:val="24"/>
        </w:rPr>
        <w:t xml:space="preserve"> increased at a slower rate reflecting vascular and diffusive transport limitations. The energy deficit ratio R(t) was computed at each time step and fed into the Cosserat rod solver as a time-varying modifier of the mechanosensory coupling strength χ</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(t) = χ</w:t>
      </w:r>
      <w:r>
        <w:rPr>
          <w:rFonts w:ascii="Times New Roman" w:cs="Times New Roman" w:eastAsia="Times New Roman" w:hAnsi="Times New Roman"/>
          <w:sz w:val="24"/>
          <w:szCs w:val="24"/>
          <w:vertAlign w:val="subscript"/>
        </w:rPr>
        <w:t xml:space="preserve">M,0</w:t>
      </w:r>
      <w:r>
        <w:rPr>
          <w:rFonts w:ascii="Times New Roman" w:cs="Times New Roman" w:eastAsia="Times New Roman" w:hAnsi="Times New Roman"/>
          <w:sz w:val="24"/>
          <w:szCs w:val="24"/>
        </w:rPr>
        <w:t xml:space="preserve"> · P</w:t>
      </w:r>
      <w:r>
        <w:rPr>
          <w:rFonts w:ascii="Times New Roman" w:cs="Times New Roman" w:eastAsia="Times New Roman" w:hAnsi="Times New Roman"/>
          <w:sz w:val="24"/>
          <w:szCs w:val="24"/>
          <w:vertAlign w:val="subscript"/>
        </w:rPr>
        <w:t xml:space="preserve">mechano</w:t>
      </w:r>
      <w:r>
        <w:rPr>
          <w:rFonts w:ascii="Times New Roman" w:cs="Times New Roman" w:eastAsia="Times New Roman" w:hAnsi="Times New Roman"/>
          <w:sz w:val="24"/>
          <w:szCs w:val="24"/>
        </w:rPr>
        <w:t xml:space="preserve">(t) / P</w:t>
      </w:r>
      <w:r>
        <w:rPr>
          <w:rFonts w:ascii="Times New Roman" w:cs="Times New Roman" w:eastAsia="Times New Roman" w:hAnsi="Times New Roman"/>
          <w:sz w:val="24"/>
          <w:szCs w:val="24"/>
          <w:vertAlign w:val="subscript"/>
        </w:rPr>
        <w:t xml:space="preserve">mechano,0</w:t>
      </w:r>
      <w:r>
        <w:rPr>
          <w:rFonts w:ascii="Times New Roman" w:cs="Times New Roman" w:eastAsia="Times New Roman" w:hAnsi="Times New Roman"/>
          <w:sz w:val="24"/>
          <w:szCs w:val="24"/>
        </w:rPr>
        <w:t xml:space="preserve">.</w:t>
      </w:r>
    </w:p>
    <w:p>
      <w:pPr>
        <w:pStyle w:val="Heading2"/>
        <w:spacing w:before="280" w:after="160"/>
      </w:pPr>
      <w:r>
        <w:rPr>
          <w:rFonts w:ascii="Times New Roman" w:cs="Times New Roman" w:eastAsia="Times New Roman" w:hAnsi="Times New Roman"/>
          <w:b/>
          <w:bCs/>
          <w:sz w:val="28"/>
          <w:szCs w:val="28"/>
        </w:rPr>
        <w:t xml:space="preserve">4.6  Tensor Elasticity and Vector Field Analysis</w:t>
      </w:r>
    </w:p>
    <w:p>
      <w:pPr>
        <w:spacing w:after="120" w:line="360"/>
      </w:pPr>
      <w:r>
        <w:rPr>
          <w:rFonts w:ascii="Times New Roman" w:cs="Times New Roman" w:eastAsia="Times New Roman" w:hAnsi="Times New Roman"/>
          <w:sz w:val="24"/>
          <w:szCs w:val="24"/>
        </w:rPr>
        <w:t xml:space="preserve">The alignment parameter α(s) was computed for each simulation as follows. The information gradient vector ∇I(s) was obtained analytically from the derivative of the bimodal Gaussian field (Eq. 17). For scoliotic perturbations with lateral asymmetry, the gradient acquires a lateral component: ∇I = (∂I/∂s) ê</w:t>
      </w:r>
      <w:r>
        <w:rPr>
          <w:rFonts w:ascii="Times New Roman" w:cs="Times New Roman" w:eastAsia="Times New Roman" w:hAnsi="Times New Roman"/>
          <w:sz w:val="24"/>
          <w:szCs w:val="24"/>
          <w:vertAlign w:val="subscript"/>
        </w:rPr>
        <w:t xml:space="preserve">cranio-caudal</w:t>
      </w:r>
      <w:r>
        <w:rPr>
          <w:rFonts w:ascii="Times New Roman" w:cs="Times New Roman" w:eastAsia="Times New Roman" w:hAnsi="Times New Roman"/>
          <w:sz w:val="24"/>
          <w:szCs w:val="24"/>
        </w:rPr>
        <w:t xml:space="preserve"> + (∂I/∂y) ê</w:t>
      </w:r>
      <w:r>
        <w:rPr>
          <w:rFonts w:ascii="Times New Roman" w:cs="Times New Roman" w:eastAsia="Times New Roman" w:hAnsi="Times New Roman"/>
          <w:sz w:val="24"/>
          <w:szCs w:val="24"/>
          <w:vertAlign w:val="subscript"/>
        </w:rPr>
        <w:t xml:space="preserve">lateral</w:t>
      </w:r>
      <w:r>
        <w:rPr>
          <w:rFonts w:ascii="Times New Roman" w:cs="Times New Roman" w:eastAsia="Times New Roman" w:hAnsi="Times New Roman"/>
          <w:sz w:val="24"/>
          <w:szCs w:val="24"/>
        </w:rPr>
        <w:t xml:space="preserve">. The principal stress direction σ̂(s) was extracted from the Cosserat rod solution by computing the bending moment vector m(s) and identifying its dominant component.</w:t>
      </w:r>
    </w:p>
    <w:p>
      <w:pPr>
        <w:spacing w:after="120" w:line="360"/>
        <w:ind w:firstLine="720"/>
      </w:pPr>
      <w:r>
        <w:rPr>
          <w:rFonts w:ascii="Times New Roman" w:cs="Times New Roman" w:eastAsia="Times New Roman" w:hAnsi="Times New Roman"/>
          <w:sz w:val="24"/>
          <w:szCs w:val="24"/>
        </w:rPr>
        <w:t xml:space="preserve">The alignment parameter was then computed at each discretisation node: α</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|∇I</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σ̂</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(|∇I</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|σ̂</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Vector mismatch regions were identified as contiguous segments where α &lt; 0.5. For experimental comparison, collagen fibre orientation maps were extracted from published polarised light microscopy images of vertebral endplates by thresholding the birefringence signal and computing the orientation angle relative to the cranio-caudal axis using the structure tensor method.</w:t>
      </w:r>
    </w:p>
    <w:p>
      <w:pPr>
        <w:pStyle w:val="Heading2"/>
        <w:spacing w:before="280" w:after="160"/>
      </w:pPr>
      <w:r>
        <w:rPr>
          <w:rFonts w:ascii="Times New Roman" w:cs="Times New Roman" w:eastAsia="Times New Roman" w:hAnsi="Times New Roman"/>
          <w:b/>
          <w:bCs/>
          <w:sz w:val="28"/>
          <w:szCs w:val="28"/>
        </w:rPr>
        <w:t xml:space="preserve">4.7  Multi-Scale Validation Protocol</w:t>
      </w:r>
    </w:p>
    <w:p>
      <w:pPr>
        <w:spacing w:after="120" w:line="360"/>
      </w:pPr>
      <w:r>
        <w:rPr>
          <w:rFonts w:ascii="Times New Roman" w:cs="Times New Roman" w:eastAsia="Times New Roman" w:hAnsi="Times New Roman"/>
          <w:sz w:val="24"/>
          <w:szCs w:val="24"/>
        </w:rPr>
        <w:t xml:space="preserve">The multi-scale pipeline was validated at each level against independent experimental data:</w:t>
      </w:r>
    </w:p>
    <w:p>
      <w:pPr>
        <w:spacing w:before="200" w:after="80"/>
      </w:pPr>
      <w:r>
        <w:rPr>
          <w:rFonts w:ascii="Times New Roman" w:cs="Times New Roman" w:eastAsia="Times New Roman" w:hAnsi="Times New Roman"/>
          <w:b/>
          <w:bCs/>
          <w:sz w:val="20"/>
          <w:szCs w:val="20"/>
        </w:rPr>
        <w:t xml:space="preserve">Table M1. </w:t>
      </w:r>
      <w:r>
        <w:rPr>
          <w:rFonts w:ascii="Times New Roman" w:cs="Times New Roman" w:eastAsia="Times New Roman" w:hAnsi="Times New Roman"/>
          <w:i/>
          <w:iCs/>
          <w:sz w:val="20"/>
          <w:szCs w:val="20"/>
        </w:rPr>
        <w:t xml:space="preserve">Multi-Scale Validation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1800"/>
        <w:gridCol w:w="1760"/>
      </w:tblGrid>
      <w:tr>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Level</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Prediction</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Experimental Method</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Agreement</w:t>
            </w:r>
          </w:p>
        </w:tc>
        <w:tc>
          <w:tcPr>
            <w:tcW w:type="dxa" w:w="17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before="40" w:after="40"/>
            </w:pPr>
            <w:r>
              <w:rPr>
                <w:rFonts w:ascii="Times New Roman" w:cs="Times New Roman" w:eastAsia="Times New Roman" w:hAnsi="Times New Roman"/>
                <w:b/>
                <w:bCs/>
                <w:sz w:val="20"/>
                <w:szCs w:val="20"/>
              </w:rPr>
              <w:t xml:space="preserve">Reference</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1. Structure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AlphaFold pLDDT, Rg</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X-ray crystallography, SAXS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pLDDT &gt; 70 for ordered domains</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Jumper et al. 2021</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2. Molecular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k_molecule = 420 pN/nm (ColI)</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AFM single-molecule stretching</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Within experimental range (350–500)</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Gautieri et al. 2011</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3. Fibril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E_fibril = 0.5–1.2 GPa</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AFM nanoindentation on fibrils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R² = 0.76</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Wenger et al. 2007</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4. Tissue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E_tissue = 0.3–1.2 GPa (regional)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Nanoindentation, compression testing</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R² = 0.81</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This study</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5. Geometry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Lordosis ~42°, Kyphosis ~35°</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Standing lateral radiograph</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Within clinical norms</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rFonts w:ascii="Times New Roman" w:cs="Times New Roman" w:eastAsia="Times New Roman" w:hAnsi="Times New Roman"/>
                <w:sz w:val="20"/>
                <w:szCs w:val="20"/>
              </w:rPr>
              <w:t xml:space="preserve">Main text §4.3</w:t>
            </w:r>
          </w:p>
        </w:tc>
      </w:tr>
    </w:tbl>
    <w:p>
      <w:r>
        <w:br w:type="page"/>
      </w:r>
    </w:p>
    <w:p>
      <w:pPr>
        <w:pStyle w:val="Heading1"/>
        <w:spacing w:before="360" w:after="200"/>
      </w:pPr>
      <w:r>
        <w:rPr>
          <w:rFonts w:ascii="Times New Roman" w:cs="Times New Roman" w:eastAsia="Times New Roman" w:hAnsi="Times New Roman"/>
          <w:b/>
          <w:bCs/>
          <w:sz w:val="32"/>
          <w:szCs w:val="32"/>
        </w:rPr>
        <w:t xml:space="preserve">Section 5: Integration Paragraphs for Existing Sections</w:t>
      </w:r>
    </w:p>
    <w:p>
      <w:pPr>
        <w:pStyle w:val="Heading2"/>
        <w:spacing w:before="280" w:after="160"/>
      </w:pPr>
      <w:r>
        <w:rPr>
          <w:rFonts w:ascii="Times New Roman" w:cs="Times New Roman" w:eastAsia="Times New Roman" w:hAnsi="Times New Roman"/>
          <w:b/>
          <w:bCs/>
          <w:sz w:val="28"/>
          <w:szCs w:val="28"/>
        </w:rPr>
        <w:t xml:space="preserve">5.1  Introduction Addition (1 paragraph)</w:t>
      </w:r>
    </w:p>
    <w:p>
      <w:pPr>
        <w:spacing w:after="120"/>
      </w:pPr>
      <w:r>
        <w:rPr>
          <w:rFonts w:ascii="Times New Roman" w:cs="Times New Roman" w:eastAsia="Times New Roman" w:hAnsi="Times New Roman"/>
          <w:i/>
          <w:iCs/>
          <w:color w:val="990000"/>
          <w:sz w:val="20"/>
          <w:szCs w:val="20"/>
        </w:rPr>
        <w:t xml:space="preserve">[Insert at end of §1.2, before “Testable Predictions”]</w:t>
      </w:r>
    </w:p>
    <w:p>
      <w:pPr>
        <w:spacing w:after="120" w:line="360"/>
      </w:pPr>
      <w:r>
        <w:rPr>
          <w:rFonts w:ascii="Times New Roman" w:cs="Times New Roman" w:eastAsia="Times New Roman" w:hAnsi="Times New Roman"/>
          <w:sz w:val="24"/>
          <w:szCs w:val="24"/>
        </w:rPr>
        <w:t xml:space="preserve">While our framework connects developmental patterning to macroscopic geometry, the mechanistic basis lies in protein-level biophysics. HOX genes regulate the synthesis of two functionally distinct protein classes: </w:t>
      </w:r>
      <w:r>
        <w:rPr>
          <w:rFonts w:ascii="Times New Roman" w:cs="Times New Roman" w:eastAsia="Times New Roman" w:hAnsi="Times New Roman"/>
          <w:i/>
          <w:iCs/>
          <w:sz w:val="24"/>
          <w:szCs w:val="24"/>
        </w:rPr>
        <w:t xml:space="preserve">mechanosensory proteins</w:t>
      </w:r>
      <w:r>
        <w:rPr>
          <w:rFonts w:ascii="Times New Roman" w:cs="Times New Roman" w:eastAsia="Times New Roman" w:hAnsi="Times New Roman"/>
          <w:sz w:val="24"/>
          <w:szCs w:val="24"/>
        </w:rPr>
        <w:t xml:space="preserve"> (integrins, FAK, PIEZO2) that sense and respond to mechanical stress, and </w:t>
      </w:r>
      <w:r>
        <w:rPr>
          <w:rFonts w:ascii="Times New Roman" w:cs="Times New Roman" w:eastAsia="Times New Roman" w:hAnsi="Times New Roman"/>
          <w:i/>
          <w:iCs/>
          <w:sz w:val="24"/>
          <w:szCs w:val="24"/>
        </w:rPr>
        <w:t xml:space="preserve">structural proteins</w:t>
      </w:r>
      <w:r>
        <w:rPr>
          <w:rFonts w:ascii="Times New Roman" w:cs="Times New Roman" w:eastAsia="Times New Roman" w:hAnsi="Times New Roman"/>
          <w:sz w:val="24"/>
          <w:szCs w:val="24"/>
        </w:rPr>
        <w:t xml:space="preserve"> (collagens, proteoglycans) that provide the material scaffold. These two classes compete for limited metabolic resources, and this competition creates thermodynamic instability windows during rapid growth where the system becomes acutely sensitive to small perturbations. Furthermore, information–elasticity coupling is fundamentally tensorial: the tissue’s resistance to deformation depends not only on the magnitude of the information field but on the alignment between developmental gradient directions and mechanical stress vectors. The protein-level energetics and the tensor structure of coupling provide the mechanistic foundation that connects HOX gene expression to the macroscopic emergence—and pathological failure—of the spinal S-curve.</w:t>
      </w:r>
    </w:p>
    <w:p>
      <w:pPr>
        <w:pStyle w:val="Heading2"/>
        <w:spacing w:before="280" w:after="160"/>
      </w:pPr>
      <w:r>
        <w:rPr>
          <w:rFonts w:ascii="Times New Roman" w:cs="Times New Roman" w:eastAsia="Times New Roman" w:hAnsi="Times New Roman"/>
          <w:b/>
          <w:bCs/>
          <w:sz w:val="28"/>
          <w:szCs w:val="28"/>
        </w:rPr>
        <w:t xml:space="preserve">5.2  Discussion Addition: Mechanism Subsection</w:t>
      </w:r>
    </w:p>
    <w:p>
      <w:pPr>
        <w:spacing w:after="120"/>
      </w:pPr>
      <w:r>
        <w:rPr>
          <w:rFonts w:ascii="Times New Roman" w:cs="Times New Roman" w:eastAsia="Times New Roman" w:hAnsi="Times New Roman"/>
          <w:i/>
          <w:iCs/>
          <w:color w:val="990000"/>
          <w:sz w:val="20"/>
          <w:szCs w:val="20"/>
        </w:rPr>
        <w:t xml:space="preserve">[Add to §5.1 “Interpreting Biological Countercurvature” after the existing thermodynamic discussion]</w:t>
      </w:r>
    </w:p>
    <w:p>
      <w:pPr>
        <w:spacing w:after="120" w:line="360"/>
      </w:pPr>
      <w:r>
        <w:rPr>
          <w:rFonts w:ascii="Times New Roman" w:cs="Times New Roman" w:eastAsia="Times New Roman" w:hAnsi="Times New Roman"/>
          <w:sz w:val="24"/>
          <w:szCs w:val="24"/>
        </w:rPr>
        <w:t xml:space="preserve">The protein-level foundation of IEC involves two key insights. First, mechanosensory and structural proteins compete for metabolic resources, creating energy deficit windows during rapid growth where mechanical feedback is transiently compromised. The growth–adaptation ratio R(t) peaks during the adolescent growth spurt, reaching values 2–3 times the critical threshold (R</w:t>
      </w:r>
      <w:r>
        <w:rPr>
          <w:rFonts w:ascii="Times New Roman" w:cs="Times New Roman" w:eastAsia="Times New Roman" w:hAnsi="Times New Roman"/>
          <w:sz w:val="24"/>
          <w:szCs w:val="24"/>
          <w:vertAlign w:val="subscript"/>
        </w:rPr>
        <w:t xml:space="preserve">crit</w:t>
      </w:r>
      <w:r>
        <w:rPr>
          <w:rFonts w:ascii="Times New Roman" w:cs="Times New Roman" w:eastAsia="Times New Roman" w:hAnsi="Times New Roman"/>
          <w:sz w:val="24"/>
          <w:szCs w:val="24"/>
        </w:rPr>
        <w:t xml:space="preserve"> ≈ 1.5), with a temporal profile that precisely matches the epidemiological window of AIS onset. Second, information–elasticity coupling is fundamentally vectorial: tissue resistance to deformation depends on the alignment parameter α between the developmental information gradient and the principal stress direction. When α ≈ 1 (aligned), the system is in a cooperative regime with maximal resistance to perturbation; when α → 0 (orthogonal, as occurs for lateral perturbations of a predominantly cranio-caudal gradient), effective stiffness drops 3–5-fold, creating selective vulnerability to lateral bending. Together, these mechanisms explain both </w:t>
      </w:r>
      <w:r>
        <w:rPr>
          <w:rFonts w:ascii="Times New Roman" w:cs="Times New Roman" w:eastAsia="Times New Roman" w:hAnsi="Times New Roman"/>
          <w:i/>
          <w:iCs/>
          <w:sz w:val="24"/>
          <w:szCs w:val="24"/>
        </w:rPr>
        <w:t xml:space="preserve">when</w:t>
      </w:r>
      <w:r>
        <w:rPr>
          <w:rFonts w:ascii="Times New Roman" w:cs="Times New Roman" w:eastAsia="Times New Roman" w:hAnsi="Times New Roman"/>
          <w:sz w:val="24"/>
          <w:szCs w:val="24"/>
        </w:rPr>
        <w:t xml:space="preserve"> scoliosis emerges (energy deficit timing during adolescence) and </w:t>
      </w:r>
      <w:r>
        <w:rPr>
          <w:rFonts w:ascii="Times New Roman" w:cs="Times New Roman" w:eastAsia="Times New Roman" w:hAnsi="Times New Roman"/>
          <w:i/>
          <w:iCs/>
          <w:sz w:val="24"/>
          <w:szCs w:val="24"/>
        </w:rPr>
        <w:t xml:space="preserve">why</w:t>
      </w:r>
      <w:r>
        <w:rPr>
          <w:rFonts w:ascii="Times New Roman" w:cs="Times New Roman" w:eastAsia="Times New Roman" w:hAnsi="Times New Roman"/>
          <w:sz w:val="24"/>
          <w:szCs w:val="24"/>
        </w:rPr>
        <w:t xml:space="preserve"> deviations are predominantly lateral (vector mismatch selects the weakest mechanical direction).</w:t>
      </w:r>
    </w:p>
    <w:p>
      <w:pPr>
        <w:pStyle w:val="Heading2"/>
        <w:spacing w:before="280" w:after="160"/>
      </w:pPr>
      <w:r>
        <w:rPr>
          <w:rFonts w:ascii="Times New Roman" w:cs="Times New Roman" w:eastAsia="Times New Roman" w:hAnsi="Times New Roman"/>
          <w:b/>
          <w:bCs/>
          <w:sz w:val="28"/>
          <w:szCs w:val="28"/>
        </w:rPr>
        <w:t xml:space="preserve">5.3  Discussion Addition: Limitations Subsection</w:t>
      </w:r>
    </w:p>
    <w:p>
      <w:pPr>
        <w:spacing w:after="120"/>
      </w:pPr>
      <w:r>
        <w:rPr>
          <w:rFonts w:ascii="Times New Roman" w:cs="Times New Roman" w:eastAsia="Times New Roman" w:hAnsi="Times New Roman"/>
          <w:i/>
          <w:iCs/>
          <w:color w:val="990000"/>
          <w:sz w:val="20"/>
          <w:szCs w:val="20"/>
        </w:rPr>
        <w:t xml:space="preserve">[Add to §5.5 “Limitations and Model Assumptions”]</w:t>
      </w:r>
    </w:p>
    <w:p>
      <w:pPr>
        <w:spacing w:after="120" w:line="360"/>
      </w:pPr>
      <w:r>
        <w:rPr>
          <w:rFonts w:ascii="Times New Roman" w:cs="Times New Roman" w:eastAsia="Times New Roman" w:hAnsi="Times New Roman"/>
          <w:sz w:val="24"/>
          <w:szCs w:val="24"/>
        </w:rPr>
        <w:t xml:space="preserve">Our current implementation treats protein dynamics with simplified first-order kinetics (Eqs. M2a–b) and does not fully capture the mechanochemical feedback between protein conformation, mechanical stress, and gene expression that operates at the single-cell level. Direct experimental measurement of mechanosensory protein turnover rates in vertebral tissue during the growth spurt would refine the energy deficit predictions. Additionally, our tensor coupling model assumes orthotropic symmetry (Eq. T5); future work should incorporate full anisotropic elasticity tensors C</w:t>
      </w:r>
      <w:r>
        <w:rPr>
          <w:rFonts w:ascii="Times New Roman" w:cs="Times New Roman" w:eastAsia="Times New Roman" w:hAnsi="Times New Roman"/>
          <w:sz w:val="24"/>
          <w:szCs w:val="24"/>
          <w:vertAlign w:val="subscript"/>
        </w:rPr>
        <w:t xml:space="preserve">ijkl</w:t>
      </w:r>
      <w:r>
        <w:rPr>
          <w:rFonts w:ascii="Times New Roman" w:cs="Times New Roman" w:eastAsia="Times New Roman" w:hAnsi="Times New Roman"/>
          <w:sz w:val="24"/>
          <w:szCs w:val="24"/>
        </w:rPr>
        <w:t xml:space="preserve">(s) measured via multi-directional mechanical testing. The multi-scale pipeline currently assumes a one-way information flow from protein → tissue → organ; incorporating bottom-up mechanical feedback (where macroscopic loading modifies protein expression) would enable a fully coupled mechanobiological simulation.</w:t>
      </w:r>
    </w:p>
    <w:p>
      <w:pPr>
        <w:pStyle w:val="Heading2"/>
        <w:spacing w:before="280" w:after="160"/>
      </w:pPr>
      <w:r>
        <w:rPr>
          <w:rFonts w:ascii="Times New Roman" w:cs="Times New Roman" w:eastAsia="Times New Roman" w:hAnsi="Times New Roman"/>
          <w:b/>
          <w:bCs/>
          <w:sz w:val="28"/>
          <w:szCs w:val="28"/>
        </w:rPr>
        <w:t xml:space="preserve">5.4  Supplementary Materials Descriptions</w:t>
      </w:r>
    </w:p>
    <w:p>
      <w:pPr>
        <w:spacing w:after="120"/>
      </w:pPr>
      <w:r>
        <w:rPr>
          <w:rFonts w:ascii="Times New Roman" w:cs="Times New Roman" w:eastAsia="Times New Roman" w:hAnsi="Times New Roman"/>
          <w:i/>
          <w:iCs/>
          <w:color w:val="990000"/>
          <w:sz w:val="20"/>
          <w:szCs w:val="20"/>
        </w:rPr>
        <w:t xml:space="preserve">[Add to Supplementary Information]</w:t>
      </w:r>
    </w:p>
    <w:p>
      <w:pPr>
        <w:spacing w:after="120" w:line="360"/>
        <w:ind w:firstLine="720"/>
      </w:pPr>
      <w:r>
        <w:rPr>
          <w:rFonts w:ascii="Times New Roman" w:cs="Times New Roman" w:eastAsia="Times New Roman" w:hAnsi="Times New Roman"/>
          <w:b/>
          <w:bCs/>
          <w:sz w:val="24"/>
          <w:szCs w:val="24"/>
        </w:rPr>
        <w:t xml:space="preserve">Supplementary Figure S1:</w:t>
      </w:r>
      <w:r>
        <w:rPr>
          <w:rFonts w:ascii="Times New Roman" w:cs="Times New Roman" w:eastAsia="Times New Roman" w:hAnsi="Times New Roman"/>
          <w:sz w:val="24"/>
          <w:szCs w:val="24"/>
        </w:rPr>
        <w:t xml:space="preserve"> Multi-scale schematic (protein → organ) showing the five-level pipeline from AlphaFold structure prediction to Cosserat rod geometry.</w:t>
      </w:r>
    </w:p>
    <w:p>
      <w:pPr>
        <w:spacing w:after="120" w:line="360"/>
        <w:ind w:firstLine="720"/>
      </w:pPr>
      <w:r>
        <w:rPr>
          <w:rFonts w:ascii="Times New Roman" w:cs="Times New Roman" w:eastAsia="Times New Roman" w:hAnsi="Times New Roman"/>
          <w:b/>
          <w:bCs/>
          <w:sz w:val="24"/>
          <w:szCs w:val="24"/>
        </w:rPr>
        <w:t xml:space="preserve">Supplementary Figure S2:</w:t>
      </w:r>
      <w:r>
        <w:rPr>
          <w:rFonts w:ascii="Times New Roman" w:cs="Times New Roman" w:eastAsia="Times New Roman" w:hAnsi="Times New Roman"/>
          <w:sz w:val="24"/>
          <w:szCs w:val="24"/>
        </w:rPr>
        <w:t xml:space="preserve"> Energy deficit time course R(t) during the growth spurt, showing sex-specific trajectories with 95% confidence intervals.</w:t>
      </w:r>
    </w:p>
    <w:p>
      <w:pPr>
        <w:spacing w:after="120" w:line="360"/>
        <w:ind w:firstLine="720"/>
      </w:pPr>
      <w:r>
        <w:rPr>
          <w:rFonts w:ascii="Times New Roman" w:cs="Times New Roman" w:eastAsia="Times New Roman" w:hAnsi="Times New Roman"/>
          <w:b/>
          <w:bCs/>
          <w:sz w:val="24"/>
          <w:szCs w:val="24"/>
        </w:rPr>
        <w:t xml:space="preserve">Supplementary Figure S3:</w:t>
      </w:r>
      <w:r>
        <w:rPr>
          <w:rFonts w:ascii="Times New Roman" w:cs="Times New Roman" w:eastAsia="Times New Roman" w:hAnsi="Times New Roman"/>
          <w:sz w:val="24"/>
          <w:szCs w:val="24"/>
        </w:rPr>
        <w:t xml:space="preserve"> Mechanosensory versus growth protein population dynamics under steady-state and growth-spurt conditions.</w:t>
      </w:r>
    </w:p>
    <w:p>
      <w:pPr>
        <w:spacing w:after="120" w:line="360"/>
        <w:ind w:firstLine="720"/>
      </w:pPr>
      <w:r>
        <w:rPr>
          <w:rFonts w:ascii="Times New Roman" w:cs="Times New Roman" w:eastAsia="Times New Roman" w:hAnsi="Times New Roman"/>
          <w:b/>
          <w:bCs/>
          <w:sz w:val="24"/>
          <w:szCs w:val="24"/>
        </w:rPr>
        <w:t xml:space="preserve">Supplementary Figure S4:</w:t>
      </w:r>
      <w:r>
        <w:rPr>
          <w:rFonts w:ascii="Times New Roman" w:cs="Times New Roman" w:eastAsia="Times New Roman" w:hAnsi="Times New Roman"/>
          <w:sz w:val="24"/>
          <w:szCs w:val="24"/>
        </w:rPr>
        <w:t xml:space="preserve"> Vector field maps of information gradients ∇I(s) for normal and scoliotic geometries.</w:t>
      </w:r>
    </w:p>
    <w:p>
      <w:pPr>
        <w:spacing w:after="120" w:line="360"/>
        <w:ind w:firstLine="720"/>
      </w:pPr>
      <w:r>
        <w:rPr>
          <w:rFonts w:ascii="Times New Roman" w:cs="Times New Roman" w:eastAsia="Times New Roman" w:hAnsi="Times New Roman"/>
          <w:b/>
          <w:bCs/>
          <w:sz w:val="24"/>
          <w:szCs w:val="24"/>
        </w:rPr>
        <w:t xml:space="preserve">Supplementary Figure S5:</w:t>
      </w:r>
      <w:r>
        <w:rPr>
          <w:rFonts w:ascii="Times New Roman" w:cs="Times New Roman" w:eastAsia="Times New Roman" w:hAnsi="Times New Roman"/>
          <w:sz w:val="24"/>
          <w:szCs w:val="24"/>
        </w:rPr>
        <w:t xml:space="preserve"> Alignment parameter α(s) distributions for five levels of lateral asymmetry.</w:t>
      </w:r>
    </w:p>
    <w:p>
      <w:pPr>
        <w:spacing w:after="120" w:line="360"/>
        <w:ind w:firstLine="720"/>
      </w:pPr>
      <w:r>
        <w:rPr>
          <w:rFonts w:ascii="Times New Roman" w:cs="Times New Roman" w:eastAsia="Times New Roman" w:hAnsi="Times New Roman"/>
          <w:b/>
          <w:bCs/>
          <w:sz w:val="24"/>
          <w:szCs w:val="24"/>
        </w:rPr>
        <w:t xml:space="preserve">Supplementary Figure S6:</w:t>
      </w:r>
      <w:r>
        <w:rPr>
          <w:rFonts w:ascii="Times New Roman" w:cs="Times New Roman" w:eastAsia="Times New Roman" w:hAnsi="Times New Roman"/>
          <w:sz w:val="24"/>
          <w:szCs w:val="24"/>
        </w:rPr>
        <w:t xml:space="preserve"> AlphaFold-predicted structures of key proteins with pLDDT colour mapping and hinge region annotations.</w:t>
      </w:r>
    </w:p>
    <w:p>
      <w:pPr>
        <w:spacing w:after="120" w:line="360"/>
        <w:ind w:firstLine="720"/>
      </w:pPr>
      <w:r>
        <w:rPr>
          <w:rFonts w:ascii="Times New Roman" w:cs="Times New Roman" w:eastAsia="Times New Roman" w:hAnsi="Times New Roman"/>
          <w:b/>
          <w:bCs/>
          <w:sz w:val="24"/>
          <w:szCs w:val="24"/>
        </w:rPr>
        <w:t xml:space="preserve">Supplementary Figure S7:</w:t>
      </w:r>
      <w:r>
        <w:rPr>
          <w:rFonts w:ascii="Times New Roman" w:cs="Times New Roman" w:eastAsia="Times New Roman" w:hAnsi="Times New Roman"/>
          <w:sz w:val="24"/>
          <w:szCs w:val="24"/>
        </w:rPr>
        <w:t xml:space="preserve"> Representative steered MD force–extension curves for collagen I, aggrecan core protein, and integrin α5β1.</w:t>
      </w:r>
    </w:p>
    <w:p>
      <w:pPr>
        <w:spacing w:after="120" w:line="360"/>
        <w:ind w:firstLine="720"/>
      </w:pPr>
      <w:r>
        <w:rPr>
          <w:rFonts w:ascii="Times New Roman" w:cs="Times New Roman" w:eastAsia="Times New Roman" w:hAnsi="Times New Roman"/>
          <w:b/>
          <w:bCs/>
          <w:sz w:val="24"/>
          <w:szCs w:val="24"/>
        </w:rPr>
        <w:t xml:space="preserve">Supplementary Table T1:</w:t>
      </w:r>
      <w:r>
        <w:rPr>
          <w:rFonts w:ascii="Times New Roman" w:cs="Times New Roman" w:eastAsia="Times New Roman" w:hAnsi="Times New Roman"/>
          <w:sz w:val="24"/>
          <w:szCs w:val="24"/>
        </w:rPr>
        <w:t xml:space="preserve"> Protein energetic costs (ATP per synthesis event and per hour of maintenance) for all 16 proteins in the IEC mechanistic chain.</w:t>
      </w:r>
    </w:p>
    <w:p>
      <w:pPr>
        <w:spacing w:after="120" w:line="360"/>
        <w:ind w:firstLine="720"/>
      </w:pPr>
      <w:r>
        <w:rPr>
          <w:rFonts w:ascii="Times New Roman" w:cs="Times New Roman" w:eastAsia="Times New Roman" w:hAnsi="Times New Roman"/>
          <w:b/>
          <w:bCs/>
          <w:sz w:val="24"/>
          <w:szCs w:val="24"/>
        </w:rPr>
        <w:t xml:space="preserve">Supplementary Table T2:</w:t>
      </w:r>
      <w:r>
        <w:rPr>
          <w:rFonts w:ascii="Times New Roman" w:cs="Times New Roman" w:eastAsia="Times New Roman" w:hAnsi="Times New Roman"/>
          <w:sz w:val="24"/>
          <w:szCs w:val="24"/>
        </w:rPr>
        <w:t xml:space="preserve"> Regional protein composition from RNA-seq data (cervical, thoracic, lumbar, sacral).</w:t>
      </w:r>
    </w:p>
    <w:p>
      <w:pPr>
        <w:spacing w:after="120" w:line="360"/>
        <w:ind w:firstLine="720"/>
      </w:pPr>
      <w:r>
        <w:rPr>
          <w:rFonts w:ascii="Times New Roman" w:cs="Times New Roman" w:eastAsia="Times New Roman" w:hAnsi="Times New Roman"/>
          <w:b/>
          <w:bCs/>
          <w:sz w:val="24"/>
          <w:szCs w:val="24"/>
        </w:rPr>
        <w:t xml:space="preserve">Supplementary Table T3:</w:t>
      </w:r>
      <w:r>
        <w:rPr>
          <w:rFonts w:ascii="Times New Roman" w:cs="Times New Roman" w:eastAsia="Times New Roman" w:hAnsi="Times New Roman"/>
          <w:sz w:val="24"/>
          <w:szCs w:val="24"/>
        </w:rPr>
        <w:t xml:space="preserve"> Molecular stiffness values from AlphaFold + SMD pipeline, compared to published experimental measurements.</w:t>
      </w:r>
    </w:p>
    <w:p>
      <w:pPr>
        <w:spacing w:after="120" w:line="360"/>
        <w:ind w:firstLine="720"/>
      </w:pPr>
      <w:r>
        <w:rPr>
          <w:rFonts w:ascii="Times New Roman" w:cs="Times New Roman" w:eastAsia="Times New Roman" w:hAnsi="Times New Roman"/>
          <w:b/>
          <w:bCs/>
          <w:sz w:val="24"/>
          <w:szCs w:val="24"/>
        </w:rPr>
        <w:t xml:space="preserve">Supplementary Table T4:</w:t>
      </w:r>
      <w:r>
        <w:rPr>
          <w:rFonts w:ascii="Times New Roman" w:cs="Times New Roman" w:eastAsia="Times New Roman" w:hAnsi="Times New Roman"/>
          <w:sz w:val="24"/>
          <w:szCs w:val="24"/>
        </w:rPr>
        <w:t xml:space="preserve"> Tissue elasticity measurements from nanoindentation and compression testing of cadaveric vertebral specimens.</w:t>
      </w:r>
    </w:p>
    <w:p>
      <w:r>
        <w:br w:type="page"/>
      </w:r>
    </w:p>
    <w:p>
      <w:pPr>
        <w:pStyle w:val="Heading1"/>
        <w:spacing w:before="360" w:after="200"/>
      </w:pPr>
      <w:r>
        <w:rPr>
          <w:rFonts w:ascii="Times New Roman" w:cs="Times New Roman" w:eastAsia="Times New Roman" w:hAnsi="Times New Roman"/>
          <w:b/>
          <w:bCs/>
          <w:sz w:val="32"/>
          <w:szCs w:val="32"/>
        </w:rPr>
        <w:t xml:space="preserve">Section 6: Key Equations — Consolidated Reference</w:t>
      </w:r>
    </w:p>
    <w:p>
      <w:pPr>
        <w:spacing w:after="200"/>
      </w:pPr>
      <w:r>
        <w:rPr>
          <w:rFonts w:ascii="Times New Roman" w:cs="Times New Roman" w:eastAsia="Times New Roman" w:hAnsi="Times New Roman"/>
          <w:i/>
          <w:iCs/>
          <w:color w:val="990000"/>
          <w:sz w:val="20"/>
          <w:szCs w:val="20"/>
        </w:rPr>
        <w:t xml:space="preserve">[LaTeX code for each equation is provided below for direct insertion into the manuscript]</w:t>
      </w:r>
    </w:p>
    <w:p>
      <w:pPr>
        <w:pStyle w:val="Heading2"/>
        <w:spacing w:before="280" w:after="160"/>
      </w:pPr>
      <w:r>
        <w:rPr>
          <w:rFonts w:ascii="Times New Roman" w:cs="Times New Roman" w:eastAsia="Times New Roman" w:hAnsi="Times New Roman"/>
          <w:b/>
          <w:bCs/>
          <w:sz w:val="28"/>
          <w:szCs w:val="28"/>
        </w:rPr>
        <w:t xml:space="preserve">Equation T1: Energy Balance</w:t>
      </w:r>
    </w:p>
    <w:p>
      <w:pPr>
        <w:spacing w:before="120" w:after="120"/>
        <w:jc w:val="center"/>
      </w:pPr>
      <w:r>
        <w:rPr>
          <w:rFonts w:ascii="Times New Roman" w:cs="Times New Roman" w:eastAsia="Times New Roman" w:hAnsi="Times New Roman"/>
          <w:i/>
          <w:iCs/>
          <w:sz w:val="22"/>
          <w:szCs w:val="22"/>
        </w:rPr>
        <w:t xml:space="preserve">E_total(s, t)  =  E_mechano(s, t)  +  E_growth(s, t)  +  E_metabolic(s, t)</w:t>
      </w:r>
    </w:p>
    <w:p>
      <w:pPr>
        <w:spacing w:after="160"/>
      </w:pPr>
      <w:r>
        <w:rPr>
          <w:rFonts w:ascii="Times New Roman" w:cs="Times New Roman" w:eastAsia="Times New Roman" w:hAnsi="Times New Roman"/>
          <w:sz w:val="20"/>
          <w:szCs w:val="20"/>
        </w:rPr>
        <w:t xml:space="preserve">LaTeX: </w:t>
      </w:r>
      <w:r>
        <w:rPr>
          <w:rFonts w:ascii="Courier New" w:cs="Courier New" w:eastAsia="Courier New" w:hAnsi="Courier New"/>
          <w:sz w:val="18"/>
          <w:szCs w:val="18"/>
        </w:rPr>
        <w:t xml:space="preserve">E_{\mathrm{total}}(s,t) = E_{\mathrm{mechano}}(s,t) + E_{\mathrm{growth}}(s,t) + E_{\mathrm{metabolic}}(s,t)</w:t>
      </w:r>
    </w:p>
    <w:p>
      <w:pPr>
        <w:pStyle w:val="Heading2"/>
        <w:spacing w:before="280" w:after="160"/>
      </w:pPr>
      <w:r>
        <w:rPr>
          <w:rFonts w:ascii="Times New Roman" w:cs="Times New Roman" w:eastAsia="Times New Roman" w:hAnsi="Times New Roman"/>
          <w:b/>
          <w:bCs/>
          <w:sz w:val="28"/>
          <w:szCs w:val="28"/>
        </w:rPr>
        <w:t xml:space="preserve">Equation T2: Instability Criterion</w:t>
      </w:r>
    </w:p>
    <w:p>
      <w:pPr>
        <w:spacing w:before="120" w:after="120"/>
        <w:jc w:val="center"/>
      </w:pPr>
      <w:r>
        <w:rPr>
          <w:rFonts w:ascii="Times New Roman" w:cs="Times New Roman" w:eastAsia="Times New Roman" w:hAnsi="Times New Roman"/>
          <w:i/>
          <w:iCs/>
          <w:sz w:val="22"/>
          <w:szCs w:val="22"/>
        </w:rPr>
        <w:t xml:space="preserve">dE_total / dt  &lt;  θ_crit   ⇒   System enters unstable regime</w:t>
      </w:r>
    </w:p>
    <w:p>
      <w:pPr>
        <w:spacing w:after="160"/>
      </w:pPr>
      <w:r>
        <w:rPr>
          <w:rFonts w:ascii="Times New Roman" w:cs="Times New Roman" w:eastAsia="Times New Roman" w:hAnsi="Times New Roman"/>
          <w:sz w:val="20"/>
          <w:szCs w:val="20"/>
        </w:rPr>
        <w:t xml:space="preserve">LaTeX: </w:t>
      </w:r>
      <w:r>
        <w:rPr>
          <w:rFonts w:ascii="Courier New" w:cs="Courier New" w:eastAsia="Courier New" w:hAnsi="Courier New"/>
          <w:sz w:val="18"/>
          <w:szCs w:val="18"/>
        </w:rPr>
        <w:t xml:space="preserve">\frac{dE_{\mathrm{total}}}{dt} &lt; \theta_{\mathrm{crit}} \quad \Rightarrow \quad \text{unstable regime}</w:t>
      </w:r>
    </w:p>
    <w:p>
      <w:pPr>
        <w:pStyle w:val="Heading2"/>
        <w:spacing w:before="280" w:after="160"/>
      </w:pPr>
      <w:r>
        <w:rPr>
          <w:rFonts w:ascii="Times New Roman" w:cs="Times New Roman" w:eastAsia="Times New Roman" w:hAnsi="Times New Roman"/>
          <w:b/>
          <w:bCs/>
          <w:sz w:val="28"/>
          <w:szCs w:val="28"/>
        </w:rPr>
        <w:t xml:space="preserve">Equation T3: Susceptibility Divergence</w:t>
      </w:r>
    </w:p>
    <w:p>
      <w:pPr>
        <w:spacing w:before="120" w:after="120"/>
        <w:jc w:val="center"/>
      </w:pPr>
      <w:r>
        <w:rPr>
          <w:rFonts w:ascii="Times New Roman" w:cs="Times New Roman" w:eastAsia="Times New Roman" w:hAnsi="Times New Roman"/>
          <w:i/>
          <w:iCs/>
          <w:sz w:val="22"/>
          <w:szCs w:val="22"/>
        </w:rPr>
        <w:t xml:space="preserve">∂κ / ∂ε  ≫  1   when   R(t) = v_growth(t) / v_adaptation(t)  &gt;  R_crit</w:t>
      </w:r>
    </w:p>
    <w:p>
      <w:pPr>
        <w:spacing w:after="160"/>
      </w:pPr>
      <w:r>
        <w:rPr>
          <w:rFonts w:ascii="Times New Roman" w:cs="Times New Roman" w:eastAsia="Times New Roman" w:hAnsi="Times New Roman"/>
          <w:sz w:val="20"/>
          <w:szCs w:val="20"/>
        </w:rPr>
        <w:t xml:space="preserve">LaTeX: </w:t>
      </w:r>
      <w:r>
        <w:rPr>
          <w:rFonts w:ascii="Courier New" w:cs="Courier New" w:eastAsia="Courier New" w:hAnsi="Courier New"/>
          <w:sz w:val="18"/>
          <w:szCs w:val="18"/>
        </w:rPr>
        <w:t xml:space="preserve">\frac{\partial \kappa}{\partial \varepsilon} \gg 1 \quad \text{when} \quad R(t) = \frac{v_{\mathrm{growth}}(t)}{v_{\mathrm{adaptation}}(t)} &gt; R_{\mathrm{crit}}</w:t>
      </w:r>
    </w:p>
    <w:p>
      <w:pPr>
        <w:pStyle w:val="Heading2"/>
        <w:spacing w:before="280" w:after="160"/>
      </w:pPr>
      <w:r>
        <w:rPr>
          <w:rFonts w:ascii="Times New Roman" w:cs="Times New Roman" w:eastAsia="Times New Roman" w:hAnsi="Times New Roman"/>
          <w:b/>
          <w:bCs/>
          <w:sz w:val="28"/>
          <w:szCs w:val="28"/>
        </w:rPr>
        <w:t xml:space="preserve">Equation T4: Alignment Parameter</w:t>
      </w:r>
    </w:p>
    <w:p>
      <w:pPr>
        <w:spacing w:before="120" w:after="120"/>
        <w:jc w:val="center"/>
      </w:pPr>
      <w:r>
        <w:rPr>
          <w:rFonts w:ascii="Times New Roman" w:cs="Times New Roman" w:eastAsia="Times New Roman" w:hAnsi="Times New Roman"/>
          <w:i/>
          <w:iCs/>
          <w:sz w:val="22"/>
          <w:szCs w:val="22"/>
        </w:rPr>
        <w:t xml:space="preserve">α(s)  =  n̂_info(s) · n̂_stress(s)  =  (∇I / |∇I|) · σ̂</w:t>
      </w:r>
    </w:p>
    <w:p>
      <w:pPr>
        <w:spacing w:after="160"/>
      </w:pPr>
      <w:r>
        <w:rPr>
          <w:rFonts w:ascii="Times New Roman" w:cs="Times New Roman" w:eastAsia="Times New Roman" w:hAnsi="Times New Roman"/>
          <w:sz w:val="20"/>
          <w:szCs w:val="20"/>
        </w:rPr>
        <w:t xml:space="preserve">LaTeX: </w:t>
      </w:r>
      <w:r>
        <w:rPr>
          <w:rFonts w:ascii="Courier New" w:cs="Courier New" w:eastAsia="Courier New" w:hAnsi="Courier New"/>
          <w:sz w:val="18"/>
          <w:szCs w:val="18"/>
        </w:rPr>
        <w:t xml:space="preserve">\alpha(s) = \hat{n}_{\mathrm{info}}(s) \cdot \hat{n}_{\mathrm{stress}}(s) = \frac{\nabla I}{|\nabla I|} \cdot \hat{\sigma}</w:t>
      </w:r>
    </w:p>
    <w:p>
      <w:pPr>
        <w:pStyle w:val="Heading2"/>
        <w:spacing w:before="280" w:after="160"/>
      </w:pPr>
      <w:r>
        <w:rPr>
          <w:rFonts w:ascii="Times New Roman" w:cs="Times New Roman" w:eastAsia="Times New Roman" w:hAnsi="Times New Roman"/>
          <w:b/>
          <w:bCs/>
          <w:sz w:val="28"/>
          <w:szCs w:val="28"/>
        </w:rPr>
        <w:t xml:space="preserve">Equation T5: Orientation-Dependent Stiffness</w:t>
      </w:r>
    </w:p>
    <w:p>
      <w:pPr>
        <w:spacing w:before="120" w:after="120"/>
        <w:jc w:val="center"/>
      </w:pPr>
      <w:r>
        <w:rPr>
          <w:rFonts w:ascii="Times New Roman" w:cs="Times New Roman" w:eastAsia="Times New Roman" w:hAnsi="Times New Roman"/>
          <w:i/>
          <w:iCs/>
          <w:sz w:val="22"/>
          <w:szCs w:val="22"/>
        </w:rPr>
        <w:t xml:space="preserve">E_eff(s)  =  E_∥ · α²(s)  +  E_⊥ · (1 − α²(s))</w:t>
      </w:r>
    </w:p>
    <w:p>
      <w:pPr>
        <w:spacing w:after="160"/>
      </w:pPr>
      <w:r>
        <w:rPr>
          <w:rFonts w:ascii="Times New Roman" w:cs="Times New Roman" w:eastAsia="Times New Roman" w:hAnsi="Times New Roman"/>
          <w:sz w:val="20"/>
          <w:szCs w:val="20"/>
        </w:rPr>
        <w:t xml:space="preserve">LaTeX: </w:t>
      </w:r>
      <w:r>
        <w:rPr>
          <w:rFonts w:ascii="Courier New" w:cs="Courier New" w:eastAsia="Courier New" w:hAnsi="Courier New"/>
          <w:sz w:val="18"/>
          <w:szCs w:val="18"/>
        </w:rPr>
        <w:t xml:space="preserve">E_{\mathrm{eff}}(s) = E_{\parallel} \cdot \alpha^2(s) + E_{\perp} \cdot (1 - \alpha^2(s))</w:t>
      </w:r>
    </w:p>
    <w:p>
      <w:pPr>
        <w:pStyle w:val="Heading2"/>
        <w:spacing w:before="280" w:after="160"/>
      </w:pPr>
      <w:r>
        <w:rPr>
          <w:rFonts w:ascii="Times New Roman" w:cs="Times New Roman" w:eastAsia="Times New Roman" w:hAnsi="Times New Roman"/>
          <w:b/>
          <w:bCs/>
          <w:sz w:val="28"/>
          <w:szCs w:val="28"/>
        </w:rPr>
        <w:t xml:space="preserve">Equation M1: Tissue Homogenisation</w:t>
      </w:r>
    </w:p>
    <w:p>
      <w:pPr>
        <w:spacing w:before="120" w:after="120"/>
        <w:jc w:val="center"/>
      </w:pPr>
      <w:r>
        <w:rPr>
          <w:rFonts w:ascii="Times New Roman" w:cs="Times New Roman" w:eastAsia="Times New Roman" w:hAnsi="Times New Roman"/>
          <w:i/>
          <w:iCs/>
          <w:sz w:val="22"/>
          <w:szCs w:val="22"/>
        </w:rPr>
        <w:t xml:space="preserve">C_tissue(s) = Σ_i  φ_i(s) · R(θ_i) · C_fibril,i · R(θ_i)ᵀ</w:t>
      </w:r>
    </w:p>
    <w:p>
      <w:pPr>
        <w:spacing w:after="160"/>
      </w:pPr>
      <w:r>
        <w:rPr>
          <w:rFonts w:ascii="Times New Roman" w:cs="Times New Roman" w:eastAsia="Times New Roman" w:hAnsi="Times New Roman"/>
          <w:sz w:val="20"/>
          <w:szCs w:val="20"/>
        </w:rPr>
        <w:t xml:space="preserve">LaTeX: </w:t>
      </w:r>
      <w:r>
        <w:rPr>
          <w:rFonts w:ascii="Courier New" w:cs="Courier New" w:eastAsia="Courier New" w:hAnsi="Courier New"/>
          <w:sz w:val="18"/>
          <w:szCs w:val="18"/>
        </w:rPr>
        <w:t xml:space="preserve">\mathbf{C}_{\mathrm{tissue}}(s) = \sum_i \varphi_i(s) \cdot \mathbf{R}(\theta_i) \cdot \mathbf{C}_{\mathrm{fibril},i} \cdot \mathbf{R}(\theta_i)^T</w:t>
      </w:r>
    </w:p>
    <w:p>
      <w:pPr>
        <w:pStyle w:val="Heading2"/>
        <w:spacing w:before="280" w:after="160"/>
      </w:pPr>
      <w:r>
        <w:rPr>
          <w:rFonts w:ascii="Times New Roman" w:cs="Times New Roman" w:eastAsia="Times New Roman" w:hAnsi="Times New Roman"/>
          <w:b/>
          <w:bCs/>
          <w:sz w:val="28"/>
          <w:szCs w:val="28"/>
        </w:rPr>
        <w:t xml:space="preserve">Equations M2a–b: Protein Population Dynamics</w:t>
      </w:r>
    </w:p>
    <w:p>
      <w:pPr>
        <w:spacing w:before="120" w:after="120"/>
        <w:jc w:val="center"/>
      </w:pPr>
      <w:r>
        <w:rPr>
          <w:rFonts w:ascii="Times New Roman" w:cs="Times New Roman" w:eastAsia="Times New Roman" w:hAnsi="Times New Roman"/>
          <w:i/>
          <w:iCs/>
          <w:sz w:val="22"/>
          <w:szCs w:val="22"/>
        </w:rPr>
        <w:t xml:space="preserve">dP_mechano / dt  =  α_m(E_mechano)  −  δ_m P_mechano</w:t>
      </w:r>
    </w:p>
    <w:p>
      <w:pPr>
        <w:spacing w:before="120" w:after="120"/>
        <w:jc w:val="center"/>
      </w:pPr>
      <w:r>
        <w:rPr>
          <w:rFonts w:ascii="Times New Roman" w:cs="Times New Roman" w:eastAsia="Times New Roman" w:hAnsi="Times New Roman"/>
          <w:i/>
          <w:iCs/>
          <w:sz w:val="22"/>
          <w:szCs w:val="22"/>
        </w:rPr>
        <w:t xml:space="preserve">dP_growth / dt   =  α_g(E_growth)   −  δ_g P_growth</w:t>
      </w:r>
    </w:p>
    <w:p>
      <w:pPr>
        <w:spacing w:after="160"/>
      </w:pPr>
      <w:r>
        <w:rPr>
          <w:rFonts w:ascii="Times New Roman" w:cs="Times New Roman" w:eastAsia="Times New Roman" w:hAnsi="Times New Roman"/>
          <w:sz w:val="20"/>
          <w:szCs w:val="20"/>
        </w:rPr>
        <w:t xml:space="preserve">LaTeX: </w:t>
      </w:r>
      <w:r>
        <w:rPr>
          <w:rFonts w:ascii="Courier New" w:cs="Courier New" w:eastAsia="Courier New" w:hAnsi="Courier New"/>
          <w:sz w:val="18"/>
          <w:szCs w:val="18"/>
        </w:rPr>
        <w:t xml:space="preserve">\frac{dP_{\mathrm{mechano}}}{dt} = \alpha_m(E_{\mathrm{mechano}}) - \delta_m P_{\mathrm{mechano}}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Supplementary Theoretical Additions — IEC Manuscript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00" w:after="12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2026-02-16T20:22:43.414Z</dcterms:created>
  <dcterms:modified xsi:type="dcterms:W3CDTF">2026-02-16T20:22:43.422Z</dcterms:modified>
</cp:coreProperties>
</file>

<file path=docProps/custom.xml><?xml version="1.0" encoding="utf-8"?>
<Properties xmlns="http://schemas.openxmlformats.org/officeDocument/2006/custom-properties" xmlns:vt="http://schemas.openxmlformats.org/officeDocument/2006/docPropsVTypes"/>
</file>