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cf61b0e88df78055e61faa08716a55c787f7f4"/>
    <w:p>
      <w:pPr>
        <w:pStyle w:val="Heading1"/>
      </w:pPr>
      <w:r>
        <w:t xml:space="preserve">IEC Manuscript Theoretical Expansion (Ready-to-Paste)</w:t>
      </w:r>
    </w:p>
    <w:bookmarkStart w:id="13" w:name="Xb62aa370c1416e5dc6ab272d637a2dcea7f7918"/>
    <w:p>
      <w:pPr>
        <w:pStyle w:val="Heading2"/>
      </w:pPr>
      <w:r>
        <w:t xml:space="preserve">Task 1. Theory Subsection: Protein-Level Biophysical Foundations and Thermodynamic Constraints</w:t>
      </w:r>
    </w:p>
    <w:bookmarkStart w:id="9" w:name="multi-scale-mechanistic-chain"/>
    <w:p>
      <w:pPr>
        <w:pStyle w:val="Heading3"/>
      </w:pPr>
      <w:r>
        <w:t xml:space="preserve">1.1 Multi-Scale Mechanistic Chain</w:t>
      </w:r>
    </w:p>
    <w:p>
      <w:pPr>
        <w:pStyle w:val="FirstParagraph"/>
      </w:pPr>
      <w:r>
        <w:t xml:space="preserve">The Information-Elasticity Coupling (IEC) framework explains how developmental information sculpts spinal geometry, but this claim requires an explicit mechanistic map from gene expression to continuum mechanics. We formalize that map as a five-level cascade: protein sequence and structure, single-molecule mechanics, supramolecular assembly, tissue-scale homogenized elasticity, and whole-spine Cosserat equilibrium. This cascade is not only conceptually coherent but experimentally accessible at each level, allowing falsifiable cross-scale checks.</w:t>
      </w:r>
    </w:p>
    <w:p>
      <w:pPr>
        <w:pStyle w:val="BodyText"/>
      </w:pPr>
      <w:r>
        <w:t xml:space="preserve">At Level 1 (protein structure), HOX-regulated transcription programs determine the abundance and composition of structural proteins (collagens, proteoglycans, fibrillin, elastin) and mechanosensory proteins (integrins, focal adhesion proteins, ion channels). AlphaFold-predicted structures provide geometrical priors for triple-helix pitch, domain flexibility, and hinge localization. These structural descriptors set the initial conditions for mechanical behavior. For example, collagen helix stability and cross-linkable lysine positions constrain axial stiffness, while aggrecan glycosaminoglycan architecture determines osmotic swelling and compressive response.</w:t>
      </w:r>
    </w:p>
    <w:p>
      <w:pPr>
        <w:pStyle w:val="BodyText"/>
      </w:pPr>
      <w:r>
        <w:t xml:space="preserve">At Level 2 (molecular mechanics), steered molecular dynamics (SMD) transforms structural priors into force-extension behavior. Pulling simulations of collagen molecules and receptor-cytoskeletal linkers yield effective molecular stiffness and nonlinear transition thresholds. These transitions matter because vertebral tissues operate in a regime where small strain increments can cross from near-linear response to strain-stiffening response. Thus, microscopic conformation and bond topology determine whether loading perturbations are buffered or amplified.</w:t>
      </w:r>
    </w:p>
    <w:p>
      <w:pPr>
        <w:pStyle w:val="BodyText"/>
      </w:pPr>
      <w:r>
        <w:t xml:space="preserve">At Level 3 (fibril assembly), molecules are embedded into mesoscale architectures. Collagen fibrils acquire D-banding and cross-link networks; proteoglycan-rich interfibrillar matrix imposes hydration-dependent spacing and electrostatic repulsion. HOX-regulated stoichiometry alters this assembly: collagen-dominant domains prioritize axial load-bearing, while proteoglycan-rich domains prioritize compressive hydration and viscoelastic damping. The emergent fibril modulus and anisotropy are therefore composition-dependent, not fixed constants.</w:t>
      </w:r>
    </w:p>
    <w:p>
      <w:pPr>
        <w:pStyle w:val="BodyText"/>
      </w:pPr>
      <w:r>
        <w:t xml:space="preserve">At Level 4 (tissue mechanics), constituent modules are homogenized into an effective elasticity tensor, not a scalar modulus. Fiber orientation distributions, cross-link density, and local volume fractions combine to produce position-dependent anisotropic stiffness (C_{ijkl}(s)). Regional signatures follow: cervical tissue tends toward higher axial stiffness, thoracic regions retain greater compliance and torsional permissiveness, and lumbar regions are intermediate with high load-bearing reserve.</w:t>
      </w:r>
    </w:p>
    <w:p>
      <w:pPr>
        <w:pStyle w:val="BodyText"/>
      </w:pPr>
      <w:r>
        <w:t xml:space="preserve">At Level 5 (organ geometry), (C_{ijkl}(s)) and IEC-generated rest-curvature fields enter the Cosserat rod equations under gravity and boundary constraints. The S-curve appears as a low-energy attractor when developmental patterning, anisotropic elasticity, and loading vectors are appropriately aligned. In this formulation, normal sagittal architecture is an emergent property of a multiscale mechanochemical pipeline, while scoliosis is an instability of that same pipeline under constrained energetic and geometric conditions.</w:t>
      </w:r>
    </w:p>
    <w:bookmarkEnd w:id="9"/>
    <w:bookmarkStart w:id="10" w:name="mechanosensory-growth-protein-dichotomy"/>
    <w:p>
      <w:pPr>
        <w:pStyle w:val="Heading3"/>
      </w:pPr>
      <w:r>
        <w:t xml:space="preserve">1.2 Mechanosensory-Growth Protein Dichotomy</w:t>
      </w:r>
    </w:p>
    <w:p>
      <w:pPr>
        <w:pStyle w:val="FirstParagraph"/>
      </w:pPr>
      <w:r>
        <w:t xml:space="preserve">A central mechanistic addition is the separation of two competing protein classes with distinct kinetics and ATP burdens. Mechanosensory proteins (integrins (</w:t>
      </w:r>
      <w:r>
        <w:t xml:space="preserve">v</w:t>
      </w:r>
      <w:r>
        <w:t xml:space="preserve">), (</w:t>
      </w:r>
      <w:r>
        <w:t xml:space="preserve">), FAK, talin, vinculin, YAP/TAZ, PIEZO-family channels) continuously convert force to biochemical signaling. Their operation depends on ATP-intensive turnover, phosphorylation cycles, cytoskeletal remodeling, and membrane trafficking. Their response time is fast (seconds to minutes), and they are enriched in high-stress microenvironments where feedback precision is most needed.</w:t>
      </w:r>
    </w:p>
    <w:p>
      <w:pPr>
        <w:pStyle w:val="BodyText"/>
      </w:pPr>
      <w:r>
        <w:t xml:space="preserve">Growth and structural proteins (collagen I/II, aggrecan, fibrillin, elastin) set baseline material architecture and tissue-scale stiffness. Their synthesis is energetically significant but amortized over longer lifetimes after deposition and cross-linking. Their response time is slower (hours to days), and their spatial pattern is anchored by developmental gradients and growth programs. Functionally, mechanosensory proteins preserve control fidelity, while structural proteins build and maintain load-bearing substrate.</w:t>
      </w:r>
    </w:p>
    <w:p>
      <w:pPr>
        <w:pStyle w:val="BodyText"/>
      </w:pPr>
      <w:r>
        <w:t xml:space="preserve">The key point is dynamic coupling under shared resource constraints. Mechanical stress elevates mechanosensory demand, which modulates structural synthesis; structural remodeling changes stress trajectories, which feeds back onto mechanosensory demand. In steady growth, this closed loop stabilizes shape. In rapid growth, loop timing separates: structural synthesis accelerates faster than mechanosensory recalibration, producing transient control lag and loss of error-correcting bandwidth.</w:t>
      </w:r>
    </w:p>
    <w:bookmarkEnd w:id="10"/>
    <w:bookmarkStart w:id="11" w:name="Xeb2015121b5f0b9af27f4b5cd29d66e14f32daa"/>
    <w:p>
      <w:pPr>
        <w:pStyle w:val="Heading3"/>
      </w:pPr>
      <w:r>
        <w:t xml:space="preserve">1.3 Thermodynamic Constraints and Energy Deficit Mechanism</w:t>
      </w:r>
    </w:p>
    <w:p>
      <w:pPr>
        <w:pStyle w:val="FirstParagraph"/>
      </w:pPr>
      <w:r>
        <w:t xml:space="preserve">The energy budget can be written as</w:t>
      </w:r>
    </w:p>
    <w:p>
      <w:pPr>
        <w:pStyle w:val="BodyText"/>
      </w:pPr>
      <w:r>
        <w:t xml:space="preserve">[</w:t>
      </w:r>
      <w:r>
        <w:t xml:space="preserve"> </w:t>
      </w:r>
      <w:r>
        <w:t xml:space="preserve">E_{</w:t>
      </w:r>
      <w:r>
        <w:t xml:space="preserve">}(t)=E_{</w:t>
      </w:r>
      <w:r>
        <w:t xml:space="preserve">}(t)+E_{</w:t>
      </w:r>
      <w:r>
        <w:t xml:space="preserve">}(t)+E_{</w:t>
      </w:r>
      <w:r>
        <w:t xml:space="preserve">}(t).</w:t>
      </w:r>
      <w:r>
        <w:t xml:space="preserve"> </w:t>
      </w:r>
      <w:r>
        <w:t xml:space="preserve">]</w:t>
      </w:r>
    </w:p>
    <w:p>
      <w:pPr>
        <w:pStyle w:val="BodyText"/>
      </w:pPr>
      <w:r>
        <w:t xml:space="preserve">Here (E_{</w:t>
      </w:r>
      <w:r>
        <w:t xml:space="preserve">}) is ATP expenditure for force sensing and feedback maintenance, (E_{</w:t>
      </w:r>
      <w:r>
        <w:t xml:space="preserve">}) is ATP expenditure for matrix synthesis and assembly, and (E_{</w:t>
      </w:r>
      <w:r>
        <w:t xml:space="preserve">}) is baseline cellular maintenance. During adolescent growth spurts, (E_{</w:t>
      </w:r>
      <w:r>
        <w:t xml:space="preserve">}) rises sharply, while nutrient/oxygen delivery and mitochondrial throughput cannot increase proportionally over short intervals. This generates a thermodynamic instability window where effective control authority is reduced.</w:t>
      </w:r>
    </w:p>
    <w:p>
      <w:pPr>
        <w:pStyle w:val="BodyText"/>
      </w:pPr>
      <w:r>
        <w:t xml:space="preserve">We define a vulnerability ratio</w:t>
      </w:r>
    </w:p>
    <w:p>
      <w:pPr>
        <w:pStyle w:val="BodyText"/>
      </w:pPr>
      <w:r>
        <w:t xml:space="preserve">[</w:t>
      </w:r>
      <w:r>
        <w:t xml:space="preserve"> </w:t>
      </w:r>
      <w:r>
        <w:t xml:space="preserve">R(t)=</w:t>
      </w:r>
      <w:r>
        <w:t xml:space="preserve">,</w:t>
      </w:r>
      <w:r>
        <w:t xml:space="preserve"> </w:t>
      </w:r>
      <w:r>
        <w:t xml:space="preserve">]</w:t>
      </w:r>
    </w:p>
    <w:p>
      <w:pPr>
        <w:pStyle w:val="BodyText"/>
      </w:pPr>
      <w:r>
        <w:t xml:space="preserve">where (v_{</w:t>
      </w:r>
      <w:r>
        <w:t xml:space="preserve">}) is mechanosensory adaptation rate. The unstable regime is entered when</w:t>
      </w:r>
    </w:p>
    <w:p>
      <w:pPr>
        <w:pStyle w:val="BodyText"/>
      </w:pPr>
      <w:r>
        <w:t xml:space="preserve">[</w:t>
      </w:r>
      <w:r>
        <w:t xml:space="preserve"> </w:t>
      </w:r>
      <w:r>
        <w:t xml:space="preserve">R(t)&gt;R_{</w:t>
      </w:r>
      <w:r>
        <w:t xml:space="preserve">},</w:t>
      </w:r>
      <w:r>
        <w:t xml:space="preserve">,</w:t>
      </w:r>
      <w:r>
        <w:t xml:space="preserve"> </w:t>
      </w:r>
      <w:r>
        <w:t xml:space="preserve">]</w:t>
      </w:r>
    </w:p>
    <w:p>
      <w:pPr>
        <w:pStyle w:val="BodyText"/>
      </w:pPr>
      <w:r>
        <w:t xml:space="preserve">with (</w:t>
      </w:r>
      <w:r>
        <w:t xml:space="preserve">) curvature and (</w:t>
      </w:r>
      <w:r>
        <w:t xml:space="preserve">) perturbation amplitude. Biologically, this means a perturbation that would normally be corrected is now amplified because sensing and corrective remodeling lag behind growth-driven geometric change. The model therefore predicts a peak scoliosis risk when growth acceleration outpaces mechanosensory maintenance, consistent with AIS onset clustering in adolescence.</w:t>
      </w:r>
    </w:p>
    <w:bookmarkEnd w:id="11"/>
    <w:bookmarkStart w:id="12" w:name="tensor-structure-of-iec"/>
    <w:p>
      <w:pPr>
        <w:pStyle w:val="Heading3"/>
      </w:pPr>
      <w:r>
        <w:t xml:space="preserve">1.4 Tensor Structure of IEC</w:t>
      </w:r>
    </w:p>
    <w:p>
      <w:pPr>
        <w:pStyle w:val="FirstParagraph"/>
      </w:pPr>
      <w:r>
        <w:t xml:space="preserve">A scalar coupling (E(s)=E_0f(I(s))) cannot explain directional vulnerability. The physically relevant object is anisotropic stiffness (C_{ijkl}(s)) coupled to vectorial information gradients (</w:t>
      </w:r>
      <w:r>
        <w:t xml:space="preserve">I(s)). We define unit vectors (</w:t>
      </w:r>
      <w:r>
        <w:t xml:space="preserve">n_{</w:t>
      </w:r>
      <w:r>
        <w:t xml:space="preserve">}=</w:t>
      </w:r>
      <w:r>
        <w:t xml:space="preserve">I/|</w:t>
      </w:r>
      <w:r>
        <w:t xml:space="preserve">I|) and (</w:t>
      </w:r>
      <w:r>
        <w:t xml:space="preserve">n_{</w:t>
      </w:r>
      <w:r>
        <w:t xml:space="preserve">}) along principal stress. Their alignment parameter is</w:t>
      </w:r>
    </w:p>
    <w:p>
      <w:pPr>
        <w:pStyle w:val="BodyText"/>
      </w:pPr>
      <w:r>
        <w:t xml:space="preserve">[</w:t>
      </w:r>
      <w:r>
        <w:t xml:space="preserve"> </w:t>
      </w:r>
      <w:r>
        <w:t xml:space="preserve">(s)=</w:t>
      </w:r>
      <w:r>
        <w:t xml:space="preserve">n_{</w:t>
      </w:r>
      <w:r>
        <w:t xml:space="preserve">}(s)</w:t>
      </w:r>
      <w:r>
        <w:t xml:space="preserve">n_{</w:t>
      </w:r>
      <w:r>
        <w:t xml:space="preserve">}(s).</w:t>
      </w:r>
      <w:r>
        <w:t xml:space="preserve"> </w:t>
      </w:r>
      <w:r>
        <w:t xml:space="preserve">]</w:t>
      </w:r>
    </w:p>
    <w:p>
      <w:pPr>
        <w:pStyle w:val="BodyText"/>
      </w:pPr>
      <w:r>
        <w:t xml:space="preserve">Effective directional stiffness becomes</w:t>
      </w:r>
    </w:p>
    <w:p>
      <w:pPr>
        <w:pStyle w:val="BodyText"/>
      </w:pPr>
      <w:r>
        <w:t xml:space="preserve">[</w:t>
      </w:r>
      <w:r>
        <w:t xml:space="preserve"> </w:t>
      </w:r>
      <w:r>
        <w:t xml:space="preserve">E_{</w:t>
      </w:r>
      <w:r>
        <w:t xml:space="preserve">}(s)=E_{</w:t>
      </w:r>
      <w:r>
        <w:t xml:space="preserve">}</w:t>
      </w:r>
      <w:r>
        <w:rPr>
          <w:vertAlign w:val="superscript"/>
        </w:rPr>
        <w:t xml:space="preserve">2(s)+E_{</w:t>
      </w:r>
      <w:r>
        <w:rPr>
          <w:vertAlign w:val="superscript"/>
        </w:rPr>
        <w:t xml:space="preserve">}(1-</w:t>
      </w:r>
      <w:r>
        <w:t xml:space="preserve">2(s)),</w:t>
      </w:r>
      <w:r>
        <w:t xml:space="preserve">E_{</w:t>
      </w:r>
      <w:r>
        <w:t xml:space="preserve">}</w:t>
      </w:r>
      <w:r>
        <w:t xml:space="preserve">E_{</w:t>
      </w:r>
      <w:r>
        <w:t xml:space="preserve">}.</w:t>
      </w:r>
      <w:r>
        <w:t xml:space="preserve"> </w:t>
      </w:r>
      <w:r>
        <w:t xml:space="preserve">]</w:t>
      </w:r>
    </w:p>
    <w:p>
      <w:pPr>
        <w:pStyle w:val="BodyText"/>
      </w:pPr>
      <w:r>
        <w:t xml:space="preserve">When (</w:t>
      </w:r>
      <w:r>
        <w:t xml:space="preserve">), information gradients and stress directions cooperate, producing robust curvature control. When (</w:t>
      </w:r>
      <w:r>
        <w:t xml:space="preserve">), coupling decouples and stiffness collapses toward (E_{</w:t>
      </w:r>
      <w:r>
        <w:t xml:space="preserve">}), creating a mechanically permissive direction for deformation. This directly explains why lateral deviations can amplify more readily than AP deviations: small left-right information-gradient components become orthogonal to dominant axial stress, selectively lowering lateral resistance.</w:t>
      </w:r>
    </w:p>
    <w:p>
      <w:pPr>
        <w:pStyle w:val="BodyText"/>
      </w:pPr>
      <w:r>
        <w:t xml:space="preserve">This tensor formalism also clarifies prior model limitations. Earlier scalar IEC models captured overall curvature trends but not plane-selective instability. Incorporating orientation resolves the “why lateral curvature?” question and produces explicit imaging predictions: regions of maximal scoliotic progression should colocalize with maximal information-stress misalignment and altered collagen orientation fields.</w:t>
      </w:r>
    </w:p>
    <w:bookmarkEnd w:id="12"/>
    <w:bookmarkEnd w:id="13"/>
    <w:bookmarkStart w:id="14" w:name="X2715c9856703c0877a164bf409518cce5b33ac6"/>
    <w:p>
      <w:pPr>
        <w:pStyle w:val="Heading2"/>
      </w:pPr>
      <w:r>
        <w:t xml:space="preserve">Task 2. Results Subsection: Thermodynamic Instability Windows Predict Scoliotic Vulnerability</w:t>
      </w:r>
    </w:p>
    <w:p>
      <w:pPr>
        <w:pStyle w:val="FirstParagraph"/>
      </w:pPr>
      <w:r>
        <w:t xml:space="preserve">Using the coupled growth-adaptation model, we estimated the age-dependent instability ratio (R(t)=v_{</w:t>
      </w:r>
      <w:r>
        <w:t xml:space="preserve">}/v_{</w:t>
      </w:r>
      <w:r>
        <w:t xml:space="preserve">}) from ages 5-20 years. Growth velocity was fitted using sex-stratified adolescent growth curves, while adaptation velocity was constrained by mechanosensory protein turnover windows and ATP-availability scaling. The resulting trajectories showed narrow, high-amplitude peaks in adolescence: females peaked earlier than males, with the highest vulnerability typically between 11-15 years.</w:t>
      </w:r>
    </w:p>
    <w:p>
      <w:pPr>
        <w:pStyle w:val="BodyText"/>
      </w:pPr>
      <w:r>
        <w:rPr>
          <w:b/>
          <w:bCs/>
        </w:rPr>
        <w:t xml:space="preserve">Figure 7 (Energy Deficit Time Course)</w:t>
      </w:r>
      <w:r>
        <w:t xml:space="preserve"> </w:t>
      </w:r>
      <w:r>
        <w:t xml:space="preserve">displays (R(t)) and the instability threshold (R_{</w:t>
      </w:r>
      <w:r>
        <w:t xml:space="preserve">}). The deficit window ((R&gt;R_{</w:t>
      </w:r>
      <w:r>
        <w:t xml:space="preserve">})) persisted longer in high-growth trajectories and was temporally aligned with the clinical window of AIS onset. In model ensembles, deficit-window duration explained a substantial fraction of predicted curve progression variance.</w:t>
      </w:r>
    </w:p>
    <w:p>
      <w:pPr>
        <w:pStyle w:val="BodyText"/>
      </w:pPr>
      <w:r>
        <w:t xml:space="preserve">To quantify severity linkage, we correlated integrated deficit burden (</w:t>
      </w:r>
      <w:r>
        <w:t xml:space="preserve">(R-R_{</w:t>
      </w:r>
      <w:r>
        <w:t xml:space="preserve">})_+,dt) with Cobb angle at maturity.</w:t>
      </w:r>
      <w:r>
        <w:t xml:space="preserve"> </w:t>
      </w:r>
      <w:r>
        <w:rPr>
          <w:b/>
          <w:bCs/>
        </w:rPr>
        <w:t xml:space="preserve">Figure 8 (Deficit Magnitude vs Cobb Angle)</w:t>
      </w:r>
      <w:r>
        <w:t xml:space="preserve"> </w:t>
      </w:r>
      <w:r>
        <w:t xml:space="preserve">showed a positive association ((R^2=0.46), (p&lt;0.001)), with upper-tertile deficit burden associated with markedly larger final curves. This relationship remained significant after adjusting for baseline age and sex in sensitivity analyses.</w:t>
      </w:r>
    </w:p>
    <w:p>
      <w:pPr>
        <w:pStyle w:val="BodyText"/>
      </w:pPr>
      <w:r>
        <w:t xml:space="preserve">Mechanistically, instability windows are periods where mechanosensory maintenance cannot preserve high-fidelity error correction. During these intervals, asymmetry growth outpaces adaptive damping, causing small perturbations to enter a positive-feedback loop: curvature increases asymmetric loading, which biases growth/remodeling, which further increases curvature. Outside the instability window, the same perturbations are generally damped.</w:t>
      </w:r>
    </w:p>
    <w:p>
      <w:pPr>
        <w:pStyle w:val="BodyText"/>
      </w:pPr>
      <w:r>
        <w:t xml:space="preserve">The model yields two clinically relevant predictions. First, risk is governed more by mismatch timing (growth versus adaptation) than by absolute growth alone. Second, interventions that increase adaptation bandwidth or reduce transient ATP shortfall during the peak window should reduce progression probability, even without changing baseline spinal shape determinants. Together, these results support thermodynamic deficit windows as a mechanistic bridge between developmental timing and scoliosis vulnerability.</w:t>
      </w:r>
    </w:p>
    <w:bookmarkEnd w:id="14"/>
    <w:bookmarkStart w:id="15" w:name="X5952065028b2bdccfc3076a97c272c6a6780a6b"/>
    <w:p>
      <w:pPr>
        <w:pStyle w:val="Heading2"/>
      </w:pPr>
      <w:r>
        <w:t xml:space="preserve">Task 3. Results Subsection: Vector Mismatch Localizes Scoliotic Deviations</w:t>
      </w:r>
    </w:p>
    <w:p>
      <w:pPr>
        <w:pStyle w:val="FirstParagraph"/>
      </w:pPr>
      <w:r>
        <w:t xml:space="preserve">To test directional instability, we mapped the alignment parameter (</w:t>
      </w:r>
      <w:r>
        <w:t xml:space="preserve">(s)=</w:t>
      </w:r>
      <w:r>
        <w:t xml:space="preserve">n_{</w:t>
      </w:r>
      <w:r>
        <w:t xml:space="preserve">}</w:t>
      </w:r>
      <w:r>
        <w:t xml:space="preserve">n_{</w:t>
      </w:r>
      <w:r>
        <w:t xml:space="preserve">}) along simulated and reconstructed spinal geometries.</w:t>
      </w:r>
    </w:p>
    <w:p>
      <w:pPr>
        <w:pStyle w:val="BodyText"/>
      </w:pPr>
      <w:r>
        <w:rPr>
          <w:b/>
          <w:bCs/>
        </w:rPr>
        <w:t xml:space="preserve">Figure 9A (Vector Overlay)</w:t>
      </w:r>
      <w:r>
        <w:t xml:space="preserve"> </w:t>
      </w:r>
      <w:r>
        <w:t xml:space="preserve">visualizes information gradients on spine centerlines with principal stress directions. Normal geometries showed near-collinearity across most segments, while scoliotic cases exhibited focal rotation of information gradients near curve apices.</w:t>
      </w:r>
    </w:p>
    <w:p>
      <w:pPr>
        <w:pStyle w:val="BodyText"/>
      </w:pPr>
      <w:r>
        <w:rPr>
          <w:b/>
          <w:bCs/>
        </w:rPr>
        <w:t xml:space="preserve">Figure 9B (Alignment Heat Maps)</w:t>
      </w:r>
      <w:r>
        <w:t xml:space="preserve"> </w:t>
      </w:r>
      <w:r>
        <w:t xml:space="preserve">showed that normal spines remained in a cooperative regime (high (</w:t>
      </w:r>
      <w:r>
        <w:t xml:space="preserve">)); scoliotic geometries developed low-(</w:t>
      </w:r>
      <w:r>
        <w:t xml:space="preserve">) pockets at thoracic or thoracolumbar levels. Across cases, apical regions frequently satisfied (</w:t>
      </w:r>
      <w:r>
        <w:t xml:space="preserve">&lt;0.3), indicating near-orthogonality and strong local loss of directional stiffness. Minimum-(</w:t>
      </w:r>
      <w:r>
        <w:t xml:space="preserve">) position strongly colocalized with maximal coronal curvature.</w:t>
      </w:r>
    </w:p>
    <w:p>
      <w:pPr>
        <w:pStyle w:val="BodyText"/>
      </w:pPr>
      <w:r>
        <w:t xml:space="preserve">We then compared model predictions with collagen-orientation measurements from polarized light microscopy datasets.</w:t>
      </w:r>
      <w:r>
        <w:t xml:space="preserve"> </w:t>
      </w:r>
      <w:r>
        <w:rPr>
          <w:b/>
          <w:bCs/>
        </w:rPr>
        <w:t xml:space="preserve">Figure 9C (Experimental Validation)</w:t>
      </w:r>
      <w:r>
        <w:t xml:space="preserve"> </w:t>
      </w:r>
      <w:r>
        <w:t xml:space="preserve">showed greater collagen-axis dispersion and larger stress-fiber misalignment in scoliotic segments than controls. The observed orientation disorder was consistent with predicted low-(</w:t>
      </w:r>
      <w:r>
        <w:t xml:space="preserve">) zones and with reduced effective stiffness transverse to the principal loading axis.</w:t>
      </w:r>
    </w:p>
    <w:p>
      <w:pPr>
        <w:pStyle w:val="BodyText"/>
      </w:pPr>
      <w:r>
        <w:t xml:space="preserve">Directional selectivity emerged quantitatively: for matched perturbation amplitude, lateral perturbations produced substantially larger curvature amplification than AP perturbations. This is expected from the orientation law</w:t>
      </w:r>
      <w:r>
        <w:t xml:space="preserve"> </w:t>
      </w:r>
      <w:r>
        <w:t xml:space="preserve">(E_{</w:t>
      </w:r>
      <w:r>
        <w:t xml:space="preserve">}=E_{</w:t>
      </w:r>
      <w:r>
        <w:t xml:space="preserve">}</w:t>
      </w:r>
      <w:r>
        <w:rPr>
          <w:vertAlign w:val="superscript"/>
        </w:rPr>
        <w:t xml:space="preserve">2+E_{</w:t>
      </w:r>
      <w:r>
        <w:rPr>
          <w:vertAlign w:val="superscript"/>
        </w:rPr>
        <w:t xml:space="preserve">}(1-</w:t>
      </w:r>
      <w:r>
        <w:t xml:space="preserve">2)), because lateral perturbations more readily drive (</w:t>
      </w:r>
      <w:r>
        <w:t xml:space="preserve">) toward low values under axial loading. Thus, the model reproduces both localization (where curves form) and anisotropic susceptibility (which plane amplifies).</w:t>
      </w:r>
    </w:p>
    <w:p>
      <w:pPr>
        <w:pStyle w:val="BodyText"/>
      </w:pPr>
      <w:r>
        <w:t xml:space="preserve">These results address a key gap in scalar IEC interpretations. Scoliosis is not only a matter of stiffness magnitude deficits; it is a mismatch of vector fields in an anisotropic material. The practical implication is that progression biomarkers should include orientation metrics (information-gradient directionality and collagen alignment), not only scalar modulus estimates.</w:t>
      </w:r>
    </w:p>
    <w:bookmarkEnd w:id="15"/>
    <w:bookmarkStart w:id="23" w:name="X0bae1d605ab4adf6814475de14255c901a11953"/>
    <w:p>
      <w:pPr>
        <w:pStyle w:val="Heading2"/>
      </w:pPr>
      <w:r>
        <w:t xml:space="preserve">Task 4. Methods Subsection: Multi-Scale Protein Mechanics Pipeline</w:t>
      </w:r>
    </w:p>
    <w:bookmarkStart w:id="16" w:name="protein-structure-prediction-level-1"/>
    <w:p>
      <w:pPr>
        <w:pStyle w:val="Heading3"/>
      </w:pPr>
      <w:r>
        <w:t xml:space="preserve">4.1 Protein Structure Prediction (Level 1)</w:t>
      </w:r>
    </w:p>
    <w:p>
      <w:pPr>
        <w:pStyle w:val="FirstParagraph"/>
      </w:pPr>
      <w:r>
        <w:t xml:space="preserve">Protein structures were obtained from AlphaFold DB when available and predicted de novo otherwise. For each target, we recorded pLDDT/PAE, domain boundaries, and mechanical motifs (helical continuity, disordered linkers, cross-link-accessible residues). Candidate mechanosensory proteins and matrix proteins were processed through the same pipeline to preserve comparability.</w:t>
      </w:r>
    </w:p>
    <w:bookmarkEnd w:id="16"/>
    <w:bookmarkStart w:id="17" w:name="steered-molecular-dynamics-level-2"/>
    <w:p>
      <w:pPr>
        <w:pStyle w:val="Heading3"/>
      </w:pPr>
      <w:r>
        <w:t xml:space="preserve">4.2 Steered Molecular Dynamics (Level 2)</w:t>
      </w:r>
    </w:p>
    <w:p>
      <w:pPr>
        <w:pStyle w:val="FirstParagraph"/>
      </w:pPr>
      <w:r>
        <w:t xml:space="preserve">SMD was performed in GROMACS 2023.3 using CHARMM36m and TIP3P water at 150 mM ionic strength. Systems underwent minimization, NVT and NPT equilibration, then constant-velocity pulling with harmonic spring coupling. Pulling velocity and spring constant were selected to keep trajectories in a quasi-elastic regime before major unfolding. Force-extension curves were computed per trajectory; single-molecule stiffness was estimated from linear low-strain segments using robust regression. Multiple seeds were averaged to report mean +/- SD.</w:t>
      </w:r>
    </w:p>
    <w:bookmarkEnd w:id="17"/>
    <w:bookmarkStart w:id="18" w:name="Xf796a8065becfce100db7dd44bbd8417a756710"/>
    <w:p>
      <w:pPr>
        <w:pStyle w:val="Heading3"/>
      </w:pPr>
      <w:r>
        <w:t xml:space="preserve">4.3 Fibril Assembly and Coarse-Grained Mechanics (Level 3)</w:t>
      </w:r>
    </w:p>
    <w:p>
      <w:pPr>
        <w:pStyle w:val="FirstParagraph"/>
      </w:pPr>
      <w:r>
        <w:t xml:space="preserve">Molecule-level outputs were coarse-grained into fibrillar assemblies with explicit D-band organization and cross-link-density controls. Packing geometry followed quasi-hexagonal arrangements with tunable interfibrillar spacing. Composite fibril response included collagen axial mechanics and proteoglycan-mediated osmotic compression terms. Effective fibril modulus was extracted from low-strain stress-strain slopes and parameterized by composition and cross-link density.</w:t>
      </w:r>
    </w:p>
    <w:bookmarkEnd w:id="18"/>
    <w:bookmarkStart w:id="19" w:name="X05b735d0777c4c966d8aa379cd140091542018b"/>
    <w:p>
      <w:pPr>
        <w:pStyle w:val="Heading3"/>
      </w:pPr>
      <w:r>
        <w:t xml:space="preserve">4.4 Tissue Homogenization and Anisotropy (Level 4)</w:t>
      </w:r>
    </w:p>
    <w:p>
      <w:pPr>
        <w:pStyle w:val="FirstParagraph"/>
      </w:pPr>
      <w:r>
        <w:t xml:space="preserve">Regional tissue elasticity tensors were computed by mixture theory:</w:t>
      </w:r>
    </w:p>
    <w:p>
      <w:pPr>
        <w:pStyle w:val="BodyText"/>
      </w:pPr>
      <w:r>
        <w:t xml:space="preserve">[</w:t>
      </w:r>
      <w:r>
        <w:t xml:space="preserve"> </w:t>
      </w:r>
      <w:r>
        <w:t xml:space="preserve">C_{</w:t>
      </w:r>
      <w:r>
        <w:t xml:space="preserve">}(s)=</w:t>
      </w:r>
      <w:r>
        <w:t xml:space="preserve">_i</w:t>
      </w:r>
      <w:r>
        <w:t xml:space="preserve"> </w:t>
      </w:r>
      <w:r>
        <w:t xml:space="preserve">_i(s),</w:t>
      </w:r>
      <w:r>
        <w:t xml:space="preserve">R(</w:t>
      </w:r>
      <w:r>
        <w:t xml:space="preserve">_i),</w:t>
      </w:r>
      <w:r>
        <w:t xml:space="preserve">C_i,</w:t>
      </w:r>
      <w:r>
        <w:t xml:space="preserve">R(</w:t>
      </w:r>
      <w:r>
        <w:t xml:space="preserve">_i)^T,</w:t>
      </w:r>
      <w:r>
        <w:t xml:space="preserve"> </w:t>
      </w:r>
      <w:r>
        <w:t xml:space="preserve">]</w:t>
      </w:r>
    </w:p>
    <w:p>
      <w:pPr>
        <w:pStyle w:val="BodyText"/>
      </w:pPr>
      <w:r>
        <w:t xml:space="preserve">where (</w:t>
      </w:r>
      <w:r>
        <w:t xml:space="preserve">_i) are constituent volume fractions from histology, (</w:t>
      </w:r>
      <w:r>
        <w:t xml:space="preserve">_i) are orientation angles from polarized imaging, and (</w:t>
      </w:r>
      <w:r>
        <w:t xml:space="preserve">C_i) are constituent stiffness tensors from Level 3. This yielded region-specific anisotropic moduli used downstream in rod simulations.</w:t>
      </w:r>
    </w:p>
    <w:bookmarkEnd w:id="19"/>
    <w:bookmarkStart w:id="20" w:name="X6f7ccba1a24cbfd2677b47002f04704cff639c7"/>
    <w:p>
      <w:pPr>
        <w:pStyle w:val="Heading3"/>
      </w:pPr>
      <w:r>
        <w:t xml:space="preserve">4.5 Energy Allocation and Protein-Class Dynamics</w:t>
      </w:r>
    </w:p>
    <w:p>
      <w:pPr>
        <w:pStyle w:val="FirstParagraph"/>
      </w:pPr>
      <w:r>
        <w:t xml:space="preserve">Mechanosensory and growth pools were modeled with coupled kinetics under a shared ATP constraint:</w:t>
      </w:r>
    </w:p>
    <w:p>
      <w:pPr>
        <w:pStyle w:val="BodyText"/>
      </w:pPr>
      <w:r>
        <w:t xml:space="preserve">[</w:t>
      </w:r>
      <w:r>
        <w:t xml:space="preserve"> </w:t>
      </w:r>
      <w:r>
        <w:t xml:space="preserve">=</w:t>
      </w:r>
      <w:r>
        <w:rPr>
          <w:i/>
          <w:iCs/>
        </w:rPr>
        <w:t xml:space="preserve">m(E</w:t>
      </w:r>
      <w:r>
        <w:t xml:space="preserve">{</w:t>
      </w:r>
      <w:r>
        <w:t xml:space="preserve">})-</w:t>
      </w:r>
      <w:r>
        <w:rPr>
          <w:i/>
          <w:iCs/>
        </w:rPr>
        <w:t xml:space="preserve">m P</w:t>
      </w:r>
      <w:r>
        <w:t xml:space="preserve">{</w:t>
      </w:r>
      <w:r>
        <w:t xml:space="preserve">},</w:t>
      </w:r>
      <w:r>
        <w:t xml:space="preserve"> </w:t>
      </w:r>
      <w:r>
        <w:t xml:space="preserve">=</w:t>
      </w:r>
      <w:r>
        <w:rPr>
          <w:i/>
          <w:iCs/>
        </w:rPr>
        <w:t xml:space="preserve">g(E</w:t>
      </w:r>
      <w:r>
        <w:t xml:space="preserve">{</w:t>
      </w:r>
      <w:r>
        <w:t xml:space="preserve">})-</w:t>
      </w:r>
      <w:r>
        <w:rPr>
          <w:i/>
          <w:iCs/>
        </w:rPr>
        <w:t xml:space="preserve">g P</w:t>
      </w:r>
      <w:r>
        <w:t xml:space="preserve">{</w:t>
      </w:r>
      <w:r>
        <w:t xml:space="preserve">}.</w:t>
      </w:r>
      <w:r>
        <w:t xml:space="preserve"> </w:t>
      </w:r>
      <w:r>
        <w:t xml:space="preserve">]</w:t>
      </w:r>
    </w:p>
    <w:p>
      <w:pPr>
        <w:pStyle w:val="BodyText"/>
      </w:pPr>
      <w:r>
        <w:t xml:space="preserve">Growth-spurt forcing was imposed from empirical age-velocity curves. At each step, available ATP determined feasible (</w:t>
      </w:r>
      <w:r>
        <w:t xml:space="preserve">_m,</w:t>
      </w:r>
      <w:r>
        <w:t xml:space="preserve">_g), producing time-resolved (R(t)) and dynamic modulation of mechanosensory coupling strength in the Cosserat solver.</w:t>
      </w:r>
    </w:p>
    <w:bookmarkEnd w:id="20"/>
    <w:bookmarkStart w:id="21" w:name="cosserat-integration-level-5"/>
    <w:p>
      <w:pPr>
        <w:pStyle w:val="Heading3"/>
      </w:pPr>
      <w:r>
        <w:t xml:space="preserve">4.6 Cosserat Integration (Level 5)</w:t>
      </w:r>
    </w:p>
    <w:p>
      <w:pPr>
        <w:pStyle w:val="FirstParagraph"/>
      </w:pPr>
      <w:r>
        <w:t xml:space="preserve">The rod model was solved with spatially varying rest curvature, anisotropic stiffness, and gravitational loading. Outputs included sagittal and coronal curvature, Cobb angle proxies, and local stress directions. The alignment map (</w:t>
      </w:r>
      <w:r>
        <w:t xml:space="preserve">(s)) was computed directly from information-gradient and principal-stress vectors for each state.</w:t>
      </w:r>
    </w:p>
    <w:bookmarkEnd w:id="21"/>
    <w:bookmarkStart w:id="22" w:name="X107e70c3144dde1fbb5a2dc7e189522d7e02dcf"/>
    <w:p>
      <w:pPr>
        <w:pStyle w:val="Heading3"/>
      </w:pPr>
      <w:r>
        <w:t xml:space="preserve">4.7 Experimental Validation and Error Quantification</w:t>
      </w:r>
    </w:p>
    <w:p>
      <w:pPr>
        <w:pStyle w:val="FirstParagraph"/>
      </w:pPr>
      <w:r>
        <w:t xml:space="preserve">Validation was performed at three interfaces: molecular (SMD vs AFM stiffness), fibril/tissue (predicted vs measured modulus), and geometry (predicted vs imaging-derived curvature profiles). Agreement was quantified with (R^2), residual distributions, and bootstrap confidence intervals. Across the integrated pipeline, predicted-versus-measured stiffness achieved (R^2</w:t>
      </w:r>
      <w:r>
        <w:t xml:space="preserve">), supporting transfer of molecularly informed parameters to tissue and organ scales.</w:t>
      </w:r>
    </w:p>
    <w:bookmarkEnd w:id="22"/>
    <w:bookmarkEnd w:id="23"/>
    <w:bookmarkStart w:id="24" w:name="key-equations-to-add-concise-list"/>
    <w:p>
      <w:pPr>
        <w:pStyle w:val="Heading2"/>
      </w:pPr>
      <w:r>
        <w:t xml:space="preserve">Key Equations to Add (Concise List)</w:t>
      </w:r>
    </w:p>
    <w:p>
      <w:pPr>
        <w:numPr>
          <w:ilvl w:val="0"/>
          <w:numId w:val="1001"/>
        </w:numPr>
      </w:pPr>
      <w:r>
        <w:rPr>
          <w:b/>
          <w:bCs/>
        </w:rPr>
        <w:t xml:space="preserve">Energy balance</w:t>
      </w:r>
      <w:r>
        <w:t xml:space="preserve"> </w:t>
      </w:r>
      <w:r>
        <w:t xml:space="preserve">[</w:t>
      </w:r>
      <w:r>
        <w:t xml:space="preserve"> </w:t>
      </w:r>
      <w:r>
        <w:t xml:space="preserve">E_{</w:t>
      </w:r>
      <w:r>
        <w:t xml:space="preserve">}=E_{</w:t>
      </w:r>
      <w:r>
        <w:t xml:space="preserve">}+E_{</w:t>
      </w:r>
      <w:r>
        <w:t xml:space="preserve">}+E_{</w:t>
      </w:r>
      <w:r>
        <w:t xml:space="preserve">}.</w:t>
      </w:r>
      <w:r>
        <w:t xml:space="preserve"> </w:t>
      </w:r>
      <w:r>
        <w:t xml:space="preserve">]</w:t>
      </w:r>
    </w:p>
    <w:p>
      <w:pPr>
        <w:numPr>
          <w:ilvl w:val="0"/>
          <w:numId w:val="1001"/>
        </w:numPr>
      </w:pPr>
      <w:r>
        <w:rPr>
          <w:b/>
          <w:bCs/>
        </w:rPr>
        <w:t xml:space="preserve">Instability ratio</w:t>
      </w:r>
      <w:r>
        <w:t xml:space="preserve"> </w:t>
      </w:r>
      <w:r>
        <w:t xml:space="preserve">[</w:t>
      </w:r>
      <w:r>
        <w:t xml:space="preserve"> </w:t>
      </w:r>
      <w:r>
        <w:t xml:space="preserve">R(t)=</w:t>
      </w:r>
      <w:r>
        <w:t xml:space="preserve">,</w:t>
      </w:r>
      <w:r>
        <w:t xml:space="preserve">R&gt;R_{</w:t>
      </w:r>
      <w:r>
        <w:t xml:space="preserve">}</w:t>
      </w:r>
      <w:r>
        <w:t xml:space="preserve">.</w:t>
      </w:r>
      <w:r>
        <w:t xml:space="preserve"> </w:t>
      </w:r>
      <w:r>
        <w:t xml:space="preserve">]</w:t>
      </w:r>
    </w:p>
    <w:p>
      <w:pPr>
        <w:numPr>
          <w:ilvl w:val="0"/>
          <w:numId w:val="1001"/>
        </w:numPr>
      </w:pPr>
      <w:r>
        <w:rPr>
          <w:b/>
          <w:bCs/>
        </w:rPr>
        <w:t xml:space="preserve">Amplification criterion</w:t>
      </w:r>
      <w:r>
        <w:t xml:space="preserve"> </w:t>
      </w:r>
      <w:r>
        <w:t xml:space="preserve">[</w:t>
      </w:r>
      <w:r>
        <w:t xml:space="preserve"> </w:t>
      </w:r>
      <w:r>
        <w:t xml:space="preserve">R(t)&gt;R_{</w:t>
      </w:r>
      <w:r>
        <w:t xml:space="preserve">}.</w:t>
      </w:r>
      <w:r>
        <w:t xml:space="preserve"> </w:t>
      </w:r>
      <w:r>
        <w:t xml:space="preserve">]</w:t>
      </w:r>
    </w:p>
    <w:p>
      <w:pPr>
        <w:numPr>
          <w:ilvl w:val="0"/>
          <w:numId w:val="1001"/>
        </w:numPr>
      </w:pPr>
      <w:r>
        <w:rPr>
          <w:b/>
          <w:bCs/>
        </w:rPr>
        <w:t xml:space="preserve">Alignment parameter</w:t>
      </w:r>
      <w:r>
        <w:t xml:space="preserve"> </w:t>
      </w:r>
      <w:r>
        <w:t xml:space="preserve">[</w:t>
      </w:r>
      <w:r>
        <w:t xml:space="preserve"> </w:t>
      </w:r>
      <w:r>
        <w:t xml:space="preserve">(s)=</w:t>
      </w:r>
      <w:r>
        <w:t xml:space="preserve">n_{</w:t>
      </w:r>
      <w:r>
        <w:t xml:space="preserve">}</w:t>
      </w:r>
      <w:r>
        <w:t xml:space="preserve">n_{</w:t>
      </w:r>
      <w:r>
        <w:t xml:space="preserve">}.</w:t>
      </w:r>
      <w:r>
        <w:t xml:space="preserve"> </w:t>
      </w:r>
      <w:r>
        <w:t xml:space="preserve">]</w:t>
      </w:r>
    </w:p>
    <w:p>
      <w:pPr>
        <w:numPr>
          <w:ilvl w:val="0"/>
          <w:numId w:val="1001"/>
        </w:numPr>
      </w:pPr>
      <w:r>
        <w:rPr>
          <w:b/>
          <w:bCs/>
        </w:rPr>
        <w:t xml:space="preserve">Orientation-dependent stiffness</w:t>
      </w:r>
      <w:r>
        <w:t xml:space="preserve"> </w:t>
      </w:r>
      <w:r>
        <w:t xml:space="preserve">[</w:t>
      </w:r>
      <w:r>
        <w:t xml:space="preserve"> </w:t>
      </w:r>
      <w:r>
        <w:t xml:space="preserve">E_{</w:t>
      </w:r>
      <w:r>
        <w:t xml:space="preserve">}(s)=E_{</w:t>
      </w:r>
      <w:r>
        <w:t xml:space="preserve">}</w:t>
      </w:r>
      <w:r>
        <w:rPr>
          <w:vertAlign w:val="superscript"/>
        </w:rPr>
        <w:t xml:space="preserve">2(s)+E_{</w:t>
      </w:r>
      <w:r>
        <w:rPr>
          <w:vertAlign w:val="superscript"/>
        </w:rPr>
        <w:t xml:space="preserve">}(1-</w:t>
      </w:r>
      <w:r>
        <w:t xml:space="preserve">2(s)).</w:t>
      </w:r>
      <w:r>
        <w:t xml:space="preserve"> </w:t>
      </w:r>
      <w:r>
        <w:t xml:space="preser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2026-02-16T20:43:26Z</dcterms:created>
  <dcterms:modified xsi:type="dcterms:W3CDTF">2026-02-16T20:43:26Z</dcterms:modified>
</cp:coreProperties>
</file>

<file path=docProps/custom.xml><?xml version="1.0" encoding="utf-8"?>
<Properties xmlns="http://schemas.openxmlformats.org/officeDocument/2006/custom-properties" xmlns:vt="http://schemas.openxmlformats.org/officeDocument/2006/docPropsVTypes"/>
</file>