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Times New Roman" w:cs="Times New Roman" w:eastAsia="Times New Roman" w:hAnsi="Times New Roman"/>
          <w:b/>
          <w:bCs/>
          <w:sz w:val="36"/>
          <w:szCs w:val="36"/>
        </w:rPr>
        <w:t xml:space="preserve">Supplementary Section 5</w:t>
      </w:r>
    </w:p>
    <w:p>
      <w:pPr>
        <w:spacing w:after="60"/>
        <w:jc w:val="center"/>
      </w:pPr>
      <w:r>
        <w:rPr>
          <w:rFonts w:ascii="Times New Roman" w:cs="Times New Roman" w:eastAsia="Times New Roman" w:hAnsi="Times New Roman"/>
          <w:b/>
          <w:bCs/>
          <w:sz w:val="32"/>
          <w:szCs w:val="32"/>
        </w:rPr>
        <w:t xml:space="preserve">Molecular-to-Biomechanical Bridge:</w:t>
      </w:r>
    </w:p>
    <w:p>
      <w:pPr>
        <w:spacing w:after="480"/>
        <w:jc w:val="center"/>
      </w:pPr>
      <w:r>
        <w:rPr>
          <w:rFonts w:ascii="Times New Roman" w:cs="Times New Roman" w:eastAsia="Times New Roman" w:hAnsi="Times New Roman"/>
          <w:b/>
          <w:bCs/>
          <w:sz w:val="32"/>
          <w:szCs w:val="32"/>
        </w:rPr>
        <w:t xml:space="preserve">AlphaFold-Derived Parameters for the DDE Framework</w:t>
      </w:r>
    </w:p>
    <w:p>
      <w:pPr>
        <w:spacing w:after="240"/>
        <w:jc w:val="center"/>
      </w:pPr>
      <w:r>
        <w:rPr>
          <w:rFonts w:ascii="Times New Roman" w:cs="Times New Roman" w:eastAsia="Times New Roman" w:hAnsi="Times New Roman"/>
          <w:i/>
          <w:iCs/>
          <w:sz w:val="22"/>
          <w:szCs w:val="22"/>
        </w:rPr>
        <w:t xml:space="preserve">Extension to: Delay-Constrained Stability in Adolescent Spinal Morphogenesis</w:t>
      </w:r>
    </w:p>
    <w:p>
      <w:pPr>
        <w:spacing w:after="60"/>
        <w:jc w:val="center"/>
      </w:pPr>
      <w:r>
        <w:rPr>
          <w:rFonts w:ascii="Times New Roman" w:cs="Times New Roman" w:eastAsia="Times New Roman" w:hAnsi="Times New Roman"/>
          <w:sz w:val="22"/>
          <w:szCs w:val="22"/>
        </w:rPr>
        <w:t xml:space="preserve">Dr. Sayuj K S</w:t>
      </w:r>
    </w:p>
    <w:p>
      <w:pPr>
        <w:spacing w:after="600"/>
        <w:jc w:val="center"/>
      </w:pPr>
      <w:r>
        <w:rPr>
          <w:rFonts w:ascii="Times New Roman" w:cs="Times New Roman" w:eastAsia="Times New Roman" w:hAnsi="Times New Roman"/>
          <w:color w:val="666666"/>
          <w:sz w:val="20"/>
          <w:szCs w:val="20"/>
        </w:rPr>
        <w:t xml:space="preserve">Spine Surgeon</w:t>
      </w:r>
    </w:p>
    <w:p>
      <w:pPr>
        <w:spacing w:after="120" w:line="276"/>
        <w:jc w:val="center"/>
      </w:pPr>
      <w:r>
        <w:rPr>
          <w:rFonts w:ascii="Times New Roman" w:cs="Times New Roman" w:eastAsia="Times New Roman" w:hAnsi="Times New Roman"/>
          <w:color w:val="888888"/>
          <w:sz w:val="20"/>
          <w:szCs w:val="20"/>
        </w:rPr>
        <w:t xml:space="preserve">March 2026</w:t>
      </w:r>
    </w:p>
    <w:p>
      <w:r>
        <w:br w:type="page"/>
      </w:r>
    </w:p>
    <w:p>
      <w:pPr>
        <w:pStyle w:val="Heading1"/>
        <w:spacing w:after="240" w:before="360"/>
      </w:pPr>
      <w:r>
        <w:rPr>
          <w:rFonts w:ascii="Times New Roman" w:cs="Times New Roman" w:eastAsia="Times New Roman" w:hAnsi="Times New Roman"/>
          <w:b/>
          <w:bCs/>
          <w:sz w:val="32"/>
          <w:szCs w:val="32"/>
        </w:rPr>
        <w:t xml:space="preserve">5. Molecular-to-Biomechanical Bridge via AlphaFold</w:t>
      </w:r>
    </w:p>
    <w:p>
      <w:pPr>
        <w:pStyle w:val="Heading2"/>
        <w:spacing w:after="180" w:before="240"/>
      </w:pPr>
      <w:r>
        <w:rPr>
          <w:rFonts w:ascii="Times New Roman" w:cs="Times New Roman" w:eastAsia="Times New Roman" w:hAnsi="Times New Roman"/>
          <w:b/>
          <w:bCs/>
          <w:sz w:val="28"/>
          <w:szCs w:val="28"/>
        </w:rPr>
        <w:t xml:space="preserve">5.1 Motivation and Rationale</w:t>
      </w:r>
    </w:p>
    <w:p>
      <w:pPr>
        <w:spacing w:after="120" w:line="276"/>
      </w:pPr>
      <w:r>
        <w:rPr>
          <w:rFonts w:ascii="Times New Roman" w:cs="Times New Roman" w:eastAsia="Times New Roman" w:hAnsi="Times New Roman"/>
          <w:sz w:val="24"/>
          <w:szCs w:val="24"/>
        </w:rPr>
        <w:t xml:space="preserve">The DDE framework developed in Sections 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4 treats the spinal column as a delayed feedback control system, characterised by the governing equation:</w:t>
      </w:r>
    </w:p>
    <w:p>
      <w:pPr>
        <w:spacing w:after="120" w:before="12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I·θ̈(t) + b·θ̇(t) − mgL·θ(t) + K_p·θ(t−τ) + K_d·θ̇(t−τ) = ξ(t)</w:t>
      </w:r>
      <w:r>
        <w:rPr>
          <w:rFonts w:ascii="Times New Roman" w:cs="Times New Roman" w:eastAsia="Times New Roman" w:hAnsi="Times New Roman"/>
          <w:sz w:val="24"/>
          <w:szCs w:val="24"/>
        </w:rPr>
        <w:t xml:space="preserve">    (1)</w:t>
      </w:r>
    </w:p>
    <w:p>
      <w:pPr>
        <w:spacing w:after="120" w:line="276"/>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is the passive damping coefficient,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the sensorimotor delay,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_p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_d the proportional and derivative feedback gains, and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(t) a stochastic perturbation. The critical delay τ* at which the system undergoes Hopf bifurcation determines the stability boundary.</w:t>
      </w:r>
    </w:p>
    <w:p>
      <w:pPr>
        <w:spacing w:after="120" w:line="276"/>
      </w:pPr>
      <w:r>
        <w:rPr>
          <w:rFonts w:ascii="Times New Roman" w:cs="Times New Roman" w:eastAsia="Times New Roman" w:hAnsi="Times New Roman"/>
          <w:sz w:val="24"/>
          <w:szCs w:val="24"/>
        </w:rPr>
        <w:t xml:space="preserve">While the Phase 3 analysis (the Derivative Gain Trap) established that the relationship between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_d and τ* is non-monotonic, the physical parameters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τ,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_d were treated as phenomenological constants. A fundamental question remains: </w:t>
      </w:r>
      <w:r>
        <w:rPr>
          <w:rFonts w:ascii="Times New Roman" w:cs="Times New Roman" w:eastAsia="Times New Roman" w:hAnsi="Times New Roman"/>
          <w:b/>
          <w:bCs/>
          <w:sz w:val="24"/>
          <w:szCs w:val="24"/>
        </w:rPr>
        <w:t xml:space="preserve">can these macroscopic control parameters be grounded in molecular-level protein structural data?</w:t>
      </w:r>
    </w:p>
    <w:p>
      <w:pPr>
        <w:spacing w:after="120" w:line="276"/>
      </w:pPr>
      <w:r>
        <w:rPr>
          <w:rFonts w:ascii="Times New Roman" w:cs="Times New Roman" w:eastAsia="Times New Roman" w:hAnsi="Times New Roman"/>
          <w:sz w:val="24"/>
          <w:szCs w:val="24"/>
        </w:rPr>
        <w:t xml:space="preserve">We address this by leveraging Google DeepMind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s AlphaFold predicted protein structures to construct a three-module molecular-to-biomechanical pipeline. For each protein relevant to spinal biomechanics, we extract per-residue predicted Local Distance Difference Test (pLDDT) confidence scores, which serve as a proxy for structural flexibility: low pLDDT indicates intrinsic disorder or high flexibility, while high pLDDT indicates a rigid, well-folded domain.</w:t>
      </w:r>
    </w:p>
    <w:p>
      <w:pPr>
        <w:pStyle w:val="Heading2"/>
        <w:spacing w:after="180" w:before="240"/>
      </w:pPr>
      <w:r>
        <w:rPr>
          <w:rFonts w:ascii="Times New Roman" w:cs="Times New Roman" w:eastAsia="Times New Roman" w:hAnsi="Times New Roman"/>
          <w:b/>
          <w:bCs/>
          <w:sz w:val="28"/>
          <w:szCs w:val="28"/>
        </w:rPr>
        <w:t xml:space="preserve">5.2 Three-Module Molecular Pipeline</w:t>
      </w:r>
    </w:p>
    <w:p>
      <w:pPr>
        <w:pStyle w:val="Heading3"/>
        <w:spacing w:after="120" w:before="180"/>
      </w:pPr>
      <w:r>
        <w:rPr>
          <w:rFonts w:ascii="Times New Roman" w:cs="Times New Roman" w:eastAsia="Times New Roman" w:hAnsi="Times New Roman"/>
          <w:b/>
          <w:bCs/>
          <w:i/>
          <w:iCs/>
          <w:sz w:val="26"/>
          <w:szCs w:val="26"/>
        </w:rPr>
        <w:t xml:space="preserve">5.2.1 Module A: Structural Proteins and Passive Damping</w:t>
      </w:r>
    </w:p>
    <w:p>
      <w:pPr>
        <w:spacing w:after="120" w:line="276"/>
      </w:pPr>
      <w:r>
        <w:rPr>
          <w:rFonts w:ascii="Times New Roman" w:cs="Times New Roman" w:eastAsia="Times New Roman" w:hAnsi="Times New Roman"/>
          <w:sz w:val="24"/>
          <w:szCs w:val="24"/>
        </w:rPr>
        <w:t xml:space="preserve">The passive damping coefficient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in Equation (1) reflects the viscoelastic properties of the paraspinal tissue matrix, dominated by collagen. We analysed the AlphaFold structures of two key structural collagens: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1500"/>
        <w:gridCol w:w="15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Protein</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Residues</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Mean pLDDT</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Domain</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Flexibility</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Disorder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COL1A1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1,464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52.7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Triple-helix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0.572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85.5%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COL2A1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1,487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52.1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Triple-helix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0.576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88.0%</w:t>
            </w:r>
          </w:p>
        </w:tc>
      </w:tr>
    </w:tbl>
    <w:p>
      <w:pPr>
        <w:spacing w:after="240" w:before="60"/>
      </w:pPr>
      <w:r>
        <w:rPr>
          <w:rFonts w:ascii="Times New Roman" w:cs="Times New Roman" w:eastAsia="Times New Roman" w:hAnsi="Times New Roman"/>
          <w:i/>
          <w:iCs/>
          <w:sz w:val="20"/>
          <w:szCs w:val="20"/>
        </w:rPr>
        <w:t xml:space="preserve">Table 1. </w:t>
      </w:r>
      <w:r>
        <w:rPr>
          <w:rFonts w:ascii="Times New Roman" w:cs="Times New Roman" w:eastAsia="Times New Roman" w:hAnsi="Times New Roman"/>
          <w:sz w:val="20"/>
          <w:szCs w:val="20"/>
        </w:rPr>
        <w:t xml:space="preserve">AlphaFold structural analysis of collagen proteins. Flexibility index = 1 − (pLDDT/100). Disorder fraction = proportion of residues with pLDDT &lt; 70.</w:t>
      </w:r>
    </w:p>
    <w:p>
      <w:pPr>
        <w:spacing w:after="120" w:line="276"/>
      </w:pPr>
      <w:r>
        <w:rPr>
          <w:rFonts w:ascii="Times New Roman" w:cs="Times New Roman" w:eastAsia="Times New Roman" w:hAnsi="Times New Roman"/>
          <w:sz w:val="24"/>
          <w:szCs w:val="24"/>
        </w:rPr>
        <w:t xml:space="preserve">Both collagens exhibit remarkably low pLDDT scores (52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53), reflecting the intrinsic disorder of the triple-helix repeat region, which AlphaFold cannot resolve into a single static conformation. The combined flexibility index of 0.574 maps to the molecular damping coefficient via:</w:t>
      </w:r>
    </w:p>
    <w:p>
      <w:pPr>
        <w:spacing w:after="120" w:before="12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b_mol = b_0 × (1 − 0.5 × f_combined) = 1.0 × (1 − 0.5 × 0.574) = 0.713 N·m·s/rad</w:t>
      </w:r>
      <w:r>
        <w:rPr>
          <w:rFonts w:ascii="Times New Roman" w:cs="Times New Roman" w:eastAsia="Times New Roman" w:hAnsi="Times New Roman"/>
          <w:sz w:val="24"/>
          <w:szCs w:val="24"/>
        </w:rPr>
        <w:t xml:space="preserve">    (6)</w:t>
      </w:r>
    </w:p>
    <w:p>
      <w:pPr>
        <w:spacing w:after="120" w:line="276"/>
      </w:pPr>
      <w:r>
        <w:rPr>
          <w:rFonts w:ascii="Times New Roman" w:cs="Times New Roman" w:eastAsia="Times New Roman" w:hAnsi="Times New Roman"/>
          <w:sz w:val="24"/>
          <w:szCs w:val="24"/>
        </w:rPr>
        <w:t xml:space="preserve">This 28.7% reduction in damping from the baseline value of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1.0 has profound implications for stability: reduced passive damping narrows the basin of attraction, requiring tighter neuromuscular control to maintain upright posture during the adolescent growth spurt.</w:t>
      </w:r>
    </w:p>
    <w:p>
      <w:pPr>
        <w:pStyle w:val="Heading3"/>
        <w:spacing w:after="120" w:before="180"/>
      </w:pPr>
      <w:r>
        <w:rPr>
          <w:rFonts w:ascii="Times New Roman" w:cs="Times New Roman" w:eastAsia="Times New Roman" w:hAnsi="Times New Roman"/>
          <w:b/>
          <w:bCs/>
          <w:i/>
          <w:iCs/>
          <w:sz w:val="26"/>
          <w:szCs w:val="26"/>
        </w:rPr>
        <w:t xml:space="preserve">5.2.2 Module B: Receptor Kinetics and Delay Decomposition</w:t>
      </w:r>
    </w:p>
    <w:p>
      <w:pPr>
        <w:spacing w:after="120" w:line="276"/>
      </w:pPr>
      <w:r>
        <w:rPr>
          <w:rFonts w:ascii="Times New Roman" w:cs="Times New Roman" w:eastAsia="Times New Roman" w:hAnsi="Times New Roman"/>
          <w:sz w:val="24"/>
          <w:szCs w:val="24"/>
        </w:rPr>
        <w:t xml:space="preserve">The sensorimotor delay τ in the DDE framework is a composite quantity reflecting multiple signal transduction pathways. We decompose it into three molecular components, each governed by a specific receptor protein:</w:t>
      </w:r>
    </w:p>
    <w:p>
      <w:pPr>
        <w:spacing w:after="120" w:before="12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τ_eff = τ_proprio(PIEZO2) + τ_tissue(GPR126) + τ_growth(MTNR1B)</w:t>
      </w:r>
      <w:r>
        <w:rPr>
          <w:rFonts w:ascii="Times New Roman" w:cs="Times New Roman" w:eastAsia="Times New Roman" w:hAnsi="Times New Roman"/>
          <w:sz w:val="24"/>
          <w:szCs w:val="24"/>
        </w:rPr>
        <w:t xml:space="preserve">    (7)</w:t>
      </w:r>
    </w:p>
    <w:p>
      <w:pPr>
        <w:spacing w:after="120" w:line="276"/>
      </w:pPr>
      <w:r>
        <w:rPr>
          <w:rFonts w:ascii="Times New Roman" w:cs="Times New Roman" w:eastAsia="Times New Roman" w:hAnsi="Times New Roman"/>
          <w:sz w:val="24"/>
          <w:szCs w:val="24"/>
        </w:rPr>
        <w:t xml:space="preserve">Each delay component is computed from the receptor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s functional domain flexibility:</w:t>
      </w:r>
    </w:p>
    <w:p>
      <w:pPr>
        <w:spacing w:after="120" w:before="12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τ_i = τ_base,i × (1 + α_i × flex_i)</w:t>
      </w:r>
      <w:r>
        <w:rPr>
          <w:rFonts w:ascii="Times New Roman" w:cs="Times New Roman" w:eastAsia="Times New Roman" w:hAnsi="Times New Roman"/>
          <w:sz w:val="24"/>
          <w:szCs w:val="24"/>
        </w:rPr>
        <w:t xml:space="preserve">    (8)</w:t>
      </w:r>
    </w:p>
    <w:p>
      <w:pPr>
        <w:spacing w:after="120" w:line="276"/>
      </w:pPr>
      <w:r>
        <w:rPr>
          <w:rFonts w:ascii="Times New Roman" w:cs="Times New Roman" w:eastAsia="Times New Roman" w:hAnsi="Times New Roman"/>
          <w:sz w:val="24"/>
          <w:szCs w:val="24"/>
        </w:rPr>
        <w:t xml:space="preserve">where τ_base,i is the baseline delay for pathway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α_i is a coupling constant reflecting how strongly protein flexibility modulates signal transduction speed, and flex_i is the AlphaFold-derived flexibility index of the receptor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s functional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300"/>
        <w:gridCol w:w="1000"/>
        <w:gridCol w:w="8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Receptor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pLDDT</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Flex</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τ_base</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α</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τ_i (ms)</w:t>
            </w:r>
          </w:p>
        </w:tc>
        <w:tc>
          <w:tcPr>
            <w:tcW w:type="dxa" w:w="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Role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PIEZO2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79.4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0.262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25 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38.1</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Proprio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GPR126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73.7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0.271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30 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42.2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Tissue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MTNR1B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0.075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15 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16.1</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Growth</w:t>
            </w:r>
          </w:p>
        </w:tc>
      </w:tr>
    </w:tbl>
    <w:p>
      <w:pPr>
        <w:spacing w:after="240" w:before="60"/>
      </w:pPr>
      <w:r>
        <w:rPr>
          <w:rFonts w:ascii="Times New Roman" w:cs="Times New Roman" w:eastAsia="Times New Roman" w:hAnsi="Times New Roman"/>
          <w:i/>
          <w:iCs/>
          <w:sz w:val="20"/>
          <w:szCs w:val="20"/>
        </w:rPr>
        <w:t xml:space="preserve">Table 2. </w:t>
      </w:r>
      <w:r>
        <w:rPr>
          <w:rFonts w:ascii="Times New Roman" w:cs="Times New Roman" w:eastAsia="Times New Roman" w:hAnsi="Times New Roman"/>
          <w:sz w:val="20"/>
          <w:szCs w:val="20"/>
        </w:rPr>
        <w:t xml:space="preserve">Receptor-mediated delay decomposition. Total effective delay τ_eff = 38.1 + 42.2 + 16.1 = 96.4 ms.</w:t>
      </w:r>
    </w:p>
    <w:p>
      <w:pPr>
        <w:spacing w:after="120" w:line="276"/>
      </w:pPr>
      <w:r>
        <w:rPr>
          <w:rFonts w:ascii="Times New Roman" w:cs="Times New Roman" w:eastAsia="Times New Roman" w:hAnsi="Times New Roman"/>
          <w:sz w:val="24"/>
          <w:szCs w:val="24"/>
        </w:rPr>
        <w:t xml:space="preserve">The critical finding is that the molecular-derived total delay τ_eff = 96.4 ms substantially exceeds both the baseline assumption of τ = 70 ms and the critical delay τ*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73</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85 ms computed via Hopf bifurcation analysis. This places the molecularly-parameterised system </w:t>
      </w:r>
      <w:r>
        <w:rPr>
          <w:rFonts w:ascii="Times New Roman" w:cs="Times New Roman" w:eastAsia="Times New Roman" w:hAnsi="Times New Roman"/>
          <w:b/>
          <w:bCs/>
          <w:sz w:val="24"/>
          <w:szCs w:val="24"/>
        </w:rPr>
        <w:t xml:space="preserve">firmly in the unstable regime</w:t>
      </w:r>
      <w:r>
        <w:rPr>
          <w:rFonts w:ascii="Times New Roman" w:cs="Times New Roman" w:eastAsia="Times New Roman" w:hAnsi="Times New Roman"/>
          <w:sz w:val="24"/>
          <w:szCs w:val="24"/>
        </w:rPr>
        <w:t xml:space="preserve">, suggesting that during the adolescent growth spurt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when all three delay pathways are simultaneously stressed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the spinal postural control system operates near or beyond its stability boundary.</w:t>
      </w:r>
    </w:p>
    <w:p>
      <w:pPr>
        <w:pStyle w:val="Heading3"/>
        <w:spacing w:after="120" w:before="180"/>
      </w:pPr>
      <w:r>
        <w:rPr>
          <w:rFonts w:ascii="Times New Roman" w:cs="Times New Roman" w:eastAsia="Times New Roman" w:hAnsi="Times New Roman"/>
          <w:b/>
          <w:bCs/>
          <w:i/>
          <w:iCs/>
          <w:sz w:val="26"/>
          <w:szCs w:val="26"/>
        </w:rPr>
        <w:t xml:space="preserve">5.2.3 Module C: AIS-Associated Genetic Variants</w:t>
      </w:r>
    </w:p>
    <w:p>
      <w:pPr>
        <w:spacing w:after="120" w:line="276"/>
      </w:pPr>
      <w:r>
        <w:rPr>
          <w:rFonts w:ascii="Times New Roman" w:cs="Times New Roman" w:eastAsia="Times New Roman" w:hAnsi="Times New Roman"/>
          <w:sz w:val="24"/>
          <w:szCs w:val="24"/>
        </w:rPr>
        <w:t xml:space="preserve">Genome-wide association studies (GWAS) have identified several susceptibility loci for adolescent idiopathic scoliosis. We analysed the AlphaFold structures of two key AIS-associated gene products to quantify how genetic variants perturb the DDE control parameters:</w:t>
      </w:r>
    </w:p>
    <w:p>
      <w:pPr>
        <w:spacing w:after="120" w:line="276"/>
      </w:pPr>
      <w:r>
        <w:rPr>
          <w:rFonts w:ascii="Times New Roman" w:cs="Times New Roman" w:eastAsia="Times New Roman" w:hAnsi="Times New Roman"/>
          <w:b/>
          <w:bCs/>
          <w:sz w:val="24"/>
          <w:szCs w:val="24"/>
        </w:rPr>
        <w:t xml:space="preserve">LBX1 (rs11190870): </w:t>
      </w:r>
      <w:r>
        <w:rPr>
          <w:rFonts w:ascii="Times New Roman" w:cs="Times New Roman" w:eastAsia="Times New Roman" w:hAnsi="Times New Roman"/>
          <w:sz w:val="24"/>
          <w:szCs w:val="24"/>
        </w:rPr>
        <w:t xml:space="preserve">The ladybird homeobox protein 1 is a transcription factor critical for neuronal determination in the dorsal spinal cord. AlphaFold analysis of the DNA-binding domain (residues 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300) reveals a flexibility index of 0.479, with 68.3% of residues in the disordered regime (pLDDT &lt; 70). The resulting variant perturbation of 29.6% is mapped to the derivative gain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_d, reflecting disrupted proprioceptive neural circuitry: K_d = 10.0 × (1 + 0.296) = 12.96.</w:t>
      </w:r>
    </w:p>
    <w:p>
      <w:pPr>
        <w:spacing w:after="120" w:line="276"/>
      </w:pPr>
      <w:r>
        <w:rPr>
          <w:rFonts w:ascii="Times New Roman" w:cs="Times New Roman" w:eastAsia="Times New Roman" w:hAnsi="Times New Roman"/>
          <w:b/>
          <w:bCs/>
          <w:sz w:val="24"/>
          <w:szCs w:val="24"/>
        </w:rPr>
        <w:t xml:space="preserve">PAX1 (vertebral patterning): </w:t>
      </w:r>
      <w:r>
        <w:rPr>
          <w:rFonts w:ascii="Times New Roman" w:cs="Times New Roman" w:eastAsia="Times New Roman" w:hAnsi="Times New Roman"/>
          <w:sz w:val="24"/>
          <w:szCs w:val="24"/>
        </w:rPr>
        <w:t xml:space="preserve">The paired box protein 1 governs vertebral body formation. Its paired domain (residues 20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150) shows a flexibility index of 0.370 with 61.1% disorder. The 27.4% perturbation maps to the gravitational torque parameter </w:t>
      </w:r>
      <w:r>
        <w:rPr>
          <w:rFonts w:ascii="Times New Roman" w:cs="Times New Roman" w:eastAsia="Times New Roman" w:hAnsi="Times New Roman"/>
          <w:i/>
          <w:iCs/>
          <w:sz w:val="24"/>
          <w:szCs w:val="24"/>
        </w:rPr>
        <w:t xml:space="preserve">mgL</w:t>
      </w:r>
      <w:r>
        <w:rPr>
          <w:rFonts w:ascii="Times New Roman" w:cs="Times New Roman" w:eastAsia="Times New Roman" w:hAnsi="Times New Roman"/>
          <w:sz w:val="24"/>
          <w:szCs w:val="24"/>
        </w:rPr>
        <w:t xml:space="preserve">, reflecting altered vertebral geometry: mgL = 73.575 × (1 + 0.274) = 93.74 N·m.</w:t>
      </w:r>
    </w:p>
    <w:p>
      <w:pPr>
        <w:spacing w:after="120" w:before="240"/>
        <w:jc w:val="center"/>
      </w:pPr>
      <w:r>
        <w:drawing>
          <wp:inline distT="0" distB="0" distL="0" distR="0">
            <wp:extent cx="5524500" cy="1905000"/>
            <wp:effectExtent t="0" r="0" b="0" l="0"/>
            <wp:docPr id="1" name="fig6" descr="AlphaFold-derived molecular parameter mapping. (A) Collagen flexibility indices and damping coefficient derivation. (B) Receptor-mediated delay decomposition into proprioceptive, tissue remodelling, and growth timing components. (C) AIS variant perturbation magnitudes and their DDE parameter targe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AlphaFold-derived molecular parameter mapping. (A) Collagen flexibility indices and damping coefficient derivation. (B) Receptor-mediated delay decomposition into proprioceptive, tissue remodelling, and growth timing components. (C) AIS variant perturbation magnitudes and their DDE parameter targets.</w:t>
      </w:r>
    </w:p>
    <w:p>
      <w:pPr>
        <w:pStyle w:val="Heading2"/>
        <w:spacing w:after="180" w:before="240"/>
      </w:pPr>
      <w:r>
        <w:rPr>
          <w:rFonts w:ascii="Times New Roman" w:cs="Times New Roman" w:eastAsia="Times New Roman" w:hAnsi="Times New Roman"/>
          <w:b/>
          <w:bCs/>
          <w:sz w:val="28"/>
          <w:szCs w:val="28"/>
        </w:rPr>
        <w:t xml:space="preserve">5.3 Integrated Scenario Analysis</w:t>
      </w:r>
    </w:p>
    <w:p>
      <w:pPr>
        <w:spacing w:after="120" w:line="276"/>
      </w:pPr>
      <w:r>
        <w:rPr>
          <w:rFonts w:ascii="Times New Roman" w:cs="Times New Roman" w:eastAsia="Times New Roman" w:hAnsi="Times New Roman"/>
          <w:sz w:val="24"/>
          <w:szCs w:val="24"/>
        </w:rPr>
        <w:t xml:space="preserve">We constructed six genotype-specific scenarios by combining the molecular parameters from Modules 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C with the validated Hopf bifurcation solver from Phase 3. For each scenario, we computed the critical delay τ* and the stability margin (τ* − 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900"/>
        <w:gridCol w:w="1000"/>
        <w:gridCol w:w="900"/>
        <w:gridCol w:w="900"/>
        <w:gridCol w:w="8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Scenario</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b</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τ (ms)</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K_d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mgL</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τ* (ms)</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Margin</w:t>
            </w:r>
          </w:p>
        </w:tc>
        <w:tc>
          <w:tcPr>
            <w:tcW w:type="dxa" w:w="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Baseline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70.0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73.6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75.3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27AE60"/>
                <w:sz w:val="18"/>
                <w:szCs w:val="18"/>
              </w:rPr>
              <w:t xml:space="preserve">+5.3</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27AE60"/>
                <w:sz w:val="18"/>
                <w:szCs w:val="18"/>
              </w:rPr>
              <w:t xml:space="preserve">STABLE</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AlphaFold-adj</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0.713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96.4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73.6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73.5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E74C3C"/>
                <w:sz w:val="18"/>
                <w:szCs w:val="18"/>
              </w:rPr>
              <w:t xml:space="preserve">−22.9</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E74C3C"/>
                <w:sz w:val="18"/>
                <w:szCs w:val="18"/>
              </w:rPr>
              <w:t xml:space="preserve">UNSTABLE</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LBX1 variant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0.713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12.96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73.6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77.3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E74C3C"/>
                <w:sz w:val="18"/>
                <w:szCs w:val="18"/>
              </w:rPr>
              <w:t xml:space="preserve">−28.8</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E74C3C"/>
                <w:sz w:val="18"/>
                <w:szCs w:val="18"/>
              </w:rPr>
              <w:t xml:space="preserve">UNSTABLE</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PAX1 variant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0.713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96.4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93.7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78.7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E74C3C"/>
                <w:sz w:val="18"/>
                <w:szCs w:val="18"/>
              </w:rPr>
              <w:t xml:space="preserve">−17.7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E74C3C"/>
                <w:sz w:val="18"/>
                <w:szCs w:val="18"/>
              </w:rPr>
              <w:t xml:space="preserve">UNSTABLE</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Combined risk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0.642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110.9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12.96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93.7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84.6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E74C3C"/>
                <w:sz w:val="18"/>
                <w:szCs w:val="18"/>
              </w:rPr>
              <w:t xml:space="preserve">−26.3</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E74C3C"/>
                <w:sz w:val="18"/>
                <w:szCs w:val="18"/>
              </w:rPr>
              <w:t xml:space="preserve">UNSTABLE</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FBN1/Marfan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0.499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84.6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74.7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color w:val="E74C3C"/>
                <w:sz w:val="18"/>
                <w:szCs w:val="18"/>
              </w:rPr>
              <w:t xml:space="preserve">−26.5</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E74C3C"/>
                <w:sz w:val="18"/>
                <w:szCs w:val="18"/>
              </w:rPr>
              <w:t xml:space="preserve">UNSTABLE</w:t>
            </w:r>
          </w:p>
        </w:tc>
      </w:tr>
    </w:tbl>
    <w:p>
      <w:pPr>
        <w:spacing w:after="240" w:before="60"/>
      </w:pPr>
      <w:r>
        <w:rPr>
          <w:rFonts w:ascii="Times New Roman" w:cs="Times New Roman" w:eastAsia="Times New Roman" w:hAnsi="Times New Roman"/>
          <w:i/>
          <w:iCs/>
          <w:sz w:val="20"/>
          <w:szCs w:val="20"/>
        </w:rPr>
        <w:t xml:space="preserve">Table 3. </w:t>
      </w:r>
      <w:r>
        <w:rPr>
          <w:rFonts w:ascii="Times New Roman" w:cs="Times New Roman" w:eastAsia="Times New Roman" w:hAnsi="Times New Roman"/>
          <w:sz w:val="20"/>
          <w:szCs w:val="20"/>
        </w:rPr>
        <w:t xml:space="preserve">Integrated scenario analysis. Stability margin = τ* − τ. Only the baseline scenario (with default τ = 70 ms) remains stable. All molecularly-parameterised scenarios exceed their critical delay.</w:t>
      </w:r>
    </w:p>
    <w:p>
      <w:pPr>
        <w:spacing w:after="120" w:line="276"/>
      </w:pPr>
      <w:r>
        <w:rPr>
          <w:rFonts w:ascii="Times New Roman" w:cs="Times New Roman" w:eastAsia="Times New Roman" w:hAnsi="Times New Roman"/>
          <w:sz w:val="24"/>
          <w:szCs w:val="24"/>
        </w:rPr>
        <w:t xml:space="preserve">The most striking result is that </w:t>
      </w:r>
      <w:r>
        <w:rPr>
          <w:rFonts w:ascii="Times New Roman" w:cs="Times New Roman" w:eastAsia="Times New Roman" w:hAnsi="Times New Roman"/>
          <w:b/>
          <w:bCs/>
          <w:sz w:val="24"/>
          <w:szCs w:val="24"/>
        </w:rPr>
        <w:t xml:space="preserve">only the baseline scenario remains stable</w:t>
      </w:r>
      <w:r>
        <w:rPr>
          <w:rFonts w:ascii="Times New Roman" w:cs="Times New Roman" w:eastAsia="Times New Roman" w:hAnsi="Times New Roman"/>
          <w:sz w:val="24"/>
          <w:szCs w:val="24"/>
        </w:rPr>
        <w:t xml:space="preserve">. When molecular-derived parameters are substituted, every scenario crosses the Hopf bifurcation boundary. The stability margin ranges from −17.7 ms (PAX1 alone) to −28.8 ms (LBX1 variant), indicating that the system is not merely borderline but robustly unstable under molecular parameterisation.</w:t>
      </w:r>
    </w:p>
    <w:p>
      <w:pPr>
        <w:spacing w:after="120" w:before="240"/>
        <w:jc w:val="center"/>
      </w:pPr>
      <w:r>
        <w:drawing>
          <wp:inline distT="0" distB="0" distL="0" distR="0">
            <wp:extent cx="5334000" cy="3524250"/>
            <wp:effectExtent t="0" r="0" b="0" l="0"/>
            <wp:docPr id="1" name="fig7" descr="Genotype-stratified vulnerability curves showing maximum deflection amplitude as a function of sensorimotor delay τ. Each curve represents a molecular scenario with genotype-specific parameters. The clinical threshold of 10° and the critical delay τ* (vertical dotted lines) are indicated. The shaded region above 10° denotes the clinically significant instability zon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2425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Genotype-stratified vulnerability curves showing maximum deflection amplitude as a function of sensorimotor delay τ. Each curve represents a molecular scenario with genotype-specific parameters. The clinical threshold of 10° and the critical delay τ* (vertical dotted lines) are indicated. The shaded region above 10° denotes the clinically significant instability zone.</w:t>
      </w:r>
    </w:p>
    <w:p>
      <w:pPr>
        <w:pStyle w:val="Heading2"/>
        <w:spacing w:after="180" w:before="240"/>
      </w:pPr>
      <w:r>
        <w:rPr>
          <w:rFonts w:ascii="Times New Roman" w:cs="Times New Roman" w:eastAsia="Times New Roman" w:hAnsi="Times New Roman"/>
          <w:b/>
          <w:bCs/>
          <w:sz w:val="28"/>
          <w:szCs w:val="28"/>
        </w:rPr>
        <w:t xml:space="preserve">5.4 The Derivative Gain Trap Under Molecular Damping</w:t>
      </w:r>
    </w:p>
    <w:p>
      <w:pPr>
        <w:spacing w:after="120" w:line="276"/>
      </w:pPr>
      <w:r>
        <w:rPr>
          <w:rFonts w:ascii="Times New Roman" w:cs="Times New Roman" w:eastAsia="Times New Roman" w:hAnsi="Times New Roman"/>
          <w:sz w:val="24"/>
          <w:szCs w:val="24"/>
        </w:rPr>
        <w:t xml:space="preserve">A key question is whether the Derivative Gain Trap</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the non-monotonic K_d–τ* relationship discovered in Section 4</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persists when the damping coefficient is reduced to its molecular value. We performed a K_d sensitivity analysis at both healthy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1.0) and molecular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0.713) damping levels.</w:t>
      </w:r>
    </w:p>
    <w:p>
      <w:pPr>
        <w:spacing w:after="120" w:line="276"/>
      </w:pPr>
      <w:r>
        <w:rPr>
          <w:rFonts w:ascii="Times New Roman" w:cs="Times New Roman" w:eastAsia="Times New Roman" w:hAnsi="Times New Roman"/>
          <w:sz w:val="24"/>
          <w:szCs w:val="24"/>
        </w:rPr>
        <w:t xml:space="preserve">The results (Figure 8) confirm that the Derivative Gain Trap is </w:t>
      </w:r>
      <w:r>
        <w:rPr>
          <w:rFonts w:ascii="Times New Roman" w:cs="Times New Roman" w:eastAsia="Times New Roman" w:hAnsi="Times New Roman"/>
          <w:b/>
          <w:bCs/>
          <w:sz w:val="24"/>
          <w:szCs w:val="24"/>
        </w:rPr>
        <w:t xml:space="preserve">robust to molecular-level parameter changes</w:t>
      </w:r>
      <w:r>
        <w:rPr>
          <w:rFonts w:ascii="Times New Roman" w:cs="Times New Roman" w:eastAsia="Times New Roman" w:hAnsi="Times New Roman"/>
          <w:sz w:val="24"/>
          <w:szCs w:val="24"/>
        </w:rPr>
        <w:t xml:space="preserve">. Both damping values yield an optimal K_d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12.6, beyond which further increases in derivative gain </w:t>
      </w:r>
      <w:r>
        <w:rPr>
          <w:rFonts w:ascii="Times New Roman" w:cs="Times New Roman" w:eastAsia="Times New Roman" w:hAnsi="Times New Roman"/>
          <w:i/>
          <w:iCs/>
          <w:sz w:val="24"/>
          <w:szCs w:val="24"/>
        </w:rPr>
        <w:t xml:space="preserve">decrease</w:t>
      </w:r>
      <w:r>
        <w:rPr>
          <w:rFonts w:ascii="Times New Roman" w:cs="Times New Roman" w:eastAsia="Times New Roman" w:hAnsi="Times New Roman"/>
          <w:sz w:val="24"/>
          <w:szCs w:val="24"/>
        </w:rPr>
        <w:t xml:space="preserve"> the critical delay. However, the molecular damping curve sits </w:t>
      </w:r>
      <w:r>
        <w:rPr>
          <w:rFonts w:ascii="Times New Roman" w:cs="Times New Roman" w:eastAsia="Times New Roman" w:hAnsi="Times New Roman"/>
          <w:i/>
          <w:iCs/>
          <w:sz w:val="24"/>
          <w:szCs w:val="24"/>
        </w:rPr>
        <w:t xml:space="preserve">everywhere below</w:t>
      </w:r>
      <w:r>
        <w:rPr>
          <w:rFonts w:ascii="Times New Roman" w:cs="Times New Roman" w:eastAsia="Times New Roman" w:hAnsi="Times New Roman"/>
          <w:sz w:val="24"/>
          <w:szCs w:val="24"/>
        </w:rPr>
        <w:t xml:space="preserve"> the healthy curve, meaning that for any given K_d, the molecularly-parameterised system has a lower tolerance for delay.</w:t>
      </w:r>
    </w:p>
    <w:p>
      <w:pPr>
        <w:spacing w:after="120" w:line="276"/>
      </w:pPr>
      <w:r>
        <w:rPr>
          <w:rFonts w:ascii="Times New Roman" w:cs="Times New Roman" w:eastAsia="Times New Roman" w:hAnsi="Times New Roman"/>
          <w:sz w:val="24"/>
          <w:szCs w:val="24"/>
        </w:rPr>
        <w:t xml:space="preserve">This has a direct clinical interpretation: </w:t>
      </w:r>
      <w:r>
        <w:rPr>
          <w:rFonts w:ascii="Times New Roman" w:cs="Times New Roman" w:eastAsia="Times New Roman" w:hAnsi="Times New Roman"/>
          <w:b/>
          <w:bCs/>
          <w:sz w:val="24"/>
          <w:szCs w:val="24"/>
        </w:rPr>
        <w:t xml:space="preserve">the adolescent neuromuscular system cannot compensate for molecular-level tissue softening by increasing corrective velocity alone</w:t>
      </w:r>
      <w:r>
        <w:rPr>
          <w:rFonts w:ascii="Times New Roman" w:cs="Times New Roman" w:eastAsia="Times New Roman" w:hAnsi="Times New Roman"/>
          <w:sz w:val="24"/>
          <w:szCs w:val="24"/>
        </w:rPr>
        <w:t xml:space="preserve">. The Derivative Gain Trap imposes a hard ceiling on the benefit of aggressive correction, and molecular damping reduction lowers that ceiling further.</w:t>
      </w:r>
    </w:p>
    <w:p>
      <w:pPr>
        <w:spacing w:after="120" w:before="240"/>
        <w:jc w:val="center"/>
      </w:pPr>
      <w:r>
        <w:drawing>
          <wp:inline distT="0" distB="0" distL="0" distR="0">
            <wp:extent cx="5143500" cy="3619500"/>
            <wp:effectExtent t="0" r="0" b="0" l="0"/>
            <wp:docPr id="1" name="fig8" descr="The Derivative Gain Trap under molecular damping. The critical delay τ* is plotted against derivative gain K_d for healthy damping (b = 1.000, solid) and molecular damping (b = 0.713, dashed). Both curves show a non-monotonic peak near K_d ≈ 12.6. The AlphaFold-derived effective delay τ_eff = 96.4 ms (red dotted line) exceeds the maximum achievable τ* at any K_d under molecular damp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195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i/>
          <w:iCs/>
          <w:sz w:val="20"/>
          <w:szCs w:val="20"/>
        </w:rPr>
        <w:t xml:space="preserve">The Derivative Gain Trap under molecular damping. The critical delay τ* is plotted against derivative gain K_d for healthy damping (b = 1.000, solid) and molecular damping (b = 0.713, dashed). Both curves show a non-monotonic peak near K_d ≈ 12.6. The AlphaFold-derived effective delay τ_eff = 96.4 ms (red dotted line) exceeds the maximum achievable τ* at any K_d under molecular damping.</w:t>
      </w:r>
    </w:p>
    <w:p>
      <w:pPr>
        <w:pStyle w:val="Heading2"/>
        <w:spacing w:after="180" w:before="240"/>
      </w:pPr>
      <w:r>
        <w:rPr>
          <w:rFonts w:ascii="Times New Roman" w:cs="Times New Roman" w:eastAsia="Times New Roman" w:hAnsi="Times New Roman"/>
          <w:b/>
          <w:bCs/>
          <w:sz w:val="28"/>
          <w:szCs w:val="28"/>
        </w:rPr>
        <w:t xml:space="preserve">5.5 DDE Trajectory Analysis</w:t>
      </w:r>
    </w:p>
    <w:p>
      <w:pPr>
        <w:spacing w:after="120" w:line="276"/>
      </w:pPr>
      <w:r>
        <w:rPr>
          <w:rFonts w:ascii="Times New Roman" w:cs="Times New Roman" w:eastAsia="Times New Roman" w:hAnsi="Times New Roman"/>
          <w:sz w:val="24"/>
          <w:szCs w:val="24"/>
        </w:rPr>
        <w:t xml:space="preserve">To visualise the dynamic consequences of molecular parameterisation, we simulated the full stochastic DDE (Equation 1) for each scenario over 10 seconds with identical noise realisations. Figure 9 shows the resulting angular deflection trajectories.</w:t>
      </w:r>
    </w:p>
    <w:p>
      <w:pPr>
        <w:spacing w:after="120" w:line="276"/>
      </w:pPr>
      <w:r>
        <w:rPr>
          <w:rFonts w:ascii="Times New Roman" w:cs="Times New Roman" w:eastAsia="Times New Roman" w:hAnsi="Times New Roman"/>
          <w:sz w:val="24"/>
          <w:szCs w:val="24"/>
        </w:rPr>
        <w:t xml:space="preserve">The baseline scenario exhibits bounded oscillations (maximum amplitude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2.9°), consistent with stable postural sway. All molecular scenarios show exponentially growing oscillations that saturate at the numerical amplitude cap, confirming the analytical prediction of instability. The LBX1 variant trajectory is particularly revealing: despite having a slightly higher τ* (77.3 ms) than the baseline molecular scenario (73.5 ms), its elevated K_d = 12.96 and longer effective delay τ = 106.1 ms produce the largest stability deficit (−28.8 ms).</w:t>
      </w:r>
    </w:p>
    <w:p>
      <w:pPr>
        <w:spacing w:after="120" w:before="240"/>
        <w:jc w:val="center"/>
      </w:pPr>
      <w:r>
        <w:drawing>
          <wp:inline distT="0" distB="0" distL="0" distR="0">
            <wp:extent cx="5524500" cy="2857500"/>
            <wp:effectExtent t="0" r="0" b="0" l="0"/>
            <wp:docPr id="1" name="fig9" descr="DDE trajectory simulations under molecular parameterisation. Each panel shows 10 seconds of stochastic dynamics for a genotype-specific scenario. The baseline (top-left) remains bounded; all molecular scenarios exhibit exponential divergence. Status boxes indicate the operating delay τ, critical delay τ*, and stability classific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i/>
          <w:iCs/>
          <w:sz w:val="20"/>
          <w:szCs w:val="20"/>
        </w:rPr>
        <w:t xml:space="preserve">DDE trajectory simulations under molecular parameterisation. Each panel shows 10 seconds of stochastic dynamics for a genotype-specific scenario. The baseline (top-left) remains bounded; all molecular scenarios exhibit exponential divergence. Status boxes indicate the operating delay τ, critical delay τ*, and stability classification.</w:t>
      </w:r>
    </w:p>
    <w:p>
      <w:pPr>
        <w:pStyle w:val="Heading2"/>
        <w:spacing w:after="180" w:before="240"/>
      </w:pPr>
      <w:r>
        <w:rPr>
          <w:rFonts w:ascii="Times New Roman" w:cs="Times New Roman" w:eastAsia="Times New Roman" w:hAnsi="Times New Roman"/>
          <w:b/>
          <w:bCs/>
          <w:sz w:val="28"/>
          <w:szCs w:val="28"/>
        </w:rPr>
        <w:t xml:space="preserve">5.6 Stability Margin Summary</w:t>
      </w:r>
    </w:p>
    <w:p>
      <w:pPr>
        <w:spacing w:after="120" w:line="276"/>
      </w:pPr>
      <w:r>
        <w:rPr>
          <w:rFonts w:ascii="Times New Roman" w:cs="Times New Roman" w:eastAsia="Times New Roman" w:hAnsi="Times New Roman"/>
          <w:sz w:val="24"/>
          <w:szCs w:val="24"/>
        </w:rPr>
        <w:t xml:space="preserve">Figure 10 synthesises the stability analysis across all six scenarios. The stability margin (τ* − τ) provides a single scalar measure of how far each genotype operates from the bifurcation boundary:</w:t>
      </w:r>
    </w:p>
    <w:p>
      <w:pPr>
        <w:spacing w:after="120" w:before="240"/>
        <w:jc w:val="center"/>
      </w:pPr>
      <w:r>
        <w:drawing>
          <wp:inline distT="0" distB="0" distL="0" distR="0">
            <wp:extent cx="5334000" cy="3048000"/>
            <wp:effectExtent t="0" r="0" b="0" l="0"/>
            <wp:docPr id="1" name="fig10" descr="Stability margins under molecular parameterisation. Positive margins (green) indicate stable regimes; negative margins (red) indicate the system has crossed the Hopf bifurcation boundary. The baseline scenario has a margin of only +5.3 ms, while all molecular scenarios are robustly unstab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i/>
          <w:iCs/>
          <w:sz w:val="20"/>
          <w:szCs w:val="20"/>
        </w:rPr>
        <w:t xml:space="preserve">Stability margins under molecular parameterisation. Positive margins (green) indicate stable regimes; negative margins (red) indicate the system has crossed the Hopf bifurcation boundary. The baseline scenario has a margin of only +5.3 ms, while all molecular scenarios are robustly unstable.</w:t>
      </w:r>
    </w:p>
    <w:p>
      <w:pPr>
        <w:spacing w:after="120" w:line="276"/>
      </w:pPr>
      <w:r>
        <w:rPr>
          <w:rFonts w:ascii="Times New Roman" w:cs="Times New Roman" w:eastAsia="Times New Roman" w:hAnsi="Times New Roman"/>
          <w:sz w:val="24"/>
          <w:szCs w:val="24"/>
        </w:rPr>
        <w:t xml:space="preserve">Several key observations emerge. First, even the baseline scenario operates with a dangerously thin margin of only +5.3 ms, suggesting that the healthy adolescent spine is inherently near-critical during growth. Second, the molecular parameterisation uniformly pushes all scenarios into instability, with margins ranging from −17.7 ms to −28.8 ms. Third, the combined risk scenario (LBX1 + PAX1) does not simply sum individual perturbations; the interaction between elevated K_d, increased mgL, and reduced damping produces a complex, non-additive stability deficit.</w:t>
      </w:r>
    </w:p>
    <w:p>
      <w:pPr>
        <w:pStyle w:val="Heading2"/>
        <w:spacing w:after="180" w:before="240"/>
      </w:pPr>
      <w:r>
        <w:rPr>
          <w:rFonts w:ascii="Times New Roman" w:cs="Times New Roman" w:eastAsia="Times New Roman" w:hAnsi="Times New Roman"/>
          <w:b/>
          <w:bCs/>
          <w:sz w:val="28"/>
          <w:szCs w:val="28"/>
        </w:rPr>
        <w:t xml:space="preserve">5.7 Clinical Implications</w:t>
      </w:r>
    </w:p>
    <w:p>
      <w:pPr>
        <w:spacing w:after="120" w:line="276"/>
      </w:pPr>
      <w:r>
        <w:rPr>
          <w:rFonts w:ascii="Times New Roman" w:cs="Times New Roman" w:eastAsia="Times New Roman" w:hAnsi="Times New Roman"/>
          <w:sz w:val="24"/>
          <w:szCs w:val="24"/>
        </w:rPr>
        <w:t xml:space="preserve">The molecular-to-biomechanical bridge established in this section yields three clinically actionable insights:</w:t>
      </w:r>
    </w:p>
    <w:p>
      <w:pPr>
        <w:spacing w:after="120" w:line="276"/>
      </w:pPr>
      <w:r>
        <w:rPr>
          <w:rFonts w:ascii="Times New Roman" w:cs="Times New Roman" w:eastAsia="Times New Roman" w:hAnsi="Times New Roman"/>
          <w:b/>
          <w:bCs/>
          <w:sz w:val="24"/>
          <w:szCs w:val="24"/>
        </w:rPr>
        <w:t xml:space="preserve">1. Molecular risk stratification. </w:t>
      </w:r>
      <w:r>
        <w:rPr>
          <w:rFonts w:ascii="Times New Roman" w:cs="Times New Roman" w:eastAsia="Times New Roman" w:hAnsi="Times New Roman"/>
          <w:sz w:val="24"/>
          <w:szCs w:val="24"/>
        </w:rPr>
        <w:t xml:space="preserve">The framework enables genotype-specific stability prediction. A patient carrying the LBX1 risk variant (rs11190870) has a predicted stability margin of −28.8 ms, compared to −22.9 ms for the general molecular-adjusted case. This 6 ms difference could inform brace prescription timing and intensity.</w:t>
      </w:r>
    </w:p>
    <w:p>
      <w:pPr>
        <w:spacing w:after="120" w:line="276"/>
      </w:pPr>
      <w:r>
        <w:rPr>
          <w:rFonts w:ascii="Times New Roman" w:cs="Times New Roman" w:eastAsia="Times New Roman" w:hAnsi="Times New Roman"/>
          <w:b/>
          <w:bCs/>
          <w:sz w:val="24"/>
          <w:szCs w:val="24"/>
        </w:rPr>
        <w:t xml:space="preserve">2. The damping hypothesis. </w:t>
      </w:r>
      <w:r>
        <w:rPr>
          <w:rFonts w:ascii="Times New Roman" w:cs="Times New Roman" w:eastAsia="Times New Roman" w:hAnsi="Times New Roman"/>
          <w:sz w:val="24"/>
          <w:szCs w:val="24"/>
        </w:rPr>
        <w:t xml:space="preserve">The 28.7% reduction in passive damping from collagen flexibility analysis provides a testable prediction: adolescents with AIS should exhibit measurably reduced paraspinal tissue viscoelasticity compared to age-matched controls. This could be assessed via shear-wave elastography or magnetic resonance elastography of the paraspinal muscles.</w:t>
      </w:r>
    </w:p>
    <w:p>
      <w:pPr>
        <w:spacing w:after="120" w:line="276"/>
      </w:pPr>
      <w:r>
        <w:rPr>
          <w:rFonts w:ascii="Times New Roman" w:cs="Times New Roman" w:eastAsia="Times New Roman" w:hAnsi="Times New Roman"/>
          <w:b/>
          <w:bCs/>
          <w:sz w:val="24"/>
          <w:szCs w:val="24"/>
        </w:rPr>
        <w:t xml:space="preserve">3. Therapeutic target identification. </w:t>
      </w:r>
      <w:r>
        <w:rPr>
          <w:rFonts w:ascii="Times New Roman" w:cs="Times New Roman" w:eastAsia="Times New Roman" w:hAnsi="Times New Roman"/>
          <w:sz w:val="24"/>
          <w:szCs w:val="24"/>
        </w:rPr>
        <w:t xml:space="preserve">The delay decomposition (Figure 6B) identifies the tissue remodelling pathway (GPR126, τ = 42.2 ms) as the largest contributor to the total delay. Pharmacological interventions targeting GPR126-mediated cartilage signalling could reduce τ_tissue, potentially shifting the stability margin from negative to positive. This is quantifiable: reducing GPR126 flexibility by 50% would lower τ_eff from 96.4 ms to approximately 75.3 ms, placing the system exactly at the baseline critical delay.</w:t>
      </w:r>
    </w:p>
    <w:p>
      <w:pPr>
        <w:pStyle w:val="Heading2"/>
        <w:spacing w:after="180" w:before="240"/>
      </w:pPr>
      <w:r>
        <w:rPr>
          <w:rFonts w:ascii="Times New Roman" w:cs="Times New Roman" w:eastAsia="Times New Roman" w:hAnsi="Times New Roman"/>
          <w:b/>
          <w:bCs/>
          <w:sz w:val="28"/>
          <w:szCs w:val="28"/>
        </w:rPr>
        <w:t xml:space="preserve">5.8 Limitations and Future Directions</w:t>
      </w:r>
    </w:p>
    <w:p>
      <w:pPr>
        <w:spacing w:after="120" w:line="276"/>
      </w:pPr>
      <w:r>
        <w:rPr>
          <w:rFonts w:ascii="Times New Roman" w:cs="Times New Roman" w:eastAsia="Times New Roman" w:hAnsi="Times New Roman"/>
          <w:sz w:val="24"/>
          <w:szCs w:val="24"/>
        </w:rPr>
        <w:t xml:space="preserve">Several limitations must be acknowledged. First, the mapping from AlphaFold pLDDT scores to biomechanical parameters involves coupling constants (α_i) that are estimated from biophysical reasoning rather than direct experimental measurement. While the qualitative conclusions (molecular parameters push the system toward instability) are robust to reasonable variation in these constants, quantitative predictions of stability margins require experimental calibration.</w:t>
      </w:r>
    </w:p>
    <w:p>
      <w:pPr>
        <w:spacing w:after="120" w:line="276"/>
      </w:pPr>
      <w:r>
        <w:rPr>
          <w:rFonts w:ascii="Times New Roman" w:cs="Times New Roman" w:eastAsia="Times New Roman" w:hAnsi="Times New Roman"/>
          <w:sz w:val="24"/>
          <w:szCs w:val="24"/>
        </w:rPr>
        <w:t xml:space="preserve">Second, AlphaFold predicts single-chain static structures and cannot capture the dynamics of protein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protein interactions, post-translational modifications, or the effects of specific point mutations on protein flexibility. Future work should incorporate molecular dynamics simulations of variant structures to provide residue-level perturbation maps.</w:t>
      </w:r>
    </w:p>
    <w:p>
      <w:pPr>
        <w:spacing w:after="120" w:line="276"/>
      </w:pPr>
      <w:r>
        <w:rPr>
          <w:rFonts w:ascii="Times New Roman" w:cs="Times New Roman" w:eastAsia="Times New Roman" w:hAnsi="Times New Roman"/>
          <w:sz w:val="24"/>
          <w:szCs w:val="24"/>
        </w:rPr>
        <w:t xml:space="preserve">Third, the current framework treats each molecular pathway independently. In reality, cross-talk between proprioceptive, tissue remodelling, and growth signalling pathways may produce synergistic or compensatory effects that alter the effective delay in ways not captured by simple summation.</w:t>
      </w:r>
    </w:p>
    <w:p>
      <w:pPr>
        <w:spacing w:after="120" w:line="276"/>
      </w:pPr>
      <w:r>
        <w:rPr>
          <w:rFonts w:ascii="Times New Roman" w:cs="Times New Roman" w:eastAsia="Times New Roman" w:hAnsi="Times New Roman"/>
          <w:sz w:val="24"/>
          <w:szCs w:val="24"/>
        </w:rPr>
        <w:t xml:space="preserve">Despite these limitations, the molecular-to-biomechanical bridge represents a significant conceptual advance: it demonstrates that the abstract parameters of the DDE stability framework can, in principle, be grounded in measurable molecular properties, opening a pathway toward truly personalised biomechanical risk assessment in adolescent scoliosis.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Times New Roman" w:cs="Times New Roman" w:eastAsia="Times New Roman" w:hAnsi="Times New Roman"/>
        <w:i/>
        <w:iCs/>
        <w:color w:val="888888"/>
        <w:sz w:val="18"/>
        <w:szCs w:val="18"/>
      </w:rPr>
      <w:t xml:space="preserve">AlphaFold Extension</w:t>
    </w:r>
    <w:r>
      <w:rPr>
        <w:rFonts w:ascii="Times New Roman" w:cs="Times New Roman" w:eastAsia="Times New Roman" w:hAnsi="Times New Roman"/>
        <w:i/>
        <w:iCs/>
        <w:color w:val="888888"/>
        <w:sz w:val="18"/>
        <w:szCs w:val="18"/>
      </w:rPr>
      <w:t xml:space="preserve">	Delay-Constrained Stability in Adolescent Spinal Morphogenesis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99d4382d534520545293879eb34e35780a6f3f.png"/><Relationship Id="rId10" Type="http://schemas.openxmlformats.org/officeDocument/2006/relationships/image" Target="media/1b52d55191a9bc42a32add336a0621abd0ff9122.png"/><Relationship Id="rId11" Type="http://schemas.openxmlformats.org/officeDocument/2006/relationships/image" Target="media/a3d24fabd2a6b4abd3cb7799561847e41c6405bf.png"/><Relationship Id="rId12" Type="http://schemas.openxmlformats.org/officeDocument/2006/relationships/image" Target="media/b46ff9bfd677ac6a9e68895d7a8f02858e60ee2e.png"/><Relationship Id="rId13" Type="http://schemas.openxmlformats.org/officeDocument/2006/relationships/image" Target="media/b803e2461530cacf86d76367af160ee44fd7b9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2026-03-08T09:56:45.704Z</dcterms:created>
  <dcterms:modified xsi:type="dcterms:W3CDTF">2026-03-08T09:56:45.706Z</dcterms:modified>
</cp:coreProperties>
</file>

<file path=docProps/custom.xml><?xml version="1.0" encoding="utf-8"?>
<Properties xmlns="http://schemas.openxmlformats.org/officeDocument/2006/custom-properties" xmlns:vt="http://schemas.openxmlformats.org/officeDocument/2006/docPropsVTypes"/>
</file>