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ABSTRACT</w:t>
      </w:r>
    </w:p>
    <w:p>
      <w:pPr>
        <w:spacing w:after="200"/>
      </w:pPr>
    </w:p>
    <w:p>
      <w:pPr>
        <w:spacing w:after="240"/>
      </w:pPr>
      <w:r>
        <w:rPr>
          <w:i/>
          <w:iCs/>
        </w:rPr>
        <w:t xml:space="preserve">Title: Developmental Information as Biological Countercurvature: A Unified Framework for Spinal Geometry and Its Pathological Deviations</w:t>
      </w:r>
    </w:p>
    <w:p>
      <w:r>
        <w:t xml:space="preserve">The characteristic sigmoid (S) curvature of the vertebral column is a defining feature of vertebrate anatomy, yet its developmental origin remains poorly understood. Current biomechanical models attribute spinal geometry exclusively to passive gravitational geodesics&amp;#x2014;the geometric curvature imposed by load-bearing constraints. However, this framework fails to explain spinal curvature in zero-gravity environments, scoliotic deviations despite normal gravity, and the remarkable conservation of S-curve geometry across vertebrate species with distinct body masses and locomotive modes. Here we propose a novel paradigm: Biological Countercurvature, wherein developmental information&amp;#x2014;encoded through HOX gene patterning&amp;#x2014;acts as a geometric modifier of the effective spacetime metric experienced by developing spinal tissues. Using Cosserat rod mechanics integrated with AlphaFold-predicted protein elasticity tensors, we demonstrate that HOX-mediated heterogeneity in tissue elasticity creates an Information-Elasticity Coupling (IEC) that generates the S-curve as the energetic ground state independent of gravitational loading. Our phase diagram reveals three distinct regimes: gravity-dominated (passive geodesics), cooperative (normal vertebrate physiology), and information-dominated (pathological spinal deformation). Crucially, this framework predicts that microgravity environments disrupt the information-gravitational balance, driving spine-related complications through fluid-shift-driven inflammatory mechanisms rather than pure mechanical unloading. We validate this model across nine mammalian species and show that known scoliosis-associated mutations correlate with predicted IEC disruptions. This work establishes a new theoretical foundation for understanding musculoskeletal development and suggests novel therapeutic interventions targeting the information-elasticity interface for spinal pathologies and microgravity-related complications.</w:t>
      </w:r>
    </w:p>
    <w:p>
      <w:pPr>
        <w:spacing w:after="300"/>
      </w:pPr>
    </w:p>
    <w:p>
      <w:pPr>
        <w:pStyle w:val="Heading2"/>
      </w:pPr>
      <w:r>
        <w:t xml:space="preserve">KEY FEATURES (for Editorial Dashboard)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Novelty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Information-Elasticity Coupling as a new theoretical framework bridging developmental biology and differential geometry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Rigor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Cosserat mechanics + AlphaFold integration + cross-species validation + phase diagram analysis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Significance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Explains developmental origin of spinal geometry; suggests novel scoliosis treatments; predicts microgravity complications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WORD COUNT</w:t>
      </w:r>
    </w:p>
    <w:p>
      <w:r>
        <w:t xml:space="preserve">Abstract: 210 words | Note: Exceeds Nature limit by 60 words. EDIT REQUIRED.</w:t>
      </w:r>
    </w:p>
    <w:p>
      <w:pPr>
        <w:spacing w:after="300"/>
      </w:pPr>
    </w:p>
    <w:p>
      <w:pPr>
        <w:pStyle w:val="Heading2"/>
      </w:pPr>
      <w:r>
        <w:t xml:space="preserve">NOTES FOR AUTHOR</w:t>
      </w:r>
    </w:p>
    <w:p>
      <w:pPr>
        <w:pStyle w:val="ListParagraph"/>
        <w:numPr>
          <w:ilvl w:val="0"/>
          <w:numId w:val="2"/>
        </w:numPr>
      </w:pPr>
      <w:r>
        <w:t xml:space="preserve">Edit down to 150 words maximum. Remove secondary details; keep: biological problem, your novel framework, key findings (phase diagram, microgravity prediction), significance</w:t>
      </w:r>
    </w:p>
    <w:p>
      <w:pPr>
        <w:pStyle w:val="ListParagraph"/>
        <w:numPr>
          <w:ilvl w:val="0"/>
          <w:numId w:val="2"/>
        </w:numPr>
      </w:pPr>
      <w:r>
        <w:t xml:space="preserve">Consider this structure: Problem (S-curve paradox) &amp;#x2192; Gap in models &amp;#x2192; Your solution (IEC) &amp;#x2192; Method (Cosserat + AlphaFold) &amp;#x2192; Result (phase diagram) &amp;#x2192; Impact (scoliosis, microgravity)</w:t>
      </w:r>
    </w:p>
    <w:p>
      <w:pPr>
        <w:pStyle w:val="ListParagraph"/>
        <w:numPr>
          <w:ilvl w:val="0"/>
          <w:numId w:val="2"/>
        </w:numPr>
      </w:pPr>
      <w:r>
        <w:t xml:space="preserve">The microgravity prediction is your killer finding&amp;#x2014;ensure it&amp;#x2019;s in the final version</w:t>
      </w:r>
    </w:p>
    <w:p>
      <w:pPr>
        <w:pStyle w:val="ListParagraph"/>
        <w:numPr>
          <w:ilvl w:val="0"/>
          <w:numId w:val="2"/>
        </w:numPr>
      </w:pPr>
      <w:r>
        <w:t xml:space="preserve">Cross-species validation is important; keep if possible but may need to trim for space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B4D3E"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2026-02-16T12:43:55.417Z</dcterms:created>
  <dcterms:modified xsi:type="dcterms:W3CDTF">2026-02-16T12:43:55.418Z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