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19.png" ContentType="image/png"/>
  <Override PartName="/word/media/rId110.png" ContentType="image/png"/>
  <Override PartName="/word/media/rId116.png" ContentType="image/png"/>
  <Override PartName="/word/media/rId148.png" ContentType="image/png"/>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7.png" ContentType="image/png"/>
  <Override PartName="/word/media/rId137.png" ContentType="image/png"/>
  <Override PartName="/word/media/rId140.png" ContentType="image/png"/>
  <Override PartName="/word/media/rId143.png" ContentType="image/png"/>
  <Override PartName="/word/media/rId124.png" ContentType="image/png"/>
  <Override PartName="/word/media/rId133.png" ContentType="image/png"/>
  <Override PartName="/word/media/rId20.png" ContentType="image/png"/>
  <Override PartName="/word/media/rId237.png" ContentType="image/png"/>
  <Override PartName="/word/media/rId266.png" ContentType="image/png"/>
  <Override PartName="/word/media/rId318.png" ContentType="image/png"/>
  <Override PartName="/word/media/rId325.png" ContentType="image/png"/>
  <Override PartName="/word/media/rId309.png" ContentType="image/png"/>
  <Override PartName="/word/media/rId346.png" ContentType="image/png"/>
  <Override PartName="/word/media/rId337.png" ContentType="image/png"/>
  <Override PartName="/word/media/rId343.png" ContentType="image/png"/>
  <Override PartName="/word/media/rId340.png" ContentType="image/png"/>
  <Override PartName="/word/media/rId263.png" ContentType="image/png"/>
  <Override PartName="/word/media/rId291.png" ContentType="image/png"/>
  <Override PartName="/word/media/rId46.png" ContentType="image/png"/>
  <Override PartName="/word/media/rId50.png" ContentType="image/png"/>
  <Override PartName="/word/media/rId54.png" ContentType="image/png"/>
  <Override PartName="/word/media/rId384.png" ContentType="image/png"/>
  <Override PartName="/word/media/rId381.png" ContentType="image/png"/>
  <Override PartName="/word/media/rId391.png" ContentType="image/png"/>
  <Override PartName="/word/media/rId387.png" ContentType="image/png"/>
  <Override PartName="/word/media/rId183.png" ContentType="image/png"/>
  <Override PartName="/word/media/rId199.png" ContentType="image/png"/>
  <Override PartName="/word/media/rId224.png" ContentType="image/png"/>
  <Override PartName="/word/media/rId214.png" ContentType="image/png"/>
  <Override PartName="/word/media/rId218.png" ContentType="image/png"/>
  <Override PartName="/word/media/rId195.png" ContentType="image/png"/>
  <Override PartName="/word/media/rId202.png" ContentType="image/png"/>
  <Override PartName="/word/media/rId210.png" ContentType="image/png"/>
  <Override PartName="/word/media/rId191.png" ContentType="image/png"/>
  <Override PartName="/word/media/rId206.png" ContentType="image/png"/>
  <Override PartName="/word/media/rId75.png" ContentType="image/png"/>
  <Override PartName="/word/media/rId95.png" ContentType="image/png"/>
  <Override PartName="/word/media/rId103.png" ContentType="image/png"/>
  <Override PartName="/word/media/rId98.png" ContentType="image/png"/>
  <Override PartName="/word/media/rId359.png" ContentType="image/png"/>
  <Override PartName="/word/media/rId362.png" ContentType="image/png"/>
  <Override PartName="/word/media/rId366.png" ContentType="image/png"/>
  <Override PartName="/word/media/rId370.png" ContentType="image/png"/>
  <Override PartName="/word/media/rId351.png" ContentType="image/png"/>
  <Override PartName="/word/media/rId374.png" ContentType="image/png"/>
  <Override PartName="/word/media/rId3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09,</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2"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End w:id="122"/>
    <w:bookmarkEnd w:id="123"/>
    <w:bookmarkStart w:id="147" w:name="setting-up-workspaces-on-anvil"/>
    <w:p>
      <w:pPr>
        <w:pStyle w:val="Heading2"/>
      </w:pPr>
      <w:r>
        <w:rPr>
          <w:rStyle w:val="SectionNumber"/>
        </w:rPr>
        <w:t xml:space="preserve">6.3</w:t>
      </w:r>
      <w:r>
        <w:tab/>
      </w:r>
      <w:r>
        <w:t xml:space="preserve">Setting up workspaces on AnVIL</w:t>
      </w:r>
    </w:p>
    <w:p>
      <w:pPr>
        <w:pStyle w:val="FirstParagraph"/>
      </w:pPr>
      <w:r>
        <w:rPr>
          <w:bCs/>
          <w:b/>
        </w:rPr>
        <w:t xml:space="preserve">This section is only for instructors. Students do NOT have to set up workspaces.</w:t>
      </w:r>
    </w:p>
    <w:p>
      <w:pPr>
        <w:pStyle w:val="BodyText"/>
      </w:pPr>
      <w:r>
        <w:drawing>
          <wp:inline>
            <wp:extent cx="5334000" cy="3000375"/>
            <wp:effectExtent b="0" l="0" r="0" t="0"/>
            <wp:docPr descr="" title="" id="125" name="Picture"/>
            <a:graphic>
              <a:graphicData uri="http://schemas.openxmlformats.org/drawingml/2006/picture">
                <pic:pic>
                  <pic:nvPicPr>
                    <pic:cNvPr descr="anvil-setup-workspace_files/figure-docx//1uCiZDAwgh1iM5XPlpbK5uz7oVBujmimUXVQaR8iGuho_g368970cb22e_0_75.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Follow the written steps below or refer to the</w:t>
      </w:r>
      <w:r>
        <w:t xml:space="preserve"> </w:t>
      </w:r>
      <w:hyperlink r:id="rId127">
        <w:r>
          <w:rPr>
            <w:rStyle w:val="Hyperlink"/>
          </w:rPr>
          <w:t xml:space="preserve">slides</w:t>
        </w:r>
      </w:hyperlink>
      <w:r>
        <w:t xml:space="preserve"> </w:t>
      </w:r>
      <w:r>
        <w:t xml:space="preserve">or video guide.</w:t>
      </w:r>
    </w:p>
    <w:bookmarkStart w:id="128" w:name="purpose-3"/>
    <w:p>
      <w:pPr>
        <w:pStyle w:val="Heading4"/>
      </w:pPr>
      <w:r>
        <w:rPr>
          <w:rStyle w:val="SectionNumber"/>
        </w:rPr>
        <w:t xml:space="preserve">6.3.0.1</w:t>
      </w:r>
      <w:r>
        <w:tab/>
      </w:r>
      <w:r>
        <w:t xml:space="preserve">Purpose</w:t>
      </w:r>
    </w:p>
    <w:p>
      <w:pPr>
        <w:pStyle w:val="FirstParagraph"/>
      </w:pPr>
      <w:r>
        <w:t xml:space="preserve">We will learn about managing students using groups and how to clone a copy of the C-MOOR workspaces for each section of a given class.</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Learn how to create groups that can be used to control users’ access</w:t>
      </w:r>
    </w:p>
    <w:p>
      <w:pPr>
        <w:numPr>
          <w:ilvl w:val="0"/>
          <w:numId w:val="1043"/>
        </w:numPr>
        <w:pStyle w:val="Compact"/>
      </w:pPr>
      <w:r>
        <w:t xml:space="preserve">Clone the workspace of your chosen C-MOOR curriculum for each section of your class</w:t>
      </w:r>
    </w:p>
    <w:p>
      <w:pPr>
        <w:numPr>
          <w:ilvl w:val="0"/>
          <w:numId w:val="1043"/>
        </w:numPr>
        <w:pStyle w:val="Compact"/>
      </w:pPr>
      <w:r>
        <w:t xml:space="preserve">Simultaneously add students of that section to the chosen workspace</w:t>
      </w:r>
    </w:p>
    <w:bookmarkEnd w:id="129"/>
    <w:bookmarkStart w:id="132" w:name="a-note-to-instructors-on-billing"/>
    <w:p>
      <w:pPr>
        <w:pStyle w:val="Heading3"/>
      </w:pPr>
      <w:r>
        <w:rPr>
          <w:rStyle w:val="SectionNumber"/>
        </w:rPr>
        <w:t xml:space="preserve">6.3.1</w:t>
      </w:r>
      <w:r>
        <w:tab/>
      </w:r>
      <w:r>
        <w:t xml:space="preserve">A note to instructors on billing</w:t>
      </w:r>
    </w:p>
    <w:p>
      <w:pPr>
        <w:pStyle w:val="FirstParagraph"/>
      </w:pPr>
      <w:r>
        <w:t xml:space="preserve">Instructors should have a Google billing account associated with their AnVIL account on Terra. We will not cover how to set up a Google Billing Account, which is separate from and required by a billing project. For assistance with setting up your billing account we suggest refering to the Terra (the platform on which AnVIL runs)</w:t>
      </w:r>
      <w:r>
        <w:t xml:space="preserve"> </w:t>
      </w:r>
      <w:hyperlink r:id="rId130">
        <w:r>
          <w:rPr>
            <w:rStyle w:val="Hyperlink"/>
          </w:rPr>
          <w:t xml:space="preserve">guide to billing</w:t>
        </w:r>
      </w:hyperlink>
      <w:r>
        <w:t xml:space="preserve"> </w:t>
      </w:r>
      <w:r>
        <w:t xml:space="preserve">and speaking with your institution’s information technology and finance departments.</w:t>
      </w:r>
    </w:p>
    <w:p>
      <w:pPr>
        <w:pStyle w:val="BodyText"/>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31">
        <w:r>
          <w:rPr>
            <w:rStyle w:val="Hyperlink"/>
          </w:rPr>
          <w:t xml:space="preserve">How to cut off GCP charges</w:t>
        </w:r>
      </w:hyperlink>
      <w:r>
        <w:t xml:space="preserve">.</w:t>
      </w:r>
    </w:p>
    <w:bookmarkEnd w:id="132"/>
    <w:bookmarkStart w:id="136" w:name="using-groups-to-manage-classes"/>
    <w:p>
      <w:pPr>
        <w:pStyle w:val="Heading3"/>
      </w:pPr>
      <w:r>
        <w:rPr>
          <w:rStyle w:val="SectionNumber"/>
        </w:rPr>
        <w:t xml:space="preserve">6.3.2</w:t>
      </w:r>
      <w:r>
        <w:tab/>
      </w:r>
      <w:r>
        <w:t xml:space="preserve">Using groups to manage classes</w:t>
      </w:r>
    </w:p>
    <w:p>
      <w:pPr>
        <w:pStyle w:val="FirstParagraph"/>
      </w:pPr>
      <w:r>
        <w:drawing>
          <wp:inline>
            <wp:extent cx="5334000" cy="3000375"/>
            <wp:effectExtent b="0" l="0" r="0" t="0"/>
            <wp:docPr descr="" title="" id="134" name="Picture"/>
            <a:graphic>
              <a:graphicData uri="http://schemas.openxmlformats.org/drawingml/2006/picture">
                <pic:pic>
                  <pic:nvPicPr>
                    <pic:cNvPr descr="anvil-setup-workspace_files/figure-docx//1uCiZDAwgh1iM5XPlpbK5uz7oVBujmimUXVQaR8iGuho_g37166799c0e_0_17.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recommend you manage students and their access to workspaces through groups. When people are added to a group, they are given a new group email address that controls everyone within that group. For example, if there are 20 people in the group, all 20 are added at one time when the group email is used to give a group access to a workspace. Likewise, we recommend any management of students, such as removal or additions later in the class, be managed through the group interface.</w:t>
      </w:r>
    </w:p>
    <w:p>
      <w:pPr>
        <w:numPr>
          <w:ilvl w:val="0"/>
          <w:numId w:val="1044"/>
        </w:numPr>
        <w:pStyle w:val="Compact"/>
      </w:pPr>
      <w:r>
        <w:t xml:space="preserve">Access billing by clicking on the hamburger icon in the top left corner of the window, click on your name, and select groups. This will take you to this groups page.</w:t>
      </w:r>
    </w:p>
    <w:p>
      <w:pPr>
        <w:numPr>
          <w:ilvl w:val="0"/>
          <w:numId w:val="1044"/>
        </w:numPr>
        <w:pStyle w:val="Compact"/>
      </w:pPr>
      <w:r>
        <w:t xml:space="preserve">Click Create New group. You will be prompted to give your group a unique name.</w:t>
      </w:r>
    </w:p>
    <w:p>
      <w:pPr>
        <w:numPr>
          <w:ilvl w:val="0"/>
          <w:numId w:val="1044"/>
        </w:numPr>
        <w:pStyle w:val="Compact"/>
      </w:pPr>
      <w:r>
        <w:t xml:space="preserve">Click on the name of the newly created group to enter it.</w:t>
      </w:r>
    </w:p>
    <w:p>
      <w:pPr>
        <w:numPr>
          <w:ilvl w:val="0"/>
          <w:numId w:val="1044"/>
        </w:numPr>
        <w:pStyle w:val="Compact"/>
      </w:pPr>
      <w:r>
        <w:t xml:space="preserve">Click add users. Add users to the group using the same email they used to sign up for AnVIL.</w:t>
      </w:r>
    </w:p>
    <w:p>
      <w:pPr>
        <w:numPr>
          <w:ilvl w:val="0"/>
          <w:numId w:val="1044"/>
        </w:numPr>
        <w:pStyle w:val="Compact"/>
      </w:pPr>
      <w:r>
        <w:t xml:space="preserve">You can use the group email created for the group seen on the group management page to manage everyone in that group. For example, you can add everyone in the group to a workspace by adding this group email to the billing project.</w:t>
      </w:r>
    </w:p>
    <w:bookmarkEnd w:id="136"/>
    <w:bookmarkStart w:id="146" w:name="clone-a-workspace-on-anvil"/>
    <w:p>
      <w:pPr>
        <w:pStyle w:val="Heading3"/>
      </w:pPr>
      <w:r>
        <w:rPr>
          <w:rStyle w:val="SectionNumber"/>
        </w:rPr>
        <w:t xml:space="preserve">6.3.3</w:t>
      </w:r>
      <w:r>
        <w:tab/>
      </w:r>
      <w:r>
        <w:t xml:space="preserve">Clone a workspace on AnVIL</w:t>
      </w:r>
    </w:p>
    <w:p>
      <w:pPr>
        <w:pStyle w:val="FirstParagraph"/>
      </w:pPr>
      <w:r>
        <w:drawing>
          <wp:inline>
            <wp:extent cx="5334000" cy="3000375"/>
            <wp:effectExtent b="0" l="0" r="0" t="0"/>
            <wp:docPr descr="" title="" id="138" name="Picture"/>
            <a:graphic>
              <a:graphicData uri="http://schemas.openxmlformats.org/drawingml/2006/picture">
                <pic:pic>
                  <pic:nvPicPr>
                    <pic:cNvPr descr="anvil-setup-workspace_files/figure-docx//1uCiZDAwgh1iM5XPlpbK5uz7oVBujmimUXVQaR8iGuho_g368970cb22e_0_0.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instructor will clone the workspace in AnVIL. We recommend cloning one workspace for each section you teach. Each workspace can be shared by approximately 50 students without issue. You can clone multiple workspaces for exceptionally large classes. Students in a given section will use the cloned workspace for all learning modules and the research project.</w:t>
      </w:r>
    </w:p>
    <w:p>
      <w:pPr>
        <w:numPr>
          <w:ilvl w:val="0"/>
          <w:numId w:val="1045"/>
        </w:numPr>
        <w:pStyle w:val="Compact"/>
      </w:pPr>
      <w:r>
        <w:t xml:space="preserve">While logged into AnVIL, using the hamburger icon in the top left corner of the screen, navigate to the workspaces page</w:t>
      </w:r>
    </w:p>
    <w:p>
      <w:pPr>
        <w:numPr>
          <w:ilvl w:val="0"/>
          <w:numId w:val="1045"/>
        </w:numPr>
        <w:pStyle w:val="Compact"/>
      </w:pPr>
      <w:r>
        <w:t xml:space="preserve">Select the public tab</w:t>
      </w:r>
    </w:p>
    <w:p>
      <w:pPr>
        <w:numPr>
          <w:ilvl w:val="0"/>
          <w:numId w:val="1045"/>
        </w:numPr>
        <w:pStyle w:val="Compact"/>
      </w:pPr>
      <w:r>
        <w:t xml:space="preserve">Search for the desired workspace. Your instructor will tell you which workspace to look for (miniCURE-RNA-seq or miniCURE-16S-microbiome).</w:t>
      </w:r>
    </w:p>
    <w:p>
      <w:pPr>
        <w:numPr>
          <w:ilvl w:val="0"/>
          <w:numId w:val="1045"/>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41" name="Picture"/>
            <a:graphic>
              <a:graphicData uri="http://schemas.openxmlformats.org/drawingml/2006/picture">
                <pic:pic>
                  <pic:nvPicPr>
                    <pic:cNvPr descr="anvil-setup-workspace_files/figure-docx//1uCiZDAwgh1iM5XPlpbK5uz7oVBujmimUXVQaR8iGuho_g368970cb22e_0_147.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6"/>
        </w:numPr>
        <w:pStyle w:val="Compact"/>
      </w:pPr>
      <w:r>
        <w:t xml:space="preserve">Give the cloned workspace a unique name. We recommend choosing the class and section name that the workspace is intended for.</w:t>
      </w:r>
    </w:p>
    <w:p>
      <w:pPr>
        <w:numPr>
          <w:ilvl w:val="0"/>
          <w:numId w:val="1046"/>
        </w:numPr>
        <w:pStyle w:val="Compact"/>
      </w:pPr>
      <w:r>
        <w:t xml:space="preserve">Confirm the billing project is the one you want to use. In this example, we have a billing project by semester and curriculum. All computational costs by students in the workspace will be billed ot this account.</w:t>
      </w:r>
    </w:p>
    <w:p>
      <w:pPr>
        <w:pStyle w:val="FirstParagraph"/>
      </w:pPr>
      <w:r>
        <w:drawing>
          <wp:inline>
            <wp:extent cx="5334000" cy="3000375"/>
            <wp:effectExtent b="0" l="0" r="0" t="0"/>
            <wp:docPr descr="" title="" id="144" name="Picture"/>
            <a:graphic>
              <a:graphicData uri="http://schemas.openxmlformats.org/drawingml/2006/picture">
                <pic:pic>
                  <pic:nvPicPr>
                    <pic:cNvPr descr="anvil-setup-workspace_files/figure-docx//1uCiZDAwgh1iM5XPlpbK5uz7oVBujmimUXVQaR8iGuho_g368970cb22e_0_151.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7"/>
        </w:numPr>
        <w:pStyle w:val="Compact"/>
      </w:pPr>
      <w:r>
        <w:t xml:space="preserve">In the sharing step, add the students to the workspace using their group email. Refer to the section on managing students with groups for more information on adding students to groups.</w:t>
      </w:r>
    </w:p>
    <w:p>
      <w:pPr>
        <w:numPr>
          <w:ilvl w:val="0"/>
          <w:numId w:val="1047"/>
        </w:numPr>
        <w:pStyle w:val="Compact"/>
      </w:pPr>
      <w:r>
        <w:t xml:space="preserve">Make the students writers.</w:t>
      </w:r>
    </w:p>
    <w:p>
      <w:pPr>
        <w:numPr>
          <w:ilvl w:val="0"/>
          <w:numId w:val="1047"/>
        </w:numPr>
        <w:pStyle w:val="Compact"/>
      </w:pPr>
      <w:r>
        <w:t xml:space="preserve">Confirm that the can compute box is checked. This allows the students to computational resources on the cloud. Without it, they won’t be able to open any modules or run any code.</w:t>
      </w:r>
    </w:p>
    <w:p>
      <w:pPr>
        <w:numPr>
          <w:ilvl w:val="0"/>
          <w:numId w:val="1047"/>
        </w:numPr>
        <w:pStyle w:val="Compact"/>
      </w:pPr>
      <w:r>
        <w:t xml:space="preserve">The other options can be left as defaults. Finish cloning the workspace.</w:t>
      </w:r>
    </w:p>
    <w:p>
      <w:pPr>
        <w:pStyle w:val="FirstParagraph"/>
      </w:pPr>
      <w:r>
        <w:rPr>
          <w:bCs/>
          <w:b/>
        </w:rPr>
        <w:t xml:space="preserve">Students should now have access to the workspace. To view your workspaces, click on the hamburger icon in the top left of the screen and go to the Workspaces tab. We recommend that any further management of people and their access to the workspaces be done by managing their group.</w:t>
      </w:r>
    </w:p>
    <w:bookmarkEnd w:id="146"/>
    <w:bookmarkEnd w:id="147"/>
    <w:bookmarkStart w:id="181"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9" name="Picture"/>
            <a:graphic>
              <a:graphicData uri="http://schemas.openxmlformats.org/drawingml/2006/picture">
                <pic:pic>
                  <pic:nvPicPr>
                    <pic:cNvPr descr="anvil-run-module_files/figure-docx//11wb3b7i9SwrDX_WO3mWNAycd2mbY4Moy8SuT0X3XvXo_g3709d9ac459_0_25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bookmarkStart w:id="151"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51"/>
    <w:bookmarkStart w:id="152" w:name="learning-objectives-4"/>
    <w:p>
      <w:pPr>
        <w:pStyle w:val="Heading4"/>
      </w:pPr>
      <w:r>
        <w:rPr>
          <w:rStyle w:val="SectionNumber"/>
        </w:rPr>
        <w:t xml:space="preserve">6.4.0.2</w:t>
      </w:r>
      <w:r>
        <w:tab/>
      </w:r>
      <w:r>
        <w:t xml:space="preserve">Learning Objectives</w:t>
      </w:r>
    </w:p>
    <w:p>
      <w:pPr>
        <w:numPr>
          <w:ilvl w:val="0"/>
          <w:numId w:val="1048"/>
        </w:numPr>
        <w:pStyle w:val="Compact"/>
      </w:pPr>
      <w:r>
        <w:t xml:space="preserve">Launch a module through the cloned workspace</w:t>
      </w:r>
    </w:p>
    <w:p>
      <w:pPr>
        <w:numPr>
          <w:ilvl w:val="0"/>
          <w:numId w:val="1048"/>
        </w:numPr>
        <w:pStyle w:val="Compact"/>
      </w:pPr>
      <w:r>
        <w:t xml:space="preserve">Close out a session on AnVIL properly to prevent runaway costs</w:t>
      </w:r>
    </w:p>
    <w:bookmarkEnd w:id="152"/>
    <w:bookmarkStart w:id="153"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9"/>
        </w:numPr>
        <w:pStyle w:val="Compact"/>
      </w:pPr>
      <w:r>
        <w:t xml:space="preserve">Every workspace comes with its own Google Bucket (our cloud storage). Your bucket will be empty.</w:t>
      </w:r>
    </w:p>
    <w:p>
      <w:pPr>
        <w:numPr>
          <w:ilvl w:val="0"/>
          <w:numId w:val="1049"/>
        </w:numPr>
        <w:pStyle w:val="Compact"/>
      </w:pPr>
      <w:r>
        <w:t xml:space="preserve">Every workspace has its own billing project. Students who are not yet associated with a billing project will not be able to compute on their workspace.</w:t>
      </w:r>
    </w:p>
    <w:p>
      <w:pPr>
        <w:numPr>
          <w:ilvl w:val="0"/>
          <w:numId w:val="1049"/>
        </w:numPr>
        <w:pStyle w:val="Compact"/>
      </w:pPr>
      <w:r>
        <w:t xml:space="preserve">We can control access levels of users and set them either as owners, writers, or readers. Students will be writers with compute access.</w:t>
      </w:r>
    </w:p>
    <w:bookmarkEnd w:id="153"/>
    <w:bookmarkStart w:id="176" w:name="running-modules-on-anvil"/>
    <w:p>
      <w:pPr>
        <w:pStyle w:val="Heading3"/>
      </w:pPr>
      <w:r>
        <w:rPr>
          <w:rStyle w:val="SectionNumber"/>
        </w:rPr>
        <w:t xml:space="preserve">6.4.2</w:t>
      </w:r>
      <w:r>
        <w:tab/>
      </w:r>
      <w:r>
        <w:t xml:space="preserve">Running modules on AnVIL</w:t>
      </w:r>
    </w:p>
    <w:bookmarkStart w:id="175" w:name="starting-a-module-on-anvil"/>
    <w:p>
      <w:pPr>
        <w:pStyle w:val="Heading4"/>
      </w:pPr>
      <w:r>
        <w:rPr>
          <w:rStyle w:val="SectionNumber"/>
        </w:rPr>
        <w:t xml:space="preserve">6.4.2.1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55" name="Picture"/>
            <a:graphic>
              <a:graphicData uri="http://schemas.openxmlformats.org/drawingml/2006/picture">
                <pic:pic>
                  <pic:nvPicPr>
                    <pic:cNvPr descr="anvil-run-module_files/figure-docx//11wb3b7i9SwrDX_WO3mWNAycd2mbY4Moy8SuT0X3XvXo_g3709d9ac459_0_271.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58" name="Picture"/>
            <a:graphic>
              <a:graphicData uri="http://schemas.openxmlformats.org/drawingml/2006/picture">
                <pic:pic>
                  <pic:nvPicPr>
                    <pic:cNvPr descr="anvil-run-module_files/figure-docx//11wb3b7i9SwrDX_WO3mWNAycd2mbY4Moy8SuT0X3XvXo_g3709d9ac459_0_275.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 Set the creation timeout limit to 15 minutes.</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9.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83.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87.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91.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95.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75"/>
    <w:bookmarkEnd w:id="176"/>
    <w:bookmarkStart w:id="180" w:name="closing-out-a-session-on-anvil"/>
    <w:p>
      <w:pPr>
        <w:pStyle w:val="Heading3"/>
      </w:pPr>
      <w:r>
        <w:rPr>
          <w:rStyle w:val="SectionNumber"/>
        </w:rPr>
        <w:t xml:space="preserve">6.4.3</w:t>
      </w:r>
      <w:r>
        <w:tab/>
      </w:r>
      <w:r>
        <w:t xml:space="preserve">Closing out a session on AnVIL</w:t>
      </w:r>
    </w:p>
    <w:p>
      <w:pPr>
        <w:pStyle w:val="FirstParagraph"/>
      </w:pPr>
      <w:r>
        <w:drawing>
          <wp:inline>
            <wp:extent cx="5334000" cy="3000375"/>
            <wp:effectExtent b="0" l="0" r="0" t="0"/>
            <wp:docPr descr="" title="" id="178" name="Picture"/>
            <a:graphic>
              <a:graphicData uri="http://schemas.openxmlformats.org/drawingml/2006/picture">
                <pic:pic>
                  <pic:nvPicPr>
                    <pic:cNvPr descr="anvil-run-module_files/figure-docx//11wb3b7i9SwrDX_WO3mWNAycd2mbY4Moy8SuT0X3XvXo_g3709d9ac459_0_299.png" id="179" name="Picture"/>
                    <pic:cNvPicPr>
                      <a:picLocks noChangeArrowheads="1" noChangeAspect="1"/>
                    </pic:cNvPicPr>
                  </pic:nvPicPr>
                  <pic:blipFill>
                    <a:blip r:embed="rId17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lighnting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0"/>
    <w:bookmarkEnd w:id="181"/>
    <w:bookmarkEnd w:id="182"/>
    <w:bookmarkStart w:id="262"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84" name="Picture"/>
            <a:graphic>
              <a:graphicData uri="http://schemas.openxmlformats.org/drawingml/2006/picture">
                <pic:pic>
                  <pic:nvPicPr>
                    <pic:cNvPr descr="making-group-poster_files/figure-docx//1dI8-_iVqbkzNMf11M4dK85E8ZW3OyZECs_YwMKw5fhs_g362974128df_0_0.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86">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87">
        <w:r>
          <w:rPr>
            <w:rStyle w:val="Hyperlink"/>
          </w:rPr>
          <w:t xml:space="preserve">poster on posters!</w:t>
        </w:r>
      </w:hyperlink>
    </w:p>
    <w:bookmarkStart w:id="236" w:name="making-a-group-poster"/>
    <w:p>
      <w:pPr>
        <w:pStyle w:val="Heading2"/>
      </w:pPr>
      <w:r>
        <w:rPr>
          <w:rStyle w:val="SectionNumber"/>
        </w:rPr>
        <w:t xml:space="preserve">7.1</w:t>
      </w:r>
      <w:r>
        <w:tab/>
      </w:r>
      <w:r>
        <w:t xml:space="preserve">Making a Group Poster</w:t>
      </w:r>
    </w:p>
    <w:bookmarkStart w:id="188"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88"/>
    <w:bookmarkStart w:id="190"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89">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0"/>
    <w:bookmarkStart w:id="228"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194"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2" name="Picture"/>
            <a:graphic>
              <a:graphicData uri="http://schemas.openxmlformats.org/drawingml/2006/picture">
                <pic:pic>
                  <pic:nvPicPr>
                    <pic:cNvPr descr="making-group-poster_files/figure-docx//1hYKF7Ss3vJ8rrUIH7ByNh1BUlRa2fhsJhq8MXzEowCc_g33d6e3b928f_0_6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194"/>
    <w:bookmarkStart w:id="198"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196" name="Picture"/>
            <a:graphic>
              <a:graphicData uri="http://schemas.openxmlformats.org/drawingml/2006/picture">
                <pic:pic>
                  <pic:nvPicPr>
                    <pic:cNvPr descr="making-group-poster_files/figure-docx//1dI8-_iVqbkzNMf11M4dK85E8ZW3OyZECs_YwMKw5fhs_g36d8202a6d3_0_0.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198"/>
    <w:bookmarkStart w:id="205"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0" name="Picture"/>
            <a:graphic>
              <a:graphicData uri="http://schemas.openxmlformats.org/drawingml/2006/picture">
                <pic:pic>
                  <pic:nvPicPr>
                    <pic:cNvPr descr="making-group-poster_files/figure-docx//1dI8-_iVqbkzNMf11M4dK85E8ZW3OyZECs_YwMKw5fhs_g362974128df_0_18.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3" name="Picture"/>
            <a:graphic>
              <a:graphicData uri="http://schemas.openxmlformats.org/drawingml/2006/picture">
                <pic:pic>
                  <pic:nvPicPr>
                    <pic:cNvPr descr="making-group-poster_files/figure-docx//1hYKF7Ss3vJ8rrUIH7ByNh1BUlRa2fhsJhq8MXzEowCc_g33d6e3b928f_0_149.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End w:id="205"/>
    <w:bookmarkStart w:id="209"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07" name="Picture"/>
            <a:graphic>
              <a:graphicData uri="http://schemas.openxmlformats.org/drawingml/2006/picture">
                <pic:pic>
                  <pic:nvPicPr>
                    <pic:cNvPr descr="making-group-poster_files/figure-docx//1hYKF7Ss3vJ8rrUIH7ByNh1BUlRa2fhsJhq8MXzEowCc_g33d6e3b928f_1_1.png" id="208" name="Picture"/>
                    <pic:cNvPicPr>
                      <a:picLocks noChangeArrowheads="1" noChangeAspect="1"/>
                    </pic:cNvPicPr>
                  </pic:nvPicPr>
                  <pic:blipFill>
                    <a:blip r:embed="rId2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09"/>
    <w:bookmarkStart w:id="213"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1" name="Picture"/>
            <a:graphic>
              <a:graphicData uri="http://schemas.openxmlformats.org/drawingml/2006/picture">
                <pic:pic>
                  <pic:nvPicPr>
                    <pic:cNvPr descr="making-group-poster_files/figure-docx//1hYKF7Ss3vJ8rrUIH7ByNh1BUlRa2fhsJhq8MXzEowCc_g33d6e3b928f_0_6.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3"/>
    <w:bookmarkStart w:id="217"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15" name="Picture"/>
            <a:graphic>
              <a:graphicData uri="http://schemas.openxmlformats.org/drawingml/2006/picture">
                <pic:pic>
                  <pic:nvPicPr>
                    <pic:cNvPr descr="making-group-poster_files/figure-docx//1dI8-_iVqbkzNMf11M4dK85E8ZW3OyZECs_YwMKw5fhs_g362974128df_0_52.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17"/>
    <w:bookmarkStart w:id="223"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19" name="Picture"/>
            <a:graphic>
              <a:graphicData uri="http://schemas.openxmlformats.org/drawingml/2006/picture">
                <pic:pic>
                  <pic:nvPicPr>
                    <pic:cNvPr descr="making-group-poster_files/figure-docx//1dI8-_iVqbkzNMf11M4dK85E8ZW3OyZECs_YwMKw5fhs_g362974128df_0_80.png" id="220" name="Picture"/>
                    <pic:cNvPicPr>
                      <a:picLocks noChangeArrowheads="1" noChangeAspect="1"/>
                    </pic:cNvPicPr>
                  </pic:nvPicPr>
                  <pic:blipFill>
                    <a:blip r:embed="rId2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2">
        <w:r>
          <w:rPr>
            <w:rStyle w:val="Hyperlink"/>
          </w:rPr>
          <w:t xml:space="preserve">doi:10.7554/eLife.00886</w:t>
        </w:r>
      </w:hyperlink>
    </w:p>
    <w:bookmarkEnd w:id="223"/>
    <w:bookmarkStart w:id="227"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3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27"/>
    <w:bookmarkEnd w:id="228"/>
    <w:bookmarkStart w:id="229"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29"/>
    <w:bookmarkStart w:id="235"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0"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0"/>
    <w:bookmarkStart w:id="234"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1">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2">
        <w:r>
          <w:rPr>
            <w:rStyle w:val="Hyperlink"/>
          </w:rPr>
          <w:t xml:space="preserve">Abstract vs. Introduction</w:t>
        </w:r>
      </w:hyperlink>
    </w:p>
    <w:p>
      <w:pPr>
        <w:numPr>
          <w:ilvl w:val="0"/>
          <w:numId w:val="1077"/>
        </w:numPr>
        <w:pStyle w:val="Compact"/>
      </w:pPr>
      <w:r>
        <w:t xml:space="preserve">[Preparing and presenting effective research posters] (</w:t>
      </w:r>
      <w:hyperlink r:id="rId233">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34"/>
    <w:bookmarkEnd w:id="235"/>
    <w:bookmarkEnd w:id="236"/>
    <w:bookmarkStart w:id="241"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38" name="Picture"/>
            <a:graphic>
              <a:graphicData uri="http://schemas.openxmlformats.org/drawingml/2006/picture">
                <pic:pic>
                  <pic:nvPicPr>
                    <pic:cNvPr descr="community-analysis-and-feedback_files/figure-docx//1-orSi8DpN22hMt9-6p_rHZnte1YXXLe-a132HDSyd0U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0">
        <w:r>
          <w:rPr>
            <w:rStyle w:val="Hyperlink"/>
          </w:rPr>
          <w:t xml:space="preserve">Scientific Posters</w:t>
        </w:r>
      </w:hyperlink>
    </w:p>
    <w:bookmarkEnd w:id="241"/>
    <w:bookmarkStart w:id="249" w:name="activity---scientific-posters"/>
    <w:p>
      <w:pPr>
        <w:pStyle w:val="Heading2"/>
      </w:pPr>
      <w:r>
        <w:rPr>
          <w:rStyle w:val="SectionNumber"/>
        </w:rPr>
        <w:t xml:space="preserve">7.3</w:t>
      </w:r>
      <w:r>
        <w:tab/>
      </w:r>
      <w:r>
        <w:t xml:space="preserve">Activity - Scientific Posters</w:t>
      </w:r>
    </w:p>
    <w:bookmarkStart w:id="246"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45"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2">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3">
        <w:r>
          <w:rPr>
            <w:rStyle w:val="Hyperlink"/>
            <w:bCs/>
            <w:b/>
          </w:rPr>
          <w:t xml:space="preserve">UMBC Biology Posters</w:t>
        </w:r>
      </w:hyperlink>
    </w:p>
    <w:p>
      <w:pPr>
        <w:numPr>
          <w:ilvl w:val="0"/>
          <w:numId w:val="1080"/>
        </w:numPr>
      </w:pPr>
      <w:hyperlink r:id="rId244">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45"/>
    <w:bookmarkEnd w:id="246"/>
    <w:bookmarkStart w:id="247"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47"/>
    <w:bookmarkStart w:id="248"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48"/>
    <w:bookmarkEnd w:id="249"/>
    <w:bookmarkStart w:id="261" w:name="activity---share-your-poster"/>
    <w:p>
      <w:pPr>
        <w:pStyle w:val="Heading2"/>
      </w:pPr>
      <w:r>
        <w:rPr>
          <w:rStyle w:val="SectionNumber"/>
        </w:rPr>
        <w:t xml:space="preserve">7.4</w:t>
      </w:r>
      <w:r>
        <w:tab/>
      </w:r>
      <w:r>
        <w:t xml:space="preserve">Activity - Share Your Poster</w:t>
      </w:r>
    </w:p>
    <w:bookmarkStart w:id="255"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0"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0"/>
    <w:bookmarkStart w:id="253"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1">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2">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3"/>
    <w:bookmarkStart w:id="254"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54"/>
    <w:bookmarkEnd w:id="255"/>
    <w:bookmarkStart w:id="258"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56"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56"/>
    <w:bookmarkStart w:id="257"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57"/>
    <w:bookmarkEnd w:id="258"/>
    <w:bookmarkStart w:id="259"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59"/>
    <w:bookmarkStart w:id="260"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0"/>
    <w:bookmarkEnd w:id="261"/>
    <w:bookmarkEnd w:id="262"/>
    <w:bookmarkStart w:id="308"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64" name="Picture"/>
            <a:graphic>
              <a:graphicData uri="http://schemas.openxmlformats.org/drawingml/2006/picture">
                <pic:pic>
                  <pic:nvPicPr>
                    <pic:cNvPr descr="community-analysis-and-feedback_files/figure-docx//1hYKF7Ss3vJ8rrUIH7ByNh1BUlRa2fhsJhq8MXzEowCc_g344ad28629a_0_229.png" id="265" name="Picture"/>
                    <pic:cNvPicPr>
                      <a:picLocks noChangeArrowheads="1" noChangeAspect="1"/>
                    </pic:cNvPicPr>
                  </pic:nvPicPr>
                  <pic:blipFill>
                    <a:blip r:embed="rId263"/>
                    <a:stretch>
                      <a:fillRect/>
                    </a:stretch>
                  </pic:blipFill>
                  <pic:spPr bwMode="auto">
                    <a:xfrm>
                      <a:off x="0" y="0"/>
                      <a:ext cx="5334000" cy="3000375"/>
                    </a:xfrm>
                    <a:prstGeom prst="rect">
                      <a:avLst/>
                    </a:prstGeom>
                    <a:noFill/>
                    <a:ln w="9525">
                      <a:noFill/>
                      <a:headEnd/>
                      <a:tailEnd/>
                    </a:ln>
                  </pic:spPr>
                </pic:pic>
              </a:graphicData>
            </a:graphic>
          </wp:inline>
        </w:drawing>
      </w:r>
    </w:p>
    <w:bookmarkStart w:id="270"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67" name="Picture"/>
            <a:graphic>
              <a:graphicData uri="http://schemas.openxmlformats.org/drawingml/2006/picture">
                <pic:pic>
                  <pic:nvPicPr>
                    <pic:cNvPr descr="community-analysis-and-feedback_files/figure-docx//1PMvZ19kSTK2ghdgLNFRS_t5p8R_GKFNbExPRxMsE1Ns_g35f391192_00.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9">
        <w:r>
          <w:rPr>
            <w:rStyle w:val="Hyperlink"/>
          </w:rPr>
          <w:t xml:space="preserve">Slides: Next Steps</w:t>
        </w:r>
      </w:hyperlink>
    </w:p>
    <w:bookmarkEnd w:id="270"/>
    <w:bookmarkStart w:id="290" w:name="activity---next-steps"/>
    <w:p>
      <w:pPr>
        <w:pStyle w:val="Heading2"/>
      </w:pPr>
      <w:r>
        <w:rPr>
          <w:rStyle w:val="SectionNumber"/>
        </w:rPr>
        <w:t xml:space="preserve">8.2</w:t>
      </w:r>
      <w:r>
        <w:tab/>
      </w:r>
      <w:r>
        <w:t xml:space="preserve">Activity - Next Steps</w:t>
      </w:r>
    </w:p>
    <w:bookmarkStart w:id="271"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1"/>
    <w:bookmarkStart w:id="274"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3"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2">
        <w:r>
          <w:rPr>
            <w:rStyle w:val="Hyperlink"/>
          </w:rPr>
          <w:t xml:space="preserve">https://forms.gle/XkqiMERHc2PETmy4A</w:t>
        </w:r>
      </w:hyperlink>
    </w:p>
    <w:bookmarkEnd w:id="273"/>
    <w:bookmarkEnd w:id="274"/>
    <w:bookmarkStart w:id="277"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75">
              <w:r>
                <w:rPr>
                  <w:rStyle w:val="Hyperlink"/>
                </w:rPr>
                <w:t xml:space="preserve">https://www.nsf.gov/funding/initiatives/reu/students</w:t>
              </w:r>
            </w:hyperlink>
          </w:p>
        </w:tc>
      </w:tr>
      <w:tr>
        <w:tc>
          <w:tcPr/>
          <w:p>
            <w:pPr>
              <w:pStyle w:val="Compact"/>
              <w:jc w:val="left"/>
            </w:pPr>
            <w:r>
              <w:t xml:space="preserve">b. Search –</w:t>
            </w:r>
            <w:r>
              <w:t xml:space="preserve"> </w:t>
            </w:r>
            <w:hyperlink r:id="rId276">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77"/>
    <w:bookmarkStart w:id="285"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78"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78"/>
    <w:bookmarkStart w:id="284"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79">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0">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1">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2">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3">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84"/>
    <w:bookmarkEnd w:id="285"/>
    <w:bookmarkStart w:id="287"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86"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1">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86"/>
    <w:bookmarkEnd w:id="287"/>
    <w:bookmarkStart w:id="288"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88"/>
    <w:bookmarkStart w:id="289"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89"/>
    <w:bookmarkEnd w:id="290"/>
    <w:bookmarkStart w:id="305"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2" name="Picture"/>
            <a:graphic>
              <a:graphicData uri="http://schemas.openxmlformats.org/drawingml/2006/picture">
                <pic:pic>
                  <pic:nvPicPr>
                    <pic:cNvPr descr="community-analysis-and-feedback_files/figure-docx//1hYKF7Ss3vJ8rrUIH7ByNh1BUlRa2fhsJhq8MXzEowCc_g344ad28629a_0_263.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299"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294">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295">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296">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297">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298">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299"/>
    <w:bookmarkStart w:id="304"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0">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1">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2">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3">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04"/>
    <w:bookmarkEnd w:id="305"/>
    <w:bookmarkStart w:id="307"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06"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06"/>
    <w:bookmarkEnd w:id="307"/>
    <w:bookmarkEnd w:id="308"/>
    <w:bookmarkStart w:id="330" w:name="c-moor-scholars"/>
    <w:p>
      <w:pPr>
        <w:pStyle w:val="Heading1"/>
      </w:pPr>
      <w:r>
        <w:rPr>
          <w:rStyle w:val="SectionNumber"/>
        </w:rPr>
        <w:t xml:space="preserve">9</w:t>
      </w:r>
      <w:r>
        <w:tab/>
      </w:r>
      <w:r>
        <w:t xml:space="preserve">C-MOOR Scholars</w:t>
      </w:r>
    </w:p>
    <w:bookmarkStart w:id="317"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0" name="Picture"/>
            <a:graphic>
              <a:graphicData uri="http://schemas.openxmlformats.org/drawingml/2006/picture">
                <pic:pic>
                  <pic:nvPicPr>
                    <pic:cNvPr descr="community-analysis-and-feedback_files/figure-docx//1dI8-_iVqbkzNMf11M4dK85E8ZW3OyZECs_YwMKw5fhs_g362a06a915d_2_4.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2">
        <w:r>
          <w:rPr>
            <w:rStyle w:val="Hyperlink"/>
          </w:rPr>
          <w:t xml:space="preserve">C-MOOR Scholars Interest Form</w:t>
        </w:r>
      </w:hyperlink>
      <w:r>
        <w:t xml:space="preserve"> </w:t>
      </w:r>
      <w:r>
        <w:t xml:space="preserve">if interested, and meet some</w:t>
      </w:r>
      <w:r>
        <w:t xml:space="preserve"> </w:t>
      </w:r>
      <w:hyperlink r:id="rId313">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14">
        <w:r>
          <w:rPr>
            <w:rStyle w:val="Hyperlink"/>
          </w:rPr>
          <w:t xml:space="preserve">C-MOOR Academy Discussion Forum</w:t>
        </w:r>
      </w:hyperlink>
      <w:r>
        <w:t xml:space="preserve"> </w:t>
      </w:r>
      <w:r>
        <w:t xml:space="preserve">to hear about any remote opportunities we have.</w:t>
      </w:r>
    </w:p>
    <w:bookmarkStart w:id="316"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15">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3">
        <w:r>
          <w:rPr>
            <w:rStyle w:val="Hyperlink"/>
          </w:rPr>
          <w:t xml:space="preserve">https://www.cloviscollege.edu/alumni-and-community/c-moor/c-moor-scholars.html</w:t>
        </w:r>
      </w:hyperlink>
    </w:p>
    <w:bookmarkEnd w:id="316"/>
    <w:bookmarkEnd w:id="317"/>
    <w:bookmarkStart w:id="324"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19" name="Picture"/>
            <a:graphic>
              <a:graphicData uri="http://schemas.openxmlformats.org/drawingml/2006/picture">
                <pic:pic>
                  <pic:nvPicPr>
                    <pic:cNvPr descr="community-analysis-and-feedback_files/figure-docx//1dI8-_iVqbkzNMf11M4dK85E8ZW3OyZECs_YwMKw5fhs_g362974128df_0_9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bookmarkStart w:id="322"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1">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2"/>
    <w:bookmarkStart w:id="323"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3"/>
    <w:bookmarkEnd w:id="324"/>
    <w:bookmarkStart w:id="329"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26" name="Picture"/>
            <a:graphic>
              <a:graphicData uri="http://schemas.openxmlformats.org/drawingml/2006/picture">
                <pic:pic>
                  <pic:nvPicPr>
                    <pic:cNvPr descr="community-analysis-and-feedback_files/figure-docx//1dI8-_iVqbkzNMf11M4dK85E8ZW3OyZECs_YwMKw5fhs_g362a06a915d_2_10.png" id="327" name="Picture"/>
                    <pic:cNvPicPr>
                      <a:picLocks noChangeArrowheads="1" noChangeAspect="1"/>
                    </pic:cNvPicPr>
                  </pic:nvPicPr>
                  <pic:blipFill>
                    <a:blip r:embed="rId3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28">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29"/>
    <w:bookmarkEnd w:id="330"/>
    <w:bookmarkStart w:id="349"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1">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2">
        <w:r>
          <w:rPr>
            <w:rStyle w:val="Hyperlink"/>
          </w:rPr>
          <w:t xml:space="preserve">help.c-moor.org</w:t>
        </w:r>
      </w:hyperlink>
      <w:r>
        <w:t xml:space="preserve"> </w:t>
      </w:r>
      <w:r>
        <w:t xml:space="preserve">for help with and example miniCUREs</w:t>
      </w:r>
    </w:p>
    <w:p>
      <w:pPr>
        <w:numPr>
          <w:ilvl w:val="0"/>
          <w:numId w:val="1132"/>
        </w:numPr>
        <w:pStyle w:val="Compact"/>
      </w:pPr>
      <w:hyperlink r:id="rId333">
        <w:r>
          <w:rPr>
            <w:rStyle w:val="Hyperlink"/>
          </w:rPr>
          <w:t xml:space="preserve">help.galaxyproject.org</w:t>
        </w:r>
      </w:hyperlink>
      <w:r>
        <w:t xml:space="preserve"> </w:t>
      </w:r>
      <w:r>
        <w:t xml:space="preserve">for all things Galaxy</w:t>
      </w:r>
    </w:p>
    <w:p>
      <w:pPr>
        <w:numPr>
          <w:ilvl w:val="0"/>
          <w:numId w:val="1132"/>
        </w:numPr>
        <w:pStyle w:val="Compact"/>
      </w:pPr>
      <w:hyperlink r:id="rId334">
        <w:r>
          <w:rPr>
            <w:rStyle w:val="Hyperlink"/>
          </w:rPr>
          <w:t xml:space="preserve">support.bioconductor.org</w:t>
        </w:r>
      </w:hyperlink>
      <w:r>
        <w:t xml:space="preserve"> </w:t>
      </w:r>
      <w:r>
        <w:t xml:space="preserve">for all things R/Bioconductor</w:t>
      </w:r>
    </w:p>
    <w:p>
      <w:pPr>
        <w:numPr>
          <w:ilvl w:val="0"/>
          <w:numId w:val="1132"/>
        </w:numPr>
        <w:pStyle w:val="Compact"/>
      </w:pPr>
      <w:hyperlink r:id="rId335">
        <w:r>
          <w:rPr>
            <w:rStyle w:val="Hyperlink"/>
          </w:rPr>
          <w:t xml:space="preserve">help.anvilproject.org</w:t>
        </w:r>
      </w:hyperlink>
      <w:r>
        <w:t xml:space="preserve"> </w:t>
      </w:r>
      <w:r>
        <w:t xml:space="preserve">for interactions with the GDSCN BioDIGS consortium</w:t>
      </w:r>
      <w:r>
        <w:t xml:space="preserve"> </w:t>
      </w:r>
      <w:hyperlink r:id="rId336">
        <w:r>
          <w:rPr>
            <w:rStyle w:val="Hyperlink"/>
          </w:rPr>
          <w:t xml:space="preserve">https://biodigs.org/#home</w:t>
        </w:r>
      </w:hyperlink>
    </w:p>
    <w:p>
      <w:pPr>
        <w:pStyle w:val="FirstParagraph"/>
      </w:pPr>
      <w:r>
        <w:drawing>
          <wp:inline>
            <wp:extent cx="5334000" cy="3000375"/>
            <wp:effectExtent b="0" l="0" r="0" t="0"/>
            <wp:docPr descr="" title="" id="338" name="Picture"/>
            <a:graphic>
              <a:graphicData uri="http://schemas.openxmlformats.org/drawingml/2006/picture">
                <pic:pic>
                  <pic:nvPicPr>
                    <pic:cNvPr descr="community-analysis-and-feedback_files/figure-docx//1fH9s5OLcRF5meZtFWTJe89RFvJSh125kdjhdqp5smqA_g302b08c5e6e_0_16.png" id="339" name="Picture"/>
                    <pic:cNvPicPr>
                      <a:picLocks noChangeArrowheads="1" noChangeAspect="1"/>
                    </pic:cNvPicPr>
                  </pic:nvPicPr>
                  <pic:blipFill>
                    <a:blip r:embed="rId3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1" name="Picture"/>
            <a:graphic>
              <a:graphicData uri="http://schemas.openxmlformats.org/drawingml/2006/picture">
                <pic:pic>
                  <pic:nvPicPr>
                    <pic:cNvPr descr="community-analysis-and-feedback_files/figure-docx//1fH9s5OLcRF5meZtFWTJe89RFvJSh125kdjhdqp5smqA_g302b08c5e6e_0_5.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22.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12.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bookmarkEnd w:id="349"/>
    <w:bookmarkStart w:id="380" w:name="spreadsheets-101"/>
    <w:p>
      <w:pPr>
        <w:pStyle w:val="Heading1"/>
      </w:pPr>
      <w:r>
        <w:rPr>
          <w:rStyle w:val="SectionNumber"/>
        </w:rPr>
        <w:t xml:space="preserve">11</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350" w:name="right-clicking"/>
    <w:p>
      <w:pPr>
        <w:pStyle w:val="Heading4"/>
      </w:pPr>
      <w:r>
        <w:rPr>
          <w:rStyle w:val="SectionNumber"/>
        </w:rPr>
        <w:t xml:space="preserve">11.0.0.1</w:t>
      </w:r>
      <w:r>
        <w:tab/>
      </w:r>
      <w:r>
        <w:rPr>
          <w:bCs/>
          <w:b/>
        </w:rPr>
        <w:t xml:space="preserve">Right clicking?</w:t>
      </w:r>
    </w:p>
    <w:bookmarkEnd w:id="350"/>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133"/>
        </w:numPr>
        <w:pStyle w:val="Compact"/>
      </w:pPr>
      <w:r>
        <w:t xml:space="preserve">Right click by holding Ctrl and left-clicking</w:t>
      </w:r>
    </w:p>
    <w:p>
      <w:pPr>
        <w:numPr>
          <w:ilvl w:val="0"/>
          <w:numId w:val="1133"/>
        </w:numPr>
        <w:pStyle w:val="Compact"/>
      </w:pPr>
      <w:r>
        <w:t xml:space="preserve">Tapping with two fingers as opposed to one</w:t>
      </w:r>
    </w:p>
    <w:bookmarkStart w:id="354" w:name="getting-a-copy-of-the-spreadsheet"/>
    <w:p>
      <w:pPr>
        <w:pStyle w:val="Heading3"/>
      </w:pPr>
      <w:r>
        <w:rPr>
          <w:rStyle w:val="SectionNumber"/>
        </w:rPr>
        <w:t xml:space="preserve">11.0.1</w:t>
      </w:r>
      <w:r>
        <w:tab/>
      </w:r>
      <w:r>
        <w:t xml:space="preserve">Getting a copy of the spreadsheet</w:t>
      </w:r>
    </w:p>
    <w:p>
      <w:pPr>
        <w:pStyle w:val="FirstParagraph"/>
      </w:pPr>
      <w:r>
        <w:drawing>
          <wp:inline>
            <wp:extent cx="5334000" cy="3000375"/>
            <wp:effectExtent b="0" l="0" r="0" t="0"/>
            <wp:docPr descr="" title="" id="352" name="Picture"/>
            <a:graphic>
              <a:graphicData uri="http://schemas.openxmlformats.org/drawingml/2006/picture">
                <pic:pic>
                  <pic:nvPicPr>
                    <pic:cNvPr descr="spreadsheets-tutorial_files/figure-docx//1ah82NLd1weER1SUEJ9aPFDWT2vLg5wK5JW6tjdVkf6o_g3b212331eba_0_25.png" id="353" name="Picture"/>
                    <pic:cNvPicPr>
                      <a:picLocks noChangeArrowheads="1" noChangeAspect="1"/>
                    </pic:cNvPicPr>
                  </pic:nvPicPr>
                  <pic:blipFill>
                    <a:blip r:embed="rId3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354"/>
    <w:bookmarkStart w:id="358" w:name="basic-spreadsheet-terms"/>
    <w:p>
      <w:pPr>
        <w:pStyle w:val="Heading3"/>
      </w:pPr>
      <w:r>
        <w:rPr>
          <w:rStyle w:val="SectionNumber"/>
        </w:rPr>
        <w:t xml:space="preserve">11.0.2</w:t>
      </w:r>
      <w:r>
        <w:tab/>
      </w:r>
      <w:r>
        <w:t xml:space="preserve">Basic spreadsheet terms</w:t>
      </w:r>
    </w:p>
    <w:p>
      <w:pPr>
        <w:pStyle w:val="FirstParagraph"/>
      </w:pPr>
      <w:r>
        <w:drawing>
          <wp:inline>
            <wp:extent cx="5334000" cy="3000375"/>
            <wp:effectExtent b="0" l="0" r="0" t="0"/>
            <wp:docPr descr="" title="" id="356" name="Picture"/>
            <a:graphic>
              <a:graphicData uri="http://schemas.openxmlformats.org/drawingml/2006/picture">
                <pic:pic>
                  <pic:nvPicPr>
                    <pic:cNvPr descr="spreadsheets-tutorial_files/figure-docx//1ah82NLd1weER1SUEJ9aPFDWT2vLg5wK5JW6tjdVkf6o_g3b212331eba_0_5.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358"/>
    <w:bookmarkStart w:id="365" w:name="summary-statistics-by-row-or-column"/>
    <w:p>
      <w:pPr>
        <w:pStyle w:val="Heading3"/>
      </w:pPr>
      <w:r>
        <w:rPr>
          <w:rStyle w:val="SectionNumber"/>
        </w:rPr>
        <w:t xml:space="preserve">11.0.3</w:t>
      </w:r>
      <w:r>
        <w:tab/>
      </w:r>
      <w:r>
        <w:t xml:space="preserve">Summary statistics by row or column</w:t>
      </w:r>
    </w:p>
    <w:p>
      <w:pPr>
        <w:pStyle w:val="FirstParagraph"/>
      </w:pPr>
      <w:r>
        <w:drawing>
          <wp:inline>
            <wp:extent cx="5334000" cy="3000375"/>
            <wp:effectExtent b="0" l="0" r="0" t="0"/>
            <wp:docPr descr="" title="" id="360" name="Picture"/>
            <a:graphic>
              <a:graphicData uri="http://schemas.openxmlformats.org/drawingml/2006/picture">
                <pic:pic>
                  <pic:nvPicPr>
                    <pic:cNvPr descr="spreadsheets-tutorial_files/figure-docx//1ah82NLd1weER1SUEJ9aPFDWT2vLg5wK5JW6tjdVkf6o_g3b212331eba_0_11.png" id="361" name="Picture"/>
                    <pic:cNvPicPr>
                      <a:picLocks noChangeArrowheads="1" noChangeAspect="1"/>
                    </pic:cNvPicPr>
                  </pic:nvPicPr>
                  <pic:blipFill>
                    <a:blip r:embed="rId3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363" name="Picture"/>
            <a:graphic>
              <a:graphicData uri="http://schemas.openxmlformats.org/drawingml/2006/picture">
                <pic:pic>
                  <pic:nvPicPr>
                    <pic:cNvPr descr="spreadsheets-tutorial_files/figure-docx//1ah82NLd1weER1SUEJ9aPFDWT2vLg5wK5JW6tjdVkf6o_g3b212331eba_0_16.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365"/>
    <w:bookmarkStart w:id="369" w:name="adding-data-to-cells"/>
    <w:p>
      <w:pPr>
        <w:pStyle w:val="Heading3"/>
      </w:pPr>
      <w:r>
        <w:rPr>
          <w:rStyle w:val="SectionNumber"/>
        </w:rPr>
        <w:t xml:space="preserve">11.0.4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367" name="Picture"/>
            <a:graphic>
              <a:graphicData uri="http://schemas.openxmlformats.org/drawingml/2006/picture">
                <pic:pic>
                  <pic:nvPicPr>
                    <pic:cNvPr descr="spreadsheets-tutorial_files/figure-docx//1ah82NLd1weER1SUEJ9aPFDWT2vLg5wK5JW6tjdVkf6o_g3b212331eba_0_19.png" id="368" name="Picture"/>
                    <pic:cNvPicPr>
                      <a:picLocks noChangeArrowheads="1" noChangeAspect="1"/>
                    </pic:cNvPicPr>
                  </pic:nvPicPr>
                  <pic:blipFill>
                    <a:blip r:embed="rId3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134"/>
        </w:numPr>
        <w:pStyle w:val="Compact"/>
      </w:pPr>
      <w:r>
        <w:t xml:space="preserve">1+1</w:t>
      </w:r>
    </w:p>
    <w:p>
      <w:pPr>
        <w:numPr>
          <w:ilvl w:val="0"/>
          <w:numId w:val="1134"/>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135"/>
        </w:numPr>
        <w:pStyle w:val="Compact"/>
      </w:pPr>
      <w:r>
        <w:t xml:space="preserve">Type = into a cell</w:t>
      </w:r>
    </w:p>
    <w:p>
      <w:pPr>
        <w:numPr>
          <w:ilvl w:val="0"/>
          <w:numId w:val="1135"/>
        </w:numPr>
        <w:pStyle w:val="Compact"/>
      </w:pPr>
      <w:r>
        <w:t xml:space="preserve">Click on the cell you want to use in a calculation</w:t>
      </w:r>
    </w:p>
    <w:p>
      <w:pPr>
        <w:numPr>
          <w:ilvl w:val="0"/>
          <w:numId w:val="1135"/>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369"/>
    <w:bookmarkStart w:id="373" w:name="applying-a-calculation-to-many-cells"/>
    <w:p>
      <w:pPr>
        <w:pStyle w:val="Heading3"/>
      </w:pPr>
      <w:r>
        <w:rPr>
          <w:rStyle w:val="SectionNumber"/>
        </w:rPr>
        <w:t xml:space="preserve">11.0.5</w:t>
      </w:r>
      <w:r>
        <w:tab/>
      </w:r>
      <w:r>
        <w:t xml:space="preserve">Applying a calculation to many cells</w:t>
      </w:r>
    </w:p>
    <w:p>
      <w:pPr>
        <w:pStyle w:val="FirstParagraph"/>
      </w:pPr>
      <w:r>
        <w:drawing>
          <wp:inline>
            <wp:extent cx="5334000" cy="3000375"/>
            <wp:effectExtent b="0" l="0" r="0" t="0"/>
            <wp:docPr descr="" title="" id="371" name="Picture"/>
            <a:graphic>
              <a:graphicData uri="http://schemas.openxmlformats.org/drawingml/2006/picture">
                <pic:pic>
                  <pic:nvPicPr>
                    <pic:cNvPr descr="spreadsheets-tutorial_files/figure-docx//1ah82NLd1weER1SUEJ9aPFDWT2vLg5wK5JW6tjdVkf6o_g3b212331eba_0_22.png" id="372" name="Picture"/>
                    <pic:cNvPicPr>
                      <a:picLocks noChangeArrowheads="1" noChangeAspect="1"/>
                    </pic:cNvPicPr>
                  </pic:nvPicPr>
                  <pic:blipFill>
                    <a:blip r:embed="rId3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373"/>
    <w:bookmarkStart w:id="377" w:name="manipulating-the-spreadsheet"/>
    <w:p>
      <w:pPr>
        <w:pStyle w:val="Heading3"/>
      </w:pPr>
      <w:r>
        <w:rPr>
          <w:rStyle w:val="SectionNumber"/>
        </w:rPr>
        <w:t xml:space="preserve">11.0.6</w:t>
      </w:r>
      <w:r>
        <w:tab/>
      </w:r>
      <w:r>
        <w:t xml:space="preserve">Manipulating the spreadsheet</w:t>
      </w:r>
    </w:p>
    <w:p>
      <w:pPr>
        <w:pStyle w:val="FirstParagraph"/>
      </w:pPr>
      <w:r>
        <w:drawing>
          <wp:inline>
            <wp:extent cx="5334000" cy="3000375"/>
            <wp:effectExtent b="0" l="0" r="0" t="0"/>
            <wp:docPr descr="" title="" id="375" name="Picture"/>
            <a:graphic>
              <a:graphicData uri="http://schemas.openxmlformats.org/drawingml/2006/picture">
                <pic:pic>
                  <pic:nvPicPr>
                    <pic:cNvPr descr="spreadsheets-tutorial_files/figure-docx//1ah82NLd1weER1SUEJ9aPFDWT2vLg5wK5JW6tjdVkf6o_g3b212331eba_0_28.png" id="376" name="Picture"/>
                    <pic:cNvPicPr>
                      <a:picLocks noChangeArrowheads="1" noChangeAspect="1"/>
                    </pic:cNvPicPr>
                  </pic:nvPicPr>
                  <pic:blipFill>
                    <a:blip r:embed="rId3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377"/>
    <w:bookmarkStart w:id="379" w:name="useful-formulas-in-google-sheets"/>
    <w:p>
      <w:pPr>
        <w:pStyle w:val="Heading3"/>
      </w:pPr>
      <w:r>
        <w:rPr>
          <w:rStyle w:val="SectionNumber"/>
        </w:rPr>
        <w:t xml:space="preserve">11.0.7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378" w:name="on-variance"/>
    <w:p>
      <w:pPr>
        <w:pStyle w:val="Heading4"/>
      </w:pPr>
      <w:r>
        <w:rPr>
          <w:rStyle w:val="SectionNumber"/>
        </w:rPr>
        <w:t xml:space="preserve">11.0.7.1</w:t>
      </w:r>
      <w:r>
        <w:tab/>
      </w:r>
      <w:r>
        <w:rPr>
          <w:bCs/>
          <w:b/>
        </w:rPr>
        <w:t xml:space="preserve">On variance</w:t>
      </w:r>
    </w:p>
    <w:bookmarkEnd w:id="378"/>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bookmarkEnd w:id="379"/>
    <w:bookmarkEnd w:id="380"/>
    <w:bookmarkStart w:id="395" w:name="figure-and-tables-guide"/>
    <w:p>
      <w:pPr>
        <w:pStyle w:val="Heading1"/>
      </w:pPr>
      <w:r>
        <w:rPr>
          <w:rStyle w:val="SectionNumber"/>
        </w:rPr>
        <w:t xml:space="preserve">12</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390" w:name="figures"/>
    <w:p>
      <w:pPr>
        <w:pStyle w:val="Heading3"/>
      </w:pPr>
      <w:r>
        <w:rPr>
          <w:rStyle w:val="SectionNumber"/>
        </w:rPr>
        <w:t xml:space="preserve">12.0.1</w:t>
      </w:r>
      <w:r>
        <w:tab/>
      </w:r>
      <w:r>
        <w:t xml:space="preserve">Figures</w:t>
      </w:r>
    </w:p>
    <w:p>
      <w:pPr>
        <w:pStyle w:val="FirstParagraph"/>
      </w:pPr>
      <w:r>
        <w:drawing>
          <wp:inline>
            <wp:extent cx="5334000" cy="3000375"/>
            <wp:effectExtent b="0" l="0" r="0" t="0"/>
            <wp:docPr descr="" title="" id="382" name="Picture"/>
            <a:graphic>
              <a:graphicData uri="http://schemas.openxmlformats.org/drawingml/2006/picture">
                <pic:pic>
                  <pic:nvPicPr>
                    <pic:cNvPr descr="legends-tutorial_files/figure-docx//1dI8-_iVqbkzNMf11M4dK85E8ZW3OyZECs_YwMKw5fhs_g3b458cb4825_0_4.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385" name="Picture"/>
            <a:graphic>
              <a:graphicData uri="http://schemas.openxmlformats.org/drawingml/2006/picture">
                <pic:pic>
                  <pic:nvPicPr>
                    <pic:cNvPr descr="legends-tutorial_files/figure-docx//1dI8-_iVqbkzNMf11M4dK85E8ZW3OyZECs_YwMKw5fhs_g3b458cb4825_0_28.pn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388" name="Picture"/>
            <a:graphic>
              <a:graphicData uri="http://schemas.openxmlformats.org/drawingml/2006/picture">
                <pic:pic>
                  <pic:nvPicPr>
                    <pic:cNvPr descr="legends-tutorial_files/figure-docx//1dI8-_iVqbkzNMf11M4dK85E8ZW3OyZECs_YwMKw5fhs_g3b458cb4825_0_85.png" id="389" name="Picture"/>
                    <pic:cNvPicPr>
                      <a:picLocks noChangeArrowheads="1" noChangeAspect="1"/>
                    </pic:cNvPicPr>
                  </pic:nvPicPr>
                  <pic:blipFill>
                    <a:blip r:embed="rId3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136"/>
        </w:numPr>
        <w:pStyle w:val="Compact"/>
      </w:pPr>
      <w:r>
        <w:t xml:space="preserve">Each panel is denoted by a different letter.</w:t>
      </w:r>
    </w:p>
    <w:p>
      <w:pPr>
        <w:numPr>
          <w:ilvl w:val="0"/>
          <w:numId w:val="1136"/>
        </w:numPr>
        <w:pStyle w:val="Compact"/>
      </w:pPr>
      <w:r>
        <w:t xml:space="preserve">The title is comprehensive of both panels.</w:t>
      </w:r>
    </w:p>
    <w:p>
      <w:pPr>
        <w:numPr>
          <w:ilvl w:val="0"/>
          <w:numId w:val="1136"/>
        </w:numPr>
        <w:pStyle w:val="Compact"/>
      </w:pPr>
      <w:r>
        <w:t xml:space="preserve">Bolded letters draw the reader to the part of the legend specific to each panel.</w:t>
      </w:r>
    </w:p>
    <w:p>
      <w:pPr>
        <w:numPr>
          <w:ilvl w:val="0"/>
          <w:numId w:val="1136"/>
        </w:numPr>
        <w:pStyle w:val="Compact"/>
      </w:pPr>
      <w:r>
        <w:t xml:space="preserve">The standard information for the legend is included for each panel.</w:t>
      </w:r>
    </w:p>
    <w:bookmarkEnd w:id="390"/>
    <w:bookmarkStart w:id="394" w:name="tables"/>
    <w:p>
      <w:pPr>
        <w:pStyle w:val="Heading3"/>
      </w:pPr>
      <w:r>
        <w:rPr>
          <w:rStyle w:val="SectionNumber"/>
        </w:rPr>
        <w:t xml:space="preserve">12.0.2</w:t>
      </w:r>
      <w:r>
        <w:tab/>
      </w:r>
      <w:r>
        <w:t xml:space="preserve">Tables</w:t>
      </w:r>
    </w:p>
    <w:p>
      <w:pPr>
        <w:pStyle w:val="FirstParagraph"/>
      </w:pPr>
      <w:r>
        <w:drawing>
          <wp:inline>
            <wp:extent cx="5334000" cy="3000375"/>
            <wp:effectExtent b="0" l="0" r="0" t="0"/>
            <wp:docPr descr="" title="" id="392" name="Picture"/>
            <a:graphic>
              <a:graphicData uri="http://schemas.openxmlformats.org/drawingml/2006/picture">
                <pic:pic>
                  <pic:nvPicPr>
                    <pic:cNvPr descr="legends-tutorial_files/figure-docx//1dI8-_iVqbkzNMf11M4dK85E8ZW3OyZECs_YwMKw5fhs_g3b458cb4825_0_60.png" id="393" name="Picture"/>
                    <pic:cNvPicPr>
                      <a:picLocks noChangeArrowheads="1" noChangeAspect="1"/>
                    </pic:cNvPicPr>
                  </pic:nvPicPr>
                  <pic:blipFill>
                    <a:blip r:embed="rId3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394"/>
    <w:bookmarkEnd w:id="395"/>
    <w:bookmarkStart w:id="396" w:name="references-1"/>
    <w:p>
      <w:pPr>
        <w:pStyle w:val="Heading1"/>
      </w:pPr>
      <w:r>
        <w:t xml:space="preserve">References</w:t>
      </w:r>
    </w:p>
    <w:bookmarkEnd w:id="3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20" Target="media/rId20.png" /><Relationship Type="http://schemas.openxmlformats.org/officeDocument/2006/relationships/image" Id="rId237" Target="media/rId237.png" /><Relationship Type="http://schemas.openxmlformats.org/officeDocument/2006/relationships/image" Id="rId266" Target="media/rId266.png" /><Relationship Type="http://schemas.openxmlformats.org/officeDocument/2006/relationships/image" Id="rId318" Target="media/rId318.png" /><Relationship Type="http://schemas.openxmlformats.org/officeDocument/2006/relationships/image" Id="rId325" Target="media/rId325.png" /><Relationship Type="http://schemas.openxmlformats.org/officeDocument/2006/relationships/image" Id="rId309" Target="media/rId309.png" /><Relationship Type="http://schemas.openxmlformats.org/officeDocument/2006/relationships/image" Id="rId346" Target="media/rId346.png" /><Relationship Type="http://schemas.openxmlformats.org/officeDocument/2006/relationships/image" Id="rId337" Target="media/rId337.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263" Target="media/rId263.png" /><Relationship Type="http://schemas.openxmlformats.org/officeDocument/2006/relationships/image" Id="rId291" Target="media/rId291.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391" Target="media/rId391.png" /><Relationship Type="http://schemas.openxmlformats.org/officeDocument/2006/relationships/image" Id="rId387" Target="media/rId387.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24" Target="media/rId224.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95" Target="media/rId195.png" /><Relationship Type="http://schemas.openxmlformats.org/officeDocument/2006/relationships/image" Id="rId202" Target="media/rId202.png" /><Relationship Type="http://schemas.openxmlformats.org/officeDocument/2006/relationships/image" Id="rId210" Target="media/rId210.png" /><Relationship Type="http://schemas.openxmlformats.org/officeDocument/2006/relationships/image" Id="rId191" Target="media/rId191.png" /><Relationship Type="http://schemas.openxmlformats.org/officeDocument/2006/relationships/image" Id="rId206" Target="media/rId206.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359" Target="media/rId359.png" /><Relationship Type="http://schemas.openxmlformats.org/officeDocument/2006/relationships/image" Id="rId362" Target="media/rId362.png" /><Relationship Type="http://schemas.openxmlformats.org/officeDocument/2006/relationships/image" Id="rId366" Target="media/rId366.png" /><Relationship Type="http://schemas.openxmlformats.org/officeDocument/2006/relationships/image" Id="rId370" Target="media/rId370.png" /><Relationship Type="http://schemas.openxmlformats.org/officeDocument/2006/relationships/image" Id="rId351" Target="media/rId351.png" /><Relationship Type="http://schemas.openxmlformats.org/officeDocument/2006/relationships/image" Id="rId374" Target="media/rId374.png" /><Relationship Type="http://schemas.openxmlformats.org/officeDocument/2006/relationships/image" Id="rId355" Target="media/rId355.png" /><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28" Target="biodigs.org" TargetMode="External" /><Relationship Type="http://schemas.openxmlformats.org/officeDocument/2006/relationships/hyperlink" Id="rId294" Target="carnegiescience.edu/news/postdoc-spotlight-karina-gutierrez-garcia" TargetMode="External" /><Relationship Type="http://schemas.openxmlformats.org/officeDocument/2006/relationships/hyperlink" Id="rId221" Target="doi:10.1261/rna.2000810" TargetMode="External" /><Relationship Type="http://schemas.openxmlformats.org/officeDocument/2006/relationships/hyperlink" Id="rId222" Target="doi:10.7554/eLife.00886" TargetMode="External" /><Relationship Type="http://schemas.openxmlformats.org/officeDocument/2006/relationships/hyperlink" Id="rId314" Target="help.c-moor.org" TargetMode="External" /><Relationship Type="http://schemas.openxmlformats.org/officeDocument/2006/relationships/hyperlink" Id="rId67" Target="https://anvil.terra.bio/" TargetMode="External" /><Relationship Type="http://schemas.openxmlformats.org/officeDocument/2006/relationships/hyperlink" Id="rId336" Target="https://biodigs.org/#home" TargetMode="External" /><Relationship Type="http://schemas.openxmlformats.org/officeDocument/2006/relationships/hyperlink" Id="rId283" Target="https://bsky.app/search?q=metagenomics" TargetMode="External" /><Relationship Type="http://schemas.openxmlformats.org/officeDocument/2006/relationships/hyperlink" Id="rId231"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15" Target="https://docs.google.com/forms/d/1GJDpfG28k2utCVVcRXQraE-1coLS_GCX83irUyio9KE/edit" TargetMode="External" /><Relationship Type="http://schemas.openxmlformats.org/officeDocument/2006/relationships/hyperlink" Id="rId312" Target="https://docs.google.com/forms/d/1GJDpfG28k2utCVVcRXQraE-1coLS_GCX83irUyio9KE/viewform?edit_requested=true" TargetMode="External" /><Relationship Type="http://schemas.openxmlformats.org/officeDocument/2006/relationships/hyperlink" Id="rId240" Target="https://docs.google.com/presentation/d/1-orSi8DpN22hMt9-6p_rHZnte1YXXLe-a132HDSyd0U/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69" Target="https://docs.google.com/presentation/d/1PMvZ19kSTK2ghdgLNFRS_t5p8R_GKFNbExPRxMsE1Ns/edit?usp=sharing" TargetMode="External" /><Relationship Type="http://schemas.openxmlformats.org/officeDocument/2006/relationships/hyperlink" Id="rId189"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27" Target="https://docs.google.com/presentation/d/1uCiZDAwgh1iM5XPlpbK5uz7oVBujmimUXVQaR8iGuho/edit?usp=sharing"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1" Target="https://drive.google.com/drive/folders/1y_GCJl7VIYTS_5y7057u2s58ZCdm_PxM" TargetMode="External" /><Relationship Type="http://schemas.openxmlformats.org/officeDocument/2006/relationships/hyperlink" Id="rId187" Target="https://drive.google.com/file/d/1kK6FBBLbHiAAsTUgxwzHRlK1qCo__eCy/view?usp=sharing" TargetMode="External" /><Relationship Type="http://schemas.openxmlformats.org/officeDocument/2006/relationships/hyperlink" Id="rId272" Target="https://forms.gle/XkqiMERHc2PETmy4A" TargetMode="External" /><Relationship Type="http://schemas.openxmlformats.org/officeDocument/2006/relationships/hyperlink" Id="rId232"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35" Target="https://help.anvilproject.org" TargetMode="External" /><Relationship Type="http://schemas.openxmlformats.org/officeDocument/2006/relationships/hyperlink" Id="rId332"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2" Target="https://help.c-moor.org/c/jhu-2025-spring/46" TargetMode="External" /><Relationship Type="http://schemas.openxmlformats.org/officeDocument/2006/relationships/hyperlink" Id="rId186"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298" Target="https://help.c-moor.org/t/469" TargetMode="External" /><Relationship Type="http://schemas.openxmlformats.org/officeDocument/2006/relationships/hyperlink" Id="rId303" Target="https://help.c-moor.org/t/498" TargetMode="External" /><Relationship Type="http://schemas.openxmlformats.org/officeDocument/2006/relationships/hyperlink" Id="rId333"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3" Target="https://onlinelibrary.wiley.com/doi/10.1111/j.1475-6773.2006.00588.x" TargetMode="External" /><Relationship Type="http://schemas.openxmlformats.org/officeDocument/2006/relationships/hyperlink" Id="rId331"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34" Target="https://support.bioconductor.org" TargetMode="External" /><Relationship Type="http://schemas.openxmlformats.org/officeDocument/2006/relationships/hyperlink" Id="rId131" Target="https://support.terra.bio/hc/en-us/articles/360042023952-Runaway-costs-How-to-cut-off-GCP-charges" TargetMode="External" /><Relationship Type="http://schemas.openxmlformats.org/officeDocument/2006/relationships/hyperlink" Id="rId130" Target="https://support.terra.bio/hc/en-us/articles/360048632271-Terra-costs-and-billing-GCP-details" TargetMode="External" /><Relationship Type="http://schemas.openxmlformats.org/officeDocument/2006/relationships/hyperlink" Id="rId243" Target="https://ur.umbc.edu/poster-presentation-examples" TargetMode="External" /><Relationship Type="http://schemas.openxmlformats.org/officeDocument/2006/relationships/hyperlink" Id="rId242"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0" Target="https://www.biostars.org" TargetMode="External" /><Relationship Type="http://schemas.openxmlformats.org/officeDocument/2006/relationships/hyperlink" Id="rId313"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1" Target="https://www.nsf.gov/funding/initiatives/reu" TargetMode="External" /><Relationship Type="http://schemas.openxmlformats.org/officeDocument/2006/relationships/hyperlink" Id="rId276" Target="https://www.nsf.gov/funding/initiatives/reu/search" TargetMode="External" /><Relationship Type="http://schemas.openxmlformats.org/officeDocument/2006/relationships/hyperlink" Id="rId275" Target="https://www.nsf.gov/funding/initiatives/reu/students" TargetMode="External" /><Relationship Type="http://schemas.openxmlformats.org/officeDocument/2006/relationships/hyperlink" Id="rId244" Target="https://www.pacb.com/wp-content/uploads/PAG-Portik.pdf" TargetMode="External" /><Relationship Type="http://schemas.openxmlformats.org/officeDocument/2006/relationships/hyperlink" Id="rId281"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79" Target="https://www.seqanswers.com" TargetMode="External" /><Relationship Type="http://schemas.openxmlformats.org/officeDocument/2006/relationships/hyperlink" Id="rId282" Target="https://x.com/search?q=%23metagenomics" TargetMode="External" /><Relationship Type="http://schemas.openxmlformats.org/officeDocument/2006/relationships/hyperlink" Id="rId302" Target="pubmed.gov/29104759" TargetMode="External" /><Relationship Type="http://schemas.openxmlformats.org/officeDocument/2006/relationships/hyperlink" Id="rId301" Target="pubmed.gov/35643079" TargetMode="External" /><Relationship Type="http://schemas.openxmlformats.org/officeDocument/2006/relationships/hyperlink" Id="rId297" Target="pubmed.gov/37993724" TargetMode="External" /><Relationship Type="http://schemas.openxmlformats.org/officeDocument/2006/relationships/hyperlink" Id="rId296" Target="pubmed.gov/39636981" TargetMode="External" /><Relationship Type="http://schemas.openxmlformats.org/officeDocument/2006/relationships/hyperlink" Id="rId295" Target="pubmed.gov/39637006" TargetMode="External" /><Relationship Type="http://schemas.openxmlformats.org/officeDocument/2006/relationships/hyperlink" Id="rId300"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2026-01-09T22:14:32Z</dcterms:created>
  <dcterms:modified xsi:type="dcterms:W3CDTF">2026-01-09T22:14:32Z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09,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