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178.png" ContentType="image/png"/>
  <Override PartName="/word/media/rId181.png" ContentType="image/png"/>
  <Override PartName="/word/media/rId184.png" ContentType="image/png"/>
  <Override PartName="/word/media/rId165.png" ContentType="image/png"/>
  <Override PartName="/word/media/rId174.png" ContentType="image/png"/>
  <Override PartName="/word/media/rId125.png" ContentType="image/png"/>
  <Override PartName="/word/media/rId139.png" ContentType="image/png"/>
  <Override PartName="/word/media/rId156.png" ContentType="image/png"/>
  <Override PartName="/word/media/rId133.png" ContentType="image/png"/>
  <Override PartName="/word/media/rId136.png" ContentType="image/png"/>
  <Override PartName="/word/media/rId142.png" ContentType="image/png"/>
  <Override PartName="/word/media/rId145.png" ContentType="image/png"/>
  <Override PartName="/word/media/rId148.png" ContentType="image/png"/>
  <Override PartName="/word/media/rId151.png" ContentType="image/png"/>
  <Override PartName="/word/media/rId117.png" ContentType="image/png"/>
  <Override PartName="/word/media/rId108.png" ContentType="image/png"/>
  <Override PartName="/word/media/rId113.png" ContentType="image/png"/>
  <Override PartName="/word/media/rId20.png" ContentType="image/png"/>
  <Override PartName="/word/media/rId244.png" ContentType="image/png"/>
  <Override PartName="/word/media/rId272.png" ContentType="image/png"/>
  <Override PartName="/word/media/rId307.png" ContentType="image/png"/>
  <Override PartName="/word/media/rId314.png" ContentType="image/png"/>
  <Override PartName="/word/media/rId298.png" ContentType="image/png"/>
  <Override PartName="/word/media/rId335.png" ContentType="image/png"/>
  <Override PartName="/word/media/rId326.png" ContentType="image/png"/>
  <Override PartName="/word/media/rId332.png" ContentType="image/png"/>
  <Override PartName="/word/media/rId329.png" ContentType="image/png"/>
  <Override PartName="/word/media/rId269.png" ContentType="image/png"/>
  <Override PartName="/word/media/rId45.png" ContentType="image/png"/>
  <Override PartName="/word/media/rId49.png" ContentType="image/png"/>
  <Override PartName="/word/media/rId53.png" ContentType="image/png"/>
  <Override PartName="/word/media/rId373.png" ContentType="image/png"/>
  <Override PartName="/word/media/rId370.png" ContentType="image/png"/>
  <Override PartName="/word/media/rId380.png" ContentType="image/png"/>
  <Override PartName="/word/media/rId376.png" ContentType="image/png"/>
  <Override PartName="/word/media/rId190.png" ContentType="image/png"/>
  <Override PartName="/word/media/rId206.png" ContentType="image/png"/>
  <Override PartName="/word/media/rId231.png" ContentType="image/png"/>
  <Override PartName="/word/media/rId221.png" ContentType="image/png"/>
  <Override PartName="/word/media/rId225.png" ContentType="image/png"/>
  <Override PartName="/word/media/rId202.png" ContentType="image/png"/>
  <Override PartName="/word/media/rId209.png" ContentType="image/png"/>
  <Override PartName="/word/media/rId217.png" ContentType="image/png"/>
  <Override PartName="/word/media/rId198.png" ContentType="image/png"/>
  <Override PartName="/word/media/rId213.png" ContentType="image/png"/>
  <Override PartName="/word/media/rId87.png" ContentType="image/png"/>
  <Override PartName="/word/media/rId97.png" ContentType="image/png"/>
  <Override PartName="/word/media/rId90.png" ContentType="image/png"/>
  <Override PartName="/word/media/rId67.png" ContentType="image/png"/>
  <Override PartName="/word/media/rId348.png" ContentType="image/png"/>
  <Override PartName="/word/media/rId351.png" ContentType="image/png"/>
  <Override PartName="/word/media/rId355.png" ContentType="image/png"/>
  <Override PartName="/word/media/rId359.png" ContentType="image/png"/>
  <Override PartName="/word/media/rId340.png" ContentType="image/png"/>
  <Override PartName="/word/media/rId363.png" ContentType="image/png"/>
  <Override PartName="/word/media/rId3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June</w:t>
      </w:r>
      <w:r>
        <w:t xml:space="preserve"> </w:t>
      </w:r>
      <w:r>
        <w:t xml:space="preserve">06,</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4" w:name="about"/>
    <w:p>
      <w:pPr>
        <w:pStyle w:val="Heading1"/>
      </w:pPr>
      <w:r>
        <w:t xml:space="preserve">About</w:t>
      </w:r>
    </w:p>
    <w:p>
      <w:pPr>
        <w:pStyle w:val="FirstParagraph"/>
      </w:pPr>
      <w:r>
        <w:t xml:space="preserve">What is the essence/purpose of this course or module (2-3 sentences).</w:t>
      </w:r>
    </w:p>
    <w:p>
      <w:pPr>
        <w:pStyle w:val="CaptionedFigure"/>
      </w:pPr>
      <w:r>
        <w:drawing>
          <wp:inline>
            <wp:extent cx="4825830" cy="1107066"/>
            <wp:effectExtent b="0" l="0" r="0" t="0"/>
            <wp:docPr descr="Figure 0.1: C-MOOR logo" title="" id="21" name="Picture"/>
            <a:graphic>
              <a:graphicData uri="http://schemas.openxmlformats.org/drawingml/2006/picture">
                <pic:pic>
                  <pic:nvPicPr>
                    <pic:cNvPr descr="assets/C-MOOR_Template/c-moor-logo-horizontal.png" id="22" name="Picture"/>
                    <pic:cNvPicPr>
                      <a:picLocks noChangeArrowheads="1" noChangeAspect="1"/>
                    </pic:cNvPicPr>
                  </pic:nvPicPr>
                  <pic:blipFill>
                    <a:blip r:embed="rId20"/>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3" w:name="fig:unnamed-chunk-1"/>
      <w:bookmarkEnd w:id="23"/>
      <w:r>
        <w:t xml:space="preserve">Figure 0.1: C-MOOR logo</w:t>
      </w:r>
    </w:p>
    <w:bookmarkStart w:id="24" w:name="audience-and-prerequisites"/>
    <w:p>
      <w:pPr>
        <w:pStyle w:val="Heading3"/>
      </w:pPr>
      <w:r>
        <w:t xml:space="preserve">Audience and Prerequisites</w:t>
      </w:r>
    </w:p>
    <w:p>
      <w:pPr>
        <w:pStyle w:val="FirstParagraph"/>
      </w:pPr>
      <w:r>
        <w:t xml:space="preserve">What is the target audience?</w:t>
      </w:r>
    </w:p>
    <w:p>
      <w:pPr>
        <w:pStyle w:val="BodyText"/>
      </w:pPr>
      <w:r>
        <w:rPr>
          <w:bCs/>
          <w:b/>
        </w:rPr>
        <w:t xml:space="preserve">Prerequisites</w:t>
      </w:r>
      <w:r>
        <w:t xml:space="preserve">:</w:t>
      </w:r>
    </w:p>
    <w:p>
      <w:pPr>
        <w:numPr>
          <w:ilvl w:val="0"/>
          <w:numId w:val="1001"/>
        </w:numPr>
        <w:pStyle w:val="Compact"/>
      </w:pPr>
      <w:r>
        <w:t xml:space="preserve">Prereq 1</w:t>
      </w:r>
    </w:p>
    <w:p>
      <w:pPr>
        <w:numPr>
          <w:ilvl w:val="0"/>
          <w:numId w:val="1001"/>
        </w:numPr>
        <w:pStyle w:val="Compact"/>
      </w:pPr>
      <w:r>
        <w:t xml:space="preserve">Prereq 2</w:t>
      </w:r>
    </w:p>
    <w:p>
      <w:pPr>
        <w:pStyle w:val="FirstParagraph"/>
      </w:pPr>
      <w:r>
        <w:t xml:space="preserve">Why are these needed? Provide a brief explanation that will help instructors decide whether it’s a good fit for their students.</w:t>
      </w:r>
    </w:p>
    <w:bookmarkEnd w:id="24"/>
    <w:bookmarkStart w:id="25" w:name="format"/>
    <w:p>
      <w:pPr>
        <w:pStyle w:val="Heading3"/>
      </w:pPr>
      <w:r>
        <w:t xml:space="preserve">Format</w:t>
      </w:r>
    </w:p>
    <w:p>
      <w:pPr>
        <w:numPr>
          <w:ilvl w:val="0"/>
          <w:numId w:val="1002"/>
        </w:numPr>
        <w:pStyle w:val="Compact"/>
      </w:pPr>
      <w:r>
        <w:rPr>
          <w:bCs/>
          <w:b/>
        </w:rPr>
        <w:t xml:space="preserve">Class Type:</w:t>
      </w:r>
    </w:p>
    <w:p>
      <w:pPr>
        <w:numPr>
          <w:ilvl w:val="0"/>
          <w:numId w:val="1002"/>
        </w:numPr>
        <w:pStyle w:val="Compact"/>
      </w:pPr>
      <w:r>
        <w:rPr>
          <w:bCs/>
          <w:b/>
        </w:rPr>
        <w:t xml:space="preserve">Lesson Length:</w:t>
      </w:r>
    </w:p>
    <w:bookmarkEnd w:id="25"/>
    <w:bookmarkStart w:id="26" w:name="learning-goals"/>
    <w:p>
      <w:pPr>
        <w:pStyle w:val="Heading3"/>
      </w:pPr>
      <w:r>
        <w:t xml:space="preserve">Learning Goals</w:t>
      </w:r>
    </w:p>
    <w:p>
      <w:pPr>
        <w:numPr>
          <w:ilvl w:val="0"/>
          <w:numId w:val="1003"/>
        </w:numPr>
        <w:pStyle w:val="Compact"/>
      </w:pPr>
      <w:r>
        <w:t xml:space="preserve">Goal 1</w:t>
      </w:r>
    </w:p>
    <w:p>
      <w:pPr>
        <w:numPr>
          <w:ilvl w:val="0"/>
          <w:numId w:val="1003"/>
        </w:numPr>
        <w:pStyle w:val="Compact"/>
      </w:pPr>
      <w:r>
        <w:t xml:space="preserve">Goal 2</w:t>
      </w:r>
    </w:p>
    <w:p>
      <w:pPr>
        <w:numPr>
          <w:ilvl w:val="0"/>
          <w:numId w:val="1003"/>
        </w:numPr>
        <w:pStyle w:val="Compact"/>
      </w:pPr>
      <w:r>
        <w:t xml:space="preserve">Goal 3</w:t>
      </w:r>
    </w:p>
    <w:bookmarkEnd w:id="26"/>
    <w:bookmarkStart w:id="32" w:name="core-competencies"/>
    <w:p>
      <w:pPr>
        <w:pStyle w:val="Heading3"/>
      </w:pPr>
      <w:r>
        <w:t xml:space="preserve">Core Competencies</w:t>
      </w:r>
    </w:p>
    <w:p>
      <w:pPr>
        <w:pStyle w:val="FirstParagraph"/>
      </w:pPr>
      <w:r>
        <w:t xml:space="preserve">This activity addresses the following core concepts and competencies:</w:t>
      </w:r>
    </w:p>
    <w:p>
      <w:pPr>
        <w:pStyle w:val="BodyText"/>
      </w:pPr>
      <w:r>
        <w:rPr>
          <w:bCs/>
          <w:b/>
        </w:rPr>
        <w:t xml:space="preserve">Vision and Change</w:t>
      </w:r>
    </w:p>
    <w:p>
      <w:pPr>
        <w:pStyle w:val="BodyText"/>
      </w:pPr>
      <w:r>
        <w:rPr>
          <w:bCs/>
          <w:b/>
        </w:rPr>
        <w:t xml:space="preserve">Genetics</w:t>
      </w:r>
    </w:p>
    <w:p>
      <w:pPr>
        <w:pStyle w:val="BodyText"/>
      </w:pPr>
      <w:r>
        <w:rPr>
          <w:bCs/>
          <w:b/>
        </w:rPr>
        <w:t xml:space="preserve">Bioinformatics</w:t>
      </w:r>
    </w:p>
    <w:p>
      <w:pPr>
        <w:pStyle w:val="BodyText"/>
      </w:pPr>
      <w:r>
        <w:t xml:space="preserve">Core concepts and competencies are taken from the following sources:</w:t>
      </w:r>
    </w:p>
    <w:p>
      <w:pPr>
        <w:numPr>
          <w:ilvl w:val="0"/>
          <w:numId w:val="1004"/>
        </w:numPr>
        <w:pStyle w:val="Compact"/>
      </w:pPr>
      <w:hyperlink r:id="rId27">
        <w:r>
          <w:rPr>
            <w:rStyle w:val="Hyperlink"/>
          </w:rPr>
          <w:t xml:space="preserve">Vision and Change in Undergraduate Biology Education</w:t>
        </w:r>
      </w:hyperlink>
      <w:r>
        <w:t xml:space="preserve"> </w:t>
      </w:r>
      <w:r>
        <w:t xml:space="preserve">AAAS report</w:t>
      </w:r>
    </w:p>
    <w:p>
      <w:pPr>
        <w:numPr>
          <w:ilvl w:val="0"/>
          <w:numId w:val="1004"/>
        </w:numPr>
        <w:pStyle w:val="Compact"/>
      </w:pPr>
      <w:hyperlink r:id="rId28">
        <w:r>
          <w:rPr>
            <w:rStyle w:val="Hyperlink"/>
          </w:rPr>
          <w:t xml:space="preserve">Genetics Core Competencies</w:t>
        </w:r>
      </w:hyperlink>
      <w:r>
        <w:t xml:space="preserve"> </w:t>
      </w:r>
      <w:r>
        <w:t xml:space="preserve">by</w:t>
      </w:r>
      <w:r>
        <w:t xml:space="preserve"> </w:t>
      </w:r>
      <w:hyperlink r:id="rId29">
        <w:r>
          <w:rPr>
            <w:rStyle w:val="Hyperlink"/>
          </w:rPr>
          <w:t xml:space="preserve">GSA</w:t>
        </w:r>
      </w:hyperlink>
    </w:p>
    <w:p>
      <w:pPr>
        <w:numPr>
          <w:ilvl w:val="0"/>
          <w:numId w:val="1004"/>
        </w:numPr>
        <w:pStyle w:val="Compact"/>
      </w:pPr>
      <w:hyperlink r:id="rId30">
        <w:r>
          <w:rPr>
            <w:rStyle w:val="Hyperlink"/>
          </w:rPr>
          <w:t xml:space="preserve">Bioinformatics core competencies for undergraduate life sciences education</w:t>
        </w:r>
      </w:hyperlink>
      <w:r>
        <w:t xml:space="preserve"> </w:t>
      </w:r>
      <w:r>
        <w:t xml:space="preserve">by</w:t>
      </w:r>
      <w:r>
        <w:t xml:space="preserve"> </w:t>
      </w:r>
      <w:hyperlink r:id="rId31">
        <w:r>
          <w:rPr>
            <w:rStyle w:val="Hyperlink"/>
          </w:rPr>
          <w:t xml:space="preserve">NIBLSE</w:t>
        </w:r>
      </w:hyperlink>
    </w:p>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p>
    <w:bookmarkEnd w:id="35"/>
    <w:bookmarkStart w:id="40" w:name="what-is-c-moor"/>
    <w:p>
      <w:pPr>
        <w:pStyle w:val="Heading3"/>
      </w:pPr>
      <w:r>
        <w:rPr>
          <w:rStyle w:val="SectionNumber"/>
        </w:rPr>
        <w:t xml:space="preserve">0.0.1</w:t>
      </w:r>
      <w:r>
        <w:tab/>
      </w:r>
      <w:r>
        <w:t xml:space="preserve">What is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drawing>
          <wp:inline>
            <wp:extent cx="5334000" cy="3000375"/>
            <wp:effectExtent b="0" l="0" r="0" t="0"/>
            <wp:docPr descr="" title="" id="37" name="Picture"/>
            <a:graphic>
              <a:graphicData uri="http://schemas.openxmlformats.org/drawingml/2006/picture">
                <pic:pic>
                  <pic:nvPicPr>
                    <pic:cNvPr descr="about-c-moor_files/figure-docx//1dI8-_iVqbkzNMf11M4dK85E8ZW3OyZECs_YwMKw5fhs_g365128907e6_0_158.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Over the years, C-MOOR has expanded its curricula to include RNA-seq, scRNA-seq, 16S amplicon sequencing, and WGS modules. Here’s some statistics about C-MOOR students:</w:t>
      </w:r>
    </w:p>
    <w:p>
      <w:pPr>
        <w:numPr>
          <w:ilvl w:val="0"/>
          <w:numId w:val="1005"/>
        </w:numPr>
        <w:pStyle w:val="Compact"/>
      </w:pPr>
      <w:r>
        <w:rPr>
          <w:bCs/>
          <w:b/>
        </w:rPr>
        <w:t xml:space="preserve">Students taught:</w:t>
      </w:r>
      <w:r>
        <w:t xml:space="preserve"> </w:t>
      </w:r>
      <w:r>
        <w:t xml:space="preserve">950+.</w:t>
      </w:r>
    </w:p>
    <w:p>
      <w:pPr>
        <w:numPr>
          <w:ilvl w:val="0"/>
          <w:numId w:val="1005"/>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5"/>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39">
        <w:r>
          <w:rPr>
            <w:rStyle w:val="Hyperlink"/>
          </w:rPr>
          <w:t xml:space="preserve">here</w:t>
        </w:r>
      </w:hyperlink>
      <w:r>
        <w:t xml:space="preserve">!</w:t>
      </w:r>
    </w:p>
    <w:p>
      <w:pPr>
        <w:numPr>
          <w:ilvl w:val="0"/>
          <w:numId w:val="1005"/>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40"/>
    <w:bookmarkStart w:id="42" w:name="why-data-science"/>
    <w:p>
      <w:pPr>
        <w:pStyle w:val="Heading3"/>
      </w:pPr>
      <w:r>
        <w:rPr>
          <w:rStyle w:val="SectionNumber"/>
        </w:rPr>
        <w:t xml:space="preserve">0.0.2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41">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42"/>
    <w:bookmarkStart w:id="43" w:name="learning-goals-1"/>
    <w:p>
      <w:pPr>
        <w:pStyle w:val="Heading3"/>
      </w:pPr>
      <w:r>
        <w:rPr>
          <w:rStyle w:val="SectionNumber"/>
        </w:rPr>
        <w:t xml:space="preserve">0.0.3</w:t>
      </w:r>
      <w:r>
        <w:tab/>
      </w:r>
      <w:r>
        <w:t xml:space="preserve">Learning Goals</w:t>
      </w:r>
    </w:p>
    <w:p>
      <w:pPr>
        <w:numPr>
          <w:ilvl w:val="0"/>
          <w:numId w:val="1006"/>
        </w:numPr>
        <w:pStyle w:val="Compact"/>
      </w:pPr>
      <w:r>
        <w:t xml:space="preserve">Engage with real and current scientific data</w:t>
      </w:r>
    </w:p>
    <w:p>
      <w:pPr>
        <w:numPr>
          <w:ilvl w:val="0"/>
          <w:numId w:val="1006"/>
        </w:numPr>
        <w:pStyle w:val="Compact"/>
      </w:pPr>
      <w:r>
        <w:t xml:space="preserve">Explore available research resources online</w:t>
      </w:r>
    </w:p>
    <w:p>
      <w:pPr>
        <w:numPr>
          <w:ilvl w:val="0"/>
          <w:numId w:val="1006"/>
        </w:numPr>
        <w:pStyle w:val="Compact"/>
      </w:pPr>
      <w:r>
        <w:t xml:space="preserve">Recognize the interdisciplinary nature of biological sciences</w:t>
      </w:r>
    </w:p>
    <w:p>
      <w:pPr>
        <w:numPr>
          <w:ilvl w:val="0"/>
          <w:numId w:val="1006"/>
        </w:numPr>
        <w:pStyle w:val="Compact"/>
      </w:pPr>
      <w:r>
        <w:t xml:space="preserve">Synthesize findings from scientific literature</w:t>
      </w:r>
    </w:p>
    <w:p>
      <w:pPr>
        <w:numPr>
          <w:ilvl w:val="0"/>
          <w:numId w:val="1006"/>
        </w:numPr>
        <w:pStyle w:val="Compact"/>
      </w:pPr>
      <w:r>
        <w:t xml:space="preserve">Summarize findings and discuss results with your peers</w:t>
      </w:r>
    </w:p>
    <w:p>
      <w:pPr>
        <w:numPr>
          <w:ilvl w:val="0"/>
          <w:numId w:val="1006"/>
        </w:numPr>
        <w:pStyle w:val="Compact"/>
      </w:pPr>
      <w:r>
        <w:t xml:space="preserve">Collaborate with peers on a data exploration activity</w:t>
      </w:r>
    </w:p>
    <w:bookmarkEnd w:id="43"/>
    <w:bookmarkEnd w:id="44"/>
    <w:bookmarkStart w:id="61" w:name="how-to-use-a-c-moor-curriculum"/>
    <w:p>
      <w:pPr>
        <w:pStyle w:val="Heading1"/>
      </w:pPr>
      <w:r>
        <w:rPr>
          <w:rStyle w:val="SectionNumber"/>
        </w:rPr>
        <w:t xml:space="preserve">1</w:t>
      </w:r>
      <w:r>
        <w:tab/>
      </w:r>
      <w:r>
        <w:t xml:space="preserve">How to use a C-MOOR curriculum</w:t>
      </w:r>
    </w:p>
    <w:p>
      <w:pPr>
        <w:pStyle w:val="FirstParagraph"/>
      </w:pPr>
      <w:r>
        <w:t xml:space="preserve">There are 3 major components of a C-MOOR curriculum:</w:t>
      </w:r>
    </w:p>
    <w:p>
      <w:pPr>
        <w:numPr>
          <w:ilvl w:val="0"/>
          <w:numId w:val="1007"/>
        </w:numPr>
        <w:pStyle w:val="Compact"/>
      </w:pPr>
      <w:r>
        <w:t xml:space="preserve">The OTTR book (what you’re reading right now)</w:t>
      </w:r>
    </w:p>
    <w:p>
      <w:pPr>
        <w:numPr>
          <w:ilvl w:val="0"/>
          <w:numId w:val="1007"/>
        </w:numPr>
        <w:pStyle w:val="Compact"/>
      </w:pPr>
      <w:r>
        <w:t xml:space="preserve">The interactive learn modules that are run a cloud platform</w:t>
      </w:r>
    </w:p>
    <w:p>
      <w:pPr>
        <w:numPr>
          <w:ilvl w:val="0"/>
          <w:numId w:val="1007"/>
        </w:numPr>
        <w:pStyle w:val="Compact"/>
      </w:pPr>
      <w:r>
        <w:t xml:space="preserve">The assignments that link the book to the modules</w:t>
      </w:r>
    </w:p>
    <w:p>
      <w:pPr>
        <w:pStyle w:val="FirstParagraph"/>
      </w:pPr>
      <w:r>
        <w:t xml:space="preserve">In this section, we’ll quickly cover what each component does, where it’s found, and how to use that resource.</w:t>
      </w:r>
    </w:p>
    <w:bookmarkStart w:id="48" w:name="ottr-books"/>
    <w:p>
      <w:pPr>
        <w:pStyle w:val="Heading3"/>
      </w:pPr>
      <w:r>
        <w:rPr>
          <w:rStyle w:val="SectionNumber"/>
        </w:rPr>
        <w:t xml:space="preserve">1.0.1</w:t>
      </w:r>
      <w:r>
        <w:tab/>
      </w:r>
      <w:r>
        <w:t xml:space="preserve">OTTR books</w:t>
      </w:r>
    </w:p>
    <w:p>
      <w:pPr>
        <w:pStyle w:val="FirstParagraph"/>
      </w:pPr>
      <w:r>
        <w:drawing>
          <wp:inline>
            <wp:extent cx="5334000" cy="3000375"/>
            <wp:effectExtent b="0" l="0" r="0" t="0"/>
            <wp:docPr descr="" title="" id="46" name="Picture"/>
            <a:graphic>
              <a:graphicData uri="http://schemas.openxmlformats.org/drawingml/2006/picture">
                <pic:pic>
                  <pic:nvPicPr>
                    <pic:cNvPr descr="how-to-use-this-book_files/figure-docx//1dI8-_iVqbkzNMf11M4dK85E8ZW3OyZECs_YwMKw5fhs_g3636f786a65_0_249.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OTTR book is essentially a coursebook for that particular curriculum. We have OTTR books for each major curricula and a separate book for our model organisms and biological databases unit. This is where you will find the following:</w:t>
      </w:r>
    </w:p>
    <w:p>
      <w:pPr>
        <w:numPr>
          <w:ilvl w:val="0"/>
          <w:numId w:val="1008"/>
        </w:numPr>
        <w:pStyle w:val="Compact"/>
      </w:pPr>
      <w:r>
        <w:rPr>
          <w:bCs/>
          <w:b/>
        </w:rPr>
        <w:t xml:space="preserve">Lectures:</w:t>
      </w:r>
      <w:r>
        <w:t xml:space="preserve"> </w:t>
      </w:r>
      <w:r>
        <w:t xml:space="preserve">In their own sections titled</w:t>
      </w:r>
      <w:r>
        <w:t xml:space="preserve"> </w:t>
      </w:r>
      <w:r>
        <w:t xml:space="preserve">‘</w:t>
      </w:r>
      <w:r>
        <w:t xml:space="preserve">Lab Slides</w:t>
      </w:r>
      <w:r>
        <w:t xml:space="preserve">’</w:t>
      </w:r>
      <w:r>
        <w:t xml:space="preserve"> </w:t>
      </w:r>
      <w:r>
        <w:t xml:space="preserve">or</w:t>
      </w:r>
      <w:r>
        <w:t xml:space="preserve"> </w:t>
      </w:r>
      <w:r>
        <w:t xml:space="preserve">‘</w:t>
      </w:r>
      <w:r>
        <w:t xml:space="preserve">Lecture</w:t>
      </w:r>
      <w:r>
        <w:t xml:space="preserve">’</w:t>
      </w:r>
    </w:p>
    <w:p>
      <w:pPr>
        <w:numPr>
          <w:ilvl w:val="0"/>
          <w:numId w:val="1008"/>
        </w:numPr>
        <w:pStyle w:val="Compact"/>
      </w:pPr>
      <w:r>
        <w:rPr>
          <w:bCs/>
          <w:b/>
        </w:rPr>
        <w:t xml:space="preserve">Assignments and Activities:</w:t>
      </w:r>
      <w:r>
        <w:t xml:space="preserve"> </w:t>
      </w:r>
      <w:r>
        <w:t xml:space="preserve">In the sections titled</w:t>
      </w:r>
      <w:r>
        <w:t xml:space="preserve"> </w:t>
      </w:r>
      <w:r>
        <w:t xml:space="preserve">‘</w:t>
      </w:r>
      <w:r>
        <w:t xml:space="preserve">Pre-labs</w:t>
      </w:r>
      <w:r>
        <w:t xml:space="preserve">’</w:t>
      </w:r>
      <w:r>
        <w:t xml:space="preserve">,</w:t>
      </w:r>
      <w:r>
        <w:t xml:space="preserve"> </w:t>
      </w:r>
      <w:r>
        <w:t xml:space="preserve">‘</w:t>
      </w:r>
      <w:r>
        <w:t xml:space="preserve">Activities</w:t>
      </w:r>
      <w:r>
        <w:t xml:space="preserve">’</w:t>
      </w:r>
      <w:r>
        <w:t xml:space="preserve">,</w:t>
      </w:r>
      <w:r>
        <w:t xml:space="preserve"> </w:t>
      </w:r>
      <w:r>
        <w:t xml:space="preserve">‘</w:t>
      </w:r>
      <w:r>
        <w:t xml:space="preserve">Discussions</w:t>
      </w:r>
      <w:r>
        <w:t xml:space="preserve">’</w:t>
      </w:r>
      <w:r>
        <w:t xml:space="preserve">, and</w:t>
      </w:r>
      <w:r>
        <w:t xml:space="preserve"> </w:t>
      </w:r>
      <w:r>
        <w:t xml:space="preserve">‘</w:t>
      </w:r>
      <w:r>
        <w:t xml:space="preserve">Presentations</w:t>
      </w:r>
      <w:r>
        <w:t xml:space="preserve">’</w:t>
      </w:r>
      <w:r>
        <w:t xml:space="preserve">. You can find the instructions, goals, and estimated time needed for each respective section. The main body of each will also contain the text (instructions, purpose, questions) for the Google Doc or other resources found at the bottom of the page. We create these Google Drive resources for you to copy, download, and edit as your class sees fit to do so. Our instructors have students download these resources locally, fill them out on their own computer or Google Drive and submit them through your school’s learning management system.</w:t>
      </w:r>
    </w:p>
    <w:p>
      <w:pPr>
        <w:numPr>
          <w:ilvl w:val="0"/>
          <w:numId w:val="1008"/>
        </w:numPr>
        <w:pStyle w:val="Compact"/>
      </w:pPr>
      <w:r>
        <w:rPr>
          <w:bCs/>
          <w:b/>
        </w:rPr>
        <w:t xml:space="preserve">Related resources</w:t>
      </w:r>
      <w:r>
        <w:t xml:space="preserve">: At the bottom of every page, we have a list of links to resources relating to that specific section. For example, we would link our blank assignments for all our assignments here. We also provide guides for students (currently only available for our RNA-seq offerings). We are working to make all of these resources also available in the appendix of each OTTR book.</w:t>
      </w:r>
    </w:p>
    <w:bookmarkEnd w:id="48"/>
    <w:bookmarkStart w:id="52" w:name="interactive-learnr-modules-on-the-cloud"/>
    <w:p>
      <w:pPr>
        <w:pStyle w:val="Heading3"/>
      </w:pPr>
      <w:r>
        <w:rPr>
          <w:rStyle w:val="SectionNumber"/>
        </w:rPr>
        <w:t xml:space="preserve">1.0.2</w:t>
      </w:r>
      <w:r>
        <w:tab/>
      </w:r>
      <w:r>
        <w:t xml:space="preserve">Interactive learnr modules on the cloud</w:t>
      </w:r>
    </w:p>
    <w:p>
      <w:pPr>
        <w:pStyle w:val="FirstParagraph"/>
      </w:pPr>
      <w:r>
        <w:drawing>
          <wp:inline>
            <wp:extent cx="5334000" cy="3000375"/>
            <wp:effectExtent b="0" l="0" r="0" t="0"/>
            <wp:docPr descr="" title="" id="50" name="Picture"/>
            <a:graphic>
              <a:graphicData uri="http://schemas.openxmlformats.org/drawingml/2006/picture">
                <pic:pic>
                  <pic:nvPicPr>
                    <pic:cNvPr descr="how-to-use-this-book_files/figure-docx//1dI8-_iVqbkzNMf11M4dK85E8ZW3OyZECs_YwMKw5fhs_g37285a4c239_0_1.png" id="51" name="Picture"/>
                    <pic:cNvPicPr>
                      <a:picLocks noChangeArrowheads="1" noChangeAspect="1"/>
                    </pic:cNvPicPr>
                  </pic:nvPicPr>
                  <pic:blipFill>
                    <a:blip r:embed="rId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learnr modules contain self-paced lessons and all the resources students will need to complete their research projects. Through these modules students will generate plots using interactive code chunks and take non-graded try-as-many-times-as-you-want quizzes to better refine their understanding of how to work with their data and the underlying biological and statistical concepts.</w:t>
      </w:r>
    </w:p>
    <w:p>
      <w:pPr>
        <w:pStyle w:val="BodyText"/>
      </w:pPr>
      <w:r>
        <w:t xml:space="preserve">Please see the sections on setting up on a cloud platform for more details on how to run these modules.</w:t>
      </w:r>
    </w:p>
    <w:bookmarkEnd w:id="52"/>
    <w:bookmarkStart w:id="56" w:name="related-resources"/>
    <w:p>
      <w:pPr>
        <w:pStyle w:val="Heading3"/>
      </w:pPr>
      <w:r>
        <w:rPr>
          <w:rStyle w:val="SectionNumber"/>
        </w:rPr>
        <w:t xml:space="preserve">1.0.3</w:t>
      </w:r>
      <w:r>
        <w:tab/>
      </w:r>
      <w:r>
        <w:t xml:space="preserve">Related resources</w:t>
      </w:r>
    </w:p>
    <w:p>
      <w:pPr>
        <w:pStyle w:val="FirstParagraph"/>
      </w:pPr>
      <w:r>
        <w:drawing>
          <wp:inline>
            <wp:extent cx="5334000" cy="3000375"/>
            <wp:effectExtent b="0" l="0" r="0" t="0"/>
            <wp:docPr descr="" title="" id="54" name="Picture"/>
            <a:graphic>
              <a:graphicData uri="http://schemas.openxmlformats.org/drawingml/2006/picture">
                <pic:pic>
                  <pic:nvPicPr>
                    <pic:cNvPr descr="how-to-use-this-book_files/figure-docx//1dI8-_iVqbkzNMf11M4dK85E8ZW3OyZECs_YwMKw5fhs_g37285a4c239_0_82.png" id="55" name="Picture"/>
                    <pic:cNvPicPr>
                      <a:picLocks noChangeArrowheads="1" noChangeAspect="1"/>
                    </pic:cNvPicPr>
                  </pic:nvPicPr>
                  <pic:blipFill>
                    <a:blip r:embed="rId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As mentioned above, at the bottom of each section of an OTTR book you can find links to resources such as assignments in Google Doc form. We’ve formatted these files to be easy for instructors and students to download, modify, and submit at their convenience. We also have guides for students to use as they work on their research projects; we are working to expand the number of guides for students to use across different curricula.</w:t>
      </w:r>
    </w:p>
    <w:bookmarkEnd w:id="56"/>
    <w:bookmarkStart w:id="60" w:name="example-lesson-how-to"/>
    <w:p>
      <w:pPr>
        <w:pStyle w:val="Heading3"/>
      </w:pPr>
      <w:r>
        <w:rPr>
          <w:rStyle w:val="SectionNumber"/>
        </w:rPr>
        <w:t xml:space="preserve">1.0.4</w:t>
      </w:r>
      <w:r>
        <w:tab/>
      </w:r>
      <w:r>
        <w:t xml:space="preserve">Example lesson how-to</w:t>
      </w:r>
    </w:p>
    <w:p>
      <w:pPr>
        <w:pStyle w:val="FirstParagraph"/>
      </w:pPr>
      <w:r>
        <w:t xml:space="preserve">Here’s an example of how to run a C-MOOR module using the</w:t>
      </w:r>
      <w:r>
        <w:t xml:space="preserve"> </w:t>
      </w:r>
      <w:hyperlink r:id="rId57">
        <w:r>
          <w:rPr>
            <w:rStyle w:val="Hyperlink"/>
          </w:rPr>
          <w:t xml:space="preserve">Differential Expression chapter of the RNA-seq miniCURE</w:t>
        </w:r>
      </w:hyperlink>
      <w:r>
        <w:t xml:space="preserve">. This chapter is chapter 5 of the OTTR book.</w:t>
      </w:r>
    </w:p>
    <w:p>
      <w:pPr>
        <w:numPr>
          <w:ilvl w:val="0"/>
          <w:numId w:val="1009"/>
        </w:numPr>
        <w:pStyle w:val="Compact"/>
      </w:pPr>
      <w:r>
        <w:t xml:space="preserve">Using the lab slides in</w:t>
      </w:r>
      <w:r>
        <w:t xml:space="preserve"> </w:t>
      </w:r>
      <w:hyperlink r:id="rId58">
        <w:r>
          <w:rPr>
            <w:rStyle w:val="Hyperlink"/>
          </w:rPr>
          <w:t xml:space="preserve">section 5.1 of the OTTR book</w:t>
        </w:r>
      </w:hyperlink>
      <w:r>
        <w:t xml:space="preserve">, the instructor guides students through what to expect in the lesson and what is in the dataset.</w:t>
      </w:r>
    </w:p>
    <w:p>
      <w:pPr>
        <w:numPr>
          <w:ilvl w:val="0"/>
          <w:numId w:val="1009"/>
        </w:numPr>
        <w:pStyle w:val="Compact"/>
      </w:pPr>
      <w:r>
        <w:t xml:space="preserve">Students launch the learnr module on the class’s chosen cloud platform.</w:t>
      </w:r>
    </w:p>
    <w:p>
      <w:pPr>
        <w:numPr>
          <w:ilvl w:val="0"/>
          <w:numId w:val="1009"/>
        </w:numPr>
        <w:pStyle w:val="Compact"/>
      </w:pPr>
      <w:r>
        <w:t xml:space="preserve">Refer to</w:t>
      </w:r>
      <w:r>
        <w:t xml:space="preserve"> </w:t>
      </w:r>
      <w:hyperlink r:id="rId59">
        <w:r>
          <w:rPr>
            <w:rStyle w:val="Hyperlink"/>
          </w:rPr>
          <w:t xml:space="preserve">section 5.2 of the OTTR book</w:t>
        </w:r>
      </w:hyperlink>
      <w:r>
        <w:t xml:space="preserve">, which directly follows the slides. Scroll to the bottom of the page and open the Google Doc in the resources section.</w:t>
      </w:r>
    </w:p>
    <w:p>
      <w:pPr>
        <w:numPr>
          <w:ilvl w:val="0"/>
          <w:numId w:val="1009"/>
        </w:numPr>
        <w:pStyle w:val="Compact"/>
      </w:pPr>
      <w:r>
        <w:t xml:space="preserve">Students download the assignment to their local computer and/or copy it to their Google Drive.</w:t>
      </w:r>
    </w:p>
    <w:p>
      <w:pPr>
        <w:numPr>
          <w:ilvl w:val="0"/>
          <w:numId w:val="1009"/>
        </w:numPr>
        <w:pStyle w:val="Compact"/>
      </w:pPr>
      <w:r>
        <w:t xml:space="preserve">Students complete the assignment following the instructions and use the learnr module to answer questions.</w:t>
      </w:r>
    </w:p>
    <w:p>
      <w:pPr>
        <w:numPr>
          <w:ilvl w:val="0"/>
          <w:numId w:val="1009"/>
        </w:numPr>
        <w:pStyle w:val="Compact"/>
      </w:pPr>
      <w:r>
        <w:t xml:space="preserve">Students turn in the assignment on their LMS or through their instructor’s chosen method.</w:t>
      </w:r>
    </w:p>
    <w:p>
      <w:pPr>
        <w:numPr>
          <w:ilvl w:val="0"/>
          <w:numId w:val="1009"/>
        </w:numPr>
        <w:pStyle w:val="Compact"/>
      </w:pPr>
      <w:r>
        <w:t xml:space="preserve">Students close their session on the cloud</w:t>
      </w:r>
    </w:p>
    <w:p>
      <w:pPr>
        <w:pStyle w:val="FirstParagraph"/>
      </w:pPr>
      <w:r>
        <w:t xml:space="preserve">Note that the majority of the text in section 5.2 of the OTTR book is identical to the downloadable assignment.</w:t>
      </w:r>
    </w:p>
    <w:bookmarkEnd w:id="60"/>
    <w:bookmarkEnd w:id="61"/>
    <w:bookmarkStart w:id="189" w:name="cloud-platforms"/>
    <w:p>
      <w:pPr>
        <w:pStyle w:val="Heading1"/>
      </w:pPr>
      <w:r>
        <w:rPr>
          <w:rStyle w:val="SectionNumber"/>
        </w:rPr>
        <w:t xml:space="preserve">2</w:t>
      </w:r>
      <w:r>
        <w:tab/>
      </w:r>
      <w:r>
        <w:t xml:space="preserve">Cloud platforms</w:t>
      </w:r>
    </w:p>
    <w:p>
      <w:pPr>
        <w:pStyle w:val="FirstParagraph"/>
      </w:pPr>
      <w:r>
        <w:t xml:space="preserve">Although you can technically run C-MOOR modules locally, we strongly recommend you use a cloud platform. The benefits of using the cloud platform:</w:t>
      </w:r>
    </w:p>
    <w:p>
      <w:pPr>
        <w:numPr>
          <w:ilvl w:val="0"/>
          <w:numId w:val="1010"/>
        </w:numPr>
        <w:pStyle w:val="Compact"/>
      </w:pPr>
      <w:r>
        <w:t xml:space="preserve">Students do not have to go through a lengthy and complicated download and installation process</w:t>
      </w:r>
    </w:p>
    <w:p>
      <w:pPr>
        <w:numPr>
          <w:ilvl w:val="0"/>
          <w:numId w:val="1010"/>
        </w:numPr>
        <w:pStyle w:val="Compact"/>
      </w:pPr>
      <w:r>
        <w:t xml:space="preserve">Students will use identical containers (computational environments) on the cloud environment, which prevents troubleshooting that might occur from differences in individual computers</w:t>
      </w:r>
    </w:p>
    <w:p>
      <w:pPr>
        <w:numPr>
          <w:ilvl w:val="0"/>
          <w:numId w:val="1010"/>
        </w:numPr>
        <w:pStyle w:val="Compact"/>
      </w:pPr>
      <w:r>
        <w:t xml:space="preserve">It’s far easier to keep with the most current version of our curriculum on a cloud platform that it does on local laptops; every time you load a container on the cloud any new updates will be pulled directly from our GitHub.</w:t>
      </w:r>
    </w:p>
    <w:p>
      <w:pPr>
        <w:pStyle w:val="FirstParagraph"/>
      </w:pPr>
      <w:r>
        <w:t xml:space="preserve">We have two different cloud platforms on which to run our modules,</w:t>
      </w:r>
      <w:r>
        <w:t xml:space="preserve"> </w:t>
      </w:r>
      <w:r>
        <w:rPr>
          <w:bCs/>
          <w:b/>
        </w:rPr>
        <w:t xml:space="preserve">SciServer</w:t>
      </w:r>
      <w:r>
        <w:t xml:space="preserve"> </w:t>
      </w:r>
      <w:r>
        <w:t xml:space="preserve">and</w:t>
      </w:r>
      <w:r>
        <w:t xml:space="preserve"> </w:t>
      </w:r>
      <w:r>
        <w:rPr>
          <w:bCs/>
          <w:b/>
        </w:rPr>
        <w:t xml:space="preserve">AnVIL</w:t>
      </w:r>
      <w:r>
        <w:t xml:space="preserve">. Your choice will depend on a number of factors, such as the budget for your course and whether you will work with restricted-access datasets.</w:t>
      </w:r>
    </w:p>
    <w:p>
      <w:pPr>
        <w:pStyle w:val="BodyText"/>
      </w:pPr>
      <w:r>
        <w:t xml:space="preserve">At this time, we are still piloting our modules on AnVIL. New instructors should read out to us as the</w:t>
      </w:r>
      <w:r>
        <w:t xml:space="preserve"> </w:t>
      </w:r>
      <w:hyperlink r:id="rId62">
        <w:r>
          <w:rPr>
            <w:rStyle w:val="Hyperlink"/>
          </w:rPr>
          <w:t xml:space="preserve">C-MOOR Academy Discussion Forum</w:t>
        </w:r>
      </w:hyperlink>
      <w:r>
        <w:t xml:space="preserve"> </w:t>
      </w:r>
      <w:r>
        <w:t xml:space="preserve">to determine which cloud platform is more appropriate for you and help get you access to our materials.</w:t>
      </w:r>
    </w:p>
    <w:bookmarkStart w:id="105" w:name="sciserver-onboarding"/>
    <w:p>
      <w:pPr>
        <w:pStyle w:val="Heading2"/>
      </w:pPr>
      <w:r>
        <w:rPr>
          <w:rStyle w:val="SectionNumber"/>
        </w:rPr>
        <w:t xml:space="preserve">2.1</w:t>
      </w:r>
      <w:r>
        <w:tab/>
      </w:r>
      <w:r>
        <w:t xml:space="preserve">SciServer Onboarding</w:t>
      </w:r>
    </w:p>
    <w:bookmarkStart w:id="81" w:name="join-sciserver"/>
    <w:p>
      <w:pPr>
        <w:pStyle w:val="Heading3"/>
      </w:pPr>
      <w:r>
        <w:rPr>
          <w:rStyle w:val="SectionNumber"/>
        </w:rPr>
        <w:t xml:space="preserve">2.1.1</w:t>
      </w:r>
      <w:r>
        <w:tab/>
      </w:r>
      <w:r>
        <w:t xml:space="preserve">Join SciServer</w:t>
      </w:r>
    </w:p>
    <w:bookmarkStart w:id="63" w:name="purpose"/>
    <w:p>
      <w:pPr>
        <w:pStyle w:val="Heading4"/>
      </w:pPr>
      <w:r>
        <w:rPr>
          <w:rStyle w:val="SectionNumber"/>
        </w:rPr>
        <w:t xml:space="preserve">2.1.1.1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63"/>
    <w:bookmarkStart w:id="66" w:name="learning-objectives"/>
    <w:p>
      <w:pPr>
        <w:pStyle w:val="Heading4"/>
      </w:pPr>
      <w:r>
        <w:rPr>
          <w:rStyle w:val="SectionNumber"/>
        </w:rPr>
        <w:t xml:space="preserve">2.1.1.2</w:t>
      </w:r>
      <w:r>
        <w:tab/>
      </w:r>
      <w:r>
        <w:t xml:space="preserve">Learning Objectives</w:t>
      </w:r>
    </w:p>
    <w:p>
      <w:pPr>
        <w:numPr>
          <w:ilvl w:val="0"/>
          <w:numId w:val="1011"/>
        </w:numPr>
        <w:pStyle w:val="Compact"/>
      </w:pPr>
      <w:r>
        <w:t xml:space="preserve">Create an account on SciServer</w:t>
      </w:r>
    </w:p>
    <w:p>
      <w:pPr>
        <w:numPr>
          <w:ilvl w:val="0"/>
          <w:numId w:val="1011"/>
        </w:numPr>
        <w:pStyle w:val="Compact"/>
      </w:pPr>
      <w:r>
        <w:t xml:space="preserve">Confirm your email address</w:t>
      </w:r>
    </w:p>
    <w:p>
      <w:pPr>
        <w:numPr>
          <w:ilvl w:val="0"/>
          <w:numId w:val="1011"/>
        </w:numPr>
        <w:pStyle w:val="Compact"/>
      </w:pPr>
      <w:r>
        <w:t xml:space="preserve">Share your username with your instructor</w:t>
      </w:r>
    </w:p>
    <w:p>
      <w:pPr>
        <w:numPr>
          <w:ilvl w:val="0"/>
          <w:numId w:val="1011"/>
        </w:numPr>
        <w:pStyle w:val="Compact"/>
      </w:pPr>
      <w:r>
        <w:t xml:space="preserve">Confirm your access to class materials on SciServer</w:t>
      </w:r>
    </w:p>
    <w:p>
      <w:pPr>
        <w:pStyle w:val="FirstParagraph"/>
      </w:pPr>
      <w:r>
        <w:t xml:space="preserve">This video (</w:t>
      </w:r>
      <w:hyperlink r:id="rId64">
        <w:r>
          <w:rPr>
            <w:rStyle w:val="Hyperlink"/>
          </w:rPr>
          <w:t xml:space="preserve">video</w:t>
        </w:r>
      </w:hyperlink>
      <w:r>
        <w:t xml:space="preserve">)(</w:t>
      </w:r>
      <w:hyperlink r:id="rId65">
        <w:r>
          <w:rPr>
            <w:rStyle w:val="Hyperlink"/>
          </w:rPr>
          <w:t xml:space="preserve">slides</w:t>
        </w:r>
      </w:hyperlink>
      <w:r>
        <w:t xml:space="preserve">) shows you how to create a SciServer account. You can follow along with the video, or follow the steps below.</w:t>
      </w:r>
    </w:p>
    <w:bookmarkEnd w:id="66"/>
    <w:bookmarkStart w:id="70" w:name="introduction"/>
    <w:p>
      <w:pPr>
        <w:pStyle w:val="Heading4"/>
      </w:pPr>
      <w:r>
        <w:rPr>
          <w:rStyle w:val="SectionNumber"/>
        </w:rPr>
        <w:t xml:space="preserve">2.1.1.3</w:t>
      </w:r>
      <w:r>
        <w:tab/>
      </w:r>
      <w:r>
        <w:t xml:space="preserve">Introduction</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68" name="Picture"/>
            <a:graphic>
              <a:graphicData uri="http://schemas.openxmlformats.org/drawingml/2006/picture">
                <pic:pic>
                  <pic:nvPicPr>
                    <pic:cNvPr descr="sciserver_files/figure-docx//1Q_U1qCEqpwknpOUG4gcuN_-w7ytPCtyfwCF5CGe5bAM_g344f6de1efa_0_5.png" id="69" name="Picture"/>
                    <pic:cNvPicPr>
                      <a:picLocks noChangeArrowheads="1" noChangeAspect="1"/>
                    </pic:cNvPicPr>
                  </pic:nvPicPr>
                  <pic:blipFill>
                    <a:blip r:embed="rId67"/>
                    <a:stretch>
                      <a:fillRect/>
                    </a:stretch>
                  </pic:blipFill>
                  <pic:spPr bwMode="auto">
                    <a:xfrm>
                      <a:off x="0" y="0"/>
                      <a:ext cx="5334000" cy="3000375"/>
                    </a:xfrm>
                    <a:prstGeom prst="rect">
                      <a:avLst/>
                    </a:prstGeom>
                    <a:noFill/>
                    <a:ln w="9525">
                      <a:noFill/>
                      <a:headEnd/>
                      <a:tailEnd/>
                    </a:ln>
                  </pic:spPr>
                </pic:pic>
              </a:graphicData>
            </a:graphic>
          </wp:inline>
        </w:drawing>
      </w:r>
    </w:p>
    <w:bookmarkEnd w:id="70"/>
    <w:bookmarkStart w:id="72" w:name="part-1-create-an-account-on-sciserver"/>
    <w:p>
      <w:pPr>
        <w:pStyle w:val="Heading4"/>
      </w:pPr>
      <w:r>
        <w:rPr>
          <w:rStyle w:val="SectionNumber"/>
        </w:rPr>
        <w:t xml:space="preserve">2.1.1.4</w:t>
      </w:r>
      <w:r>
        <w:tab/>
      </w:r>
      <w:r>
        <w:t xml:space="preserve">Part 1 – Create an account on SciServer</w:t>
      </w:r>
    </w:p>
    <w:p>
      <w:pPr>
        <w:numPr>
          <w:ilvl w:val="0"/>
          <w:numId w:val="1012"/>
        </w:numPr>
        <w:pStyle w:val="Compact"/>
      </w:pPr>
      <w:r>
        <w:t xml:space="preserve">Open</w:t>
      </w:r>
      <w:r>
        <w:t xml:space="preserve"> </w:t>
      </w:r>
      <w:hyperlink r:id="rId71">
        <w:r>
          <w:rPr>
            <w:rStyle w:val="Hyperlink"/>
          </w:rPr>
          <w:t xml:space="preserve">sciserver.org</w:t>
        </w:r>
      </w:hyperlink>
      <w:r>
        <w:t xml:space="preserve"> </w:t>
      </w:r>
      <w:r>
        <w:t xml:space="preserve">in a web browser</w:t>
      </w:r>
    </w:p>
    <w:p>
      <w:pPr>
        <w:numPr>
          <w:ilvl w:val="1"/>
          <w:numId w:val="1013"/>
        </w:numPr>
        <w:pStyle w:val="Compact"/>
      </w:pPr>
      <w:r>
        <w:t xml:space="preserve">It is a good idea to bookmark this page so that you can easily access it throughout the course.</w:t>
      </w:r>
    </w:p>
    <w:p>
      <w:pPr>
        <w:numPr>
          <w:ilvl w:val="0"/>
          <w:numId w:val="1012"/>
        </w:numPr>
        <w:pStyle w:val="Compact"/>
      </w:pPr>
      <w:r>
        <w:t xml:space="preserve">Click</w:t>
      </w:r>
      <w:r>
        <w:t xml:space="preserve"> </w:t>
      </w:r>
      <w:r>
        <w:t xml:space="preserve">“</w:t>
      </w:r>
      <w:r>
        <w:t xml:space="preserve">Login to SciServer</w:t>
      </w:r>
      <w:r>
        <w:t xml:space="preserve">”</w:t>
      </w:r>
    </w:p>
    <w:p>
      <w:pPr>
        <w:numPr>
          <w:ilvl w:val="0"/>
          <w:numId w:val="1012"/>
        </w:numPr>
        <w:pStyle w:val="Compact"/>
      </w:pPr>
      <w:r>
        <w:t xml:space="preserve">Click</w:t>
      </w:r>
      <w:r>
        <w:t xml:space="preserve"> </w:t>
      </w:r>
      <w:r>
        <w:t xml:space="preserve">“</w:t>
      </w:r>
      <w:r>
        <w:t xml:space="preserve">Create a new account</w:t>
      </w:r>
      <w:r>
        <w:t xml:space="preserve">”</w:t>
      </w:r>
    </w:p>
    <w:p>
      <w:pPr>
        <w:numPr>
          <w:ilvl w:val="0"/>
          <w:numId w:val="1012"/>
        </w:numPr>
        <w:pStyle w:val="Compact"/>
      </w:pPr>
      <w:r>
        <w:t xml:space="preserve">Enter a User name, Email, etc. and click</w:t>
      </w:r>
      <w:r>
        <w:t xml:space="preserve"> </w:t>
      </w:r>
      <w:r>
        <w:t xml:space="preserve">“</w:t>
      </w:r>
      <w:r>
        <w:t xml:space="preserve">Create account</w:t>
      </w:r>
      <w:r>
        <w:t xml:space="preserve">”</w:t>
      </w:r>
    </w:p>
    <w:p>
      <w:pPr>
        <w:numPr>
          <w:ilvl w:val="1"/>
          <w:numId w:val="1014"/>
        </w:numPr>
        <w:pStyle w:val="Compact"/>
      </w:pPr>
      <w:r>
        <w:t xml:space="preserve">Note that you cannot change your username once you have made your account</w:t>
      </w:r>
    </w:p>
    <w:bookmarkEnd w:id="72"/>
    <w:bookmarkStart w:id="73" w:name="part-2-confirm-your-email-address"/>
    <w:p>
      <w:pPr>
        <w:pStyle w:val="Heading4"/>
      </w:pPr>
      <w:r>
        <w:rPr>
          <w:rStyle w:val="SectionNumber"/>
        </w:rPr>
        <w:t xml:space="preserve">2.1.1.5</w:t>
      </w:r>
      <w:r>
        <w:tab/>
      </w:r>
      <w:r>
        <w:t xml:space="preserve">Part 2 – Confirm your email address</w:t>
      </w:r>
    </w:p>
    <w:p>
      <w:pPr>
        <w:numPr>
          <w:ilvl w:val="0"/>
          <w:numId w:val="1015"/>
        </w:numPr>
        <w:pStyle w:val="Compact"/>
      </w:pPr>
      <w:r>
        <w:rPr>
          <w:bCs/>
          <w:b/>
        </w:rPr>
        <w:t xml:space="preserve">Important!</w:t>
      </w:r>
      <w:r>
        <w:t xml:space="preserve">: Click the verification link in your email inbox.</w:t>
      </w:r>
    </w:p>
    <w:p>
      <w:pPr>
        <w:numPr>
          <w:ilvl w:val="1"/>
          <w:numId w:val="1016"/>
        </w:numPr>
        <w:pStyle w:val="Compact"/>
      </w:pPr>
      <w:r>
        <w:t xml:space="preserve">If you do not verify your account you will get locked out and will need to contact your instructor to unlock your account.</w:t>
      </w:r>
    </w:p>
    <w:p>
      <w:pPr>
        <w:numPr>
          <w:ilvl w:val="1"/>
          <w:numId w:val="1016"/>
        </w:numPr>
        <w:pStyle w:val="Compact"/>
      </w:pPr>
      <w:r>
        <w:t xml:space="preserve">If you do not see an email, try checking your spam folder.</w:t>
      </w:r>
    </w:p>
    <w:p>
      <w:pPr>
        <w:numPr>
          <w:ilvl w:val="0"/>
          <w:numId w:val="1015"/>
        </w:numPr>
        <w:pStyle w:val="Compact"/>
      </w:pPr>
      <w:r>
        <w:t xml:space="preserve">After clicking the verification link, confirm that your username appears in the upper right hand corner.</w:t>
      </w:r>
    </w:p>
    <w:bookmarkEnd w:id="73"/>
    <w:bookmarkStart w:id="74" w:name="X82523b5844014ad1632b826f46c76ed45d12fd3"/>
    <w:p>
      <w:pPr>
        <w:pStyle w:val="Heading4"/>
      </w:pPr>
      <w:r>
        <w:rPr>
          <w:rStyle w:val="SectionNumber"/>
        </w:rPr>
        <w:t xml:space="preserve">2.1.1.6</w:t>
      </w:r>
      <w:r>
        <w:tab/>
      </w:r>
      <w:r>
        <w:t xml:space="preserve">Part 3 – 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17"/>
        </w:numPr>
        <w:pStyle w:val="Compact"/>
      </w:pPr>
      <w:r>
        <w:t xml:space="preserve">Share your username with you instructor and await invitation to the SciServer group</w:t>
      </w:r>
    </w:p>
    <w:bookmarkEnd w:id="74"/>
    <w:bookmarkStart w:id="77" w:name="X7c6ee95bc1a39054b9caf62ecd5f695dabe5e87"/>
    <w:p>
      <w:pPr>
        <w:pStyle w:val="Heading4"/>
      </w:pPr>
      <w:r>
        <w:rPr>
          <w:rStyle w:val="SectionNumber"/>
        </w:rPr>
        <w:t xml:space="preserve">2.1.1.7</w:t>
      </w:r>
      <w:r>
        <w:tab/>
      </w:r>
      <w:r>
        <w:t xml:space="preserve">Part 4 – Accept the invitation to join a SciServer group</w:t>
      </w:r>
    </w:p>
    <w:p>
      <w:pPr>
        <w:pStyle w:val="FirstParagraph"/>
      </w:pPr>
      <w:r>
        <w:t xml:space="preserve">This video (</w:t>
      </w:r>
      <w:hyperlink r:id="rId75">
        <w:r>
          <w:rPr>
            <w:rStyle w:val="Hyperlink"/>
          </w:rPr>
          <w:t xml:space="preserve">video</w:t>
        </w:r>
      </w:hyperlink>
      <w:r>
        <w:t xml:space="preserve">)(</w:t>
      </w:r>
      <w:hyperlink r:id="rId76">
        <w:r>
          <w:rPr>
            <w:rStyle w:val="Hyperlink"/>
          </w:rPr>
          <w:t xml:space="preserve">slides</w:t>
        </w:r>
      </w:hyperlink>
      <w:r>
        <w:t xml:space="preserve">) shows you how to join a SciServer group. You can follow along with the video, or follow the steps below.</w:t>
      </w:r>
    </w:p>
    <w:p>
      <w:pPr>
        <w:numPr>
          <w:ilvl w:val="0"/>
          <w:numId w:val="1018"/>
        </w:numPr>
        <w:pStyle w:val="Compact"/>
      </w:pPr>
      <w:r>
        <w:t xml:space="preserve">Open</w:t>
      </w:r>
      <w:r>
        <w:t xml:space="preserve"> </w:t>
      </w:r>
      <w:hyperlink r:id="rId71">
        <w:r>
          <w:rPr>
            <w:rStyle w:val="Hyperlink"/>
          </w:rPr>
          <w:t xml:space="preserve">sciserver.org</w:t>
        </w:r>
      </w:hyperlink>
      <w:r>
        <w:t xml:space="preserve"> </w:t>
      </w:r>
      <w:r>
        <w:t xml:space="preserve">in a web browser and log in to your account.</w:t>
      </w:r>
    </w:p>
    <w:p>
      <w:pPr>
        <w:numPr>
          <w:ilvl w:val="0"/>
          <w:numId w:val="1018"/>
        </w:numPr>
        <w:pStyle w:val="Compact"/>
      </w:pPr>
      <w:r>
        <w:t xml:space="preserve">Click</w:t>
      </w:r>
      <w:r>
        <w:t xml:space="preserve"> </w:t>
      </w:r>
      <w:r>
        <w:t xml:space="preserve">“</w:t>
      </w:r>
      <w:r>
        <w:t xml:space="preserve">Groups</w:t>
      </w:r>
      <w:r>
        <w:t xml:space="preserve">”</w:t>
      </w:r>
    </w:p>
    <w:p>
      <w:pPr>
        <w:numPr>
          <w:ilvl w:val="0"/>
          <w:numId w:val="1018"/>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19"/>
        </w:numPr>
        <w:pStyle w:val="Compact"/>
      </w:pPr>
      <w:r>
        <w:t xml:space="preserve">Your instructor must have your username to invite you to the group. If you do not see an invitation, contact your instructor with your SciServer username.</w:t>
      </w:r>
    </w:p>
    <w:p>
      <w:pPr>
        <w:numPr>
          <w:ilvl w:val="0"/>
          <w:numId w:val="1018"/>
        </w:numPr>
        <w:pStyle w:val="Compact"/>
      </w:pPr>
      <w:r>
        <w:t xml:space="preserve">Confirm that you can access course data</w:t>
      </w:r>
    </w:p>
    <w:p>
      <w:pPr>
        <w:numPr>
          <w:ilvl w:val="1"/>
          <w:numId w:val="1020"/>
        </w:numPr>
        <w:pStyle w:val="Compact"/>
      </w:pPr>
      <w:r>
        <w:t xml:space="preserve">On the top menu bar, click</w:t>
      </w:r>
      <w:r>
        <w:t xml:space="preserve"> </w:t>
      </w:r>
      <w:r>
        <w:t xml:space="preserve">“</w:t>
      </w:r>
      <w:r>
        <w:t xml:space="preserve">Files</w:t>
      </w:r>
      <w:r>
        <w:t xml:space="preserve">”</w:t>
      </w:r>
    </w:p>
    <w:p>
      <w:pPr>
        <w:numPr>
          <w:ilvl w:val="1"/>
          <w:numId w:val="1020"/>
        </w:numPr>
        <w:pStyle w:val="Compact"/>
      </w:pPr>
      <w:r>
        <w:t xml:space="preserve">On the left-hand menu, click</w:t>
      </w:r>
      <w:r>
        <w:t xml:space="preserve"> </w:t>
      </w:r>
      <w:r>
        <w:t xml:space="preserve">“</w:t>
      </w:r>
      <w:r>
        <w:t xml:space="preserve">Data Volumes</w:t>
      </w:r>
      <w:r>
        <w:t xml:space="preserve">”</w:t>
      </w:r>
    </w:p>
    <w:p>
      <w:pPr>
        <w:numPr>
          <w:ilvl w:val="1"/>
          <w:numId w:val="1020"/>
        </w:numPr>
        <w:pStyle w:val="Compact"/>
      </w:pPr>
      <w:r>
        <w:t xml:space="preserve">Confirm that you see</w:t>
      </w:r>
      <w:r>
        <w:t xml:space="preserve"> </w:t>
      </w:r>
      <w:r>
        <w:t xml:space="preserve">“</w:t>
      </w:r>
      <w:r>
        <w:t xml:space="preserve">C-MOOR-Data</w:t>
      </w:r>
      <w:r>
        <w:t xml:space="preserve">”</w:t>
      </w:r>
    </w:p>
    <w:p>
      <w:pPr>
        <w:numPr>
          <w:ilvl w:val="0"/>
          <w:numId w:val="1018"/>
        </w:numPr>
        <w:pStyle w:val="Compact"/>
      </w:pPr>
      <w:r>
        <w:t xml:space="preserve">Confirm that you can access course computing resources</w:t>
      </w:r>
    </w:p>
    <w:p>
      <w:pPr>
        <w:numPr>
          <w:ilvl w:val="1"/>
          <w:numId w:val="1021"/>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21"/>
        </w:numPr>
        <w:pStyle w:val="Compact"/>
      </w:pPr>
      <w:r>
        <w:t xml:space="preserve">Scroll down to the second set of boxes and click</w:t>
      </w:r>
      <w:r>
        <w:t xml:space="preserve"> </w:t>
      </w:r>
      <w:r>
        <w:t xml:space="preserve">“</w:t>
      </w:r>
      <w:r>
        <w:t xml:space="preserve">Compute</w:t>
      </w:r>
      <w:r>
        <w:t xml:space="preserve">”</w:t>
      </w:r>
    </w:p>
    <w:p>
      <w:pPr>
        <w:numPr>
          <w:ilvl w:val="1"/>
          <w:numId w:val="1021"/>
        </w:numPr>
        <w:pStyle w:val="Compact"/>
      </w:pPr>
      <w:r>
        <w:t xml:space="preserve">Click</w:t>
      </w:r>
      <w:r>
        <w:t xml:space="preserve"> </w:t>
      </w:r>
      <w:r>
        <w:t xml:space="preserve">“</w:t>
      </w:r>
      <w:r>
        <w:t xml:space="preserve">Create container</w:t>
      </w:r>
      <w:r>
        <w:t xml:space="preserve">”</w:t>
      </w:r>
    </w:p>
    <w:p>
      <w:pPr>
        <w:numPr>
          <w:ilvl w:val="1"/>
          <w:numId w:val="1021"/>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21"/>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21"/>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End w:id="77"/>
    <w:bookmarkStart w:id="78" w:name="troubleshooting"/>
    <w:p>
      <w:pPr>
        <w:pStyle w:val="Heading4"/>
      </w:pPr>
      <w:r>
        <w:rPr>
          <w:rStyle w:val="SectionNumber"/>
        </w:rPr>
        <w:t xml:space="preserve">2.1.1.8</w:t>
      </w:r>
      <w:r>
        <w:tab/>
      </w:r>
      <w:r>
        <w:t xml:space="preserve">Troubleshooting</w:t>
      </w:r>
    </w:p>
    <w:p>
      <w:pPr>
        <w:numPr>
          <w:ilvl w:val="0"/>
          <w:numId w:val="1022"/>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78"/>
    <w:bookmarkStart w:id="80" w:name="footnotes"/>
    <w:p>
      <w:pPr>
        <w:pStyle w:val="Heading4"/>
      </w:pPr>
      <w:r>
        <w:rPr>
          <w:rStyle w:val="SectionNumber"/>
        </w:rPr>
        <w:t xml:space="preserve">2.1.1.9</w:t>
      </w:r>
      <w:r>
        <w:tab/>
      </w:r>
      <w:r>
        <w:t xml:space="preserve">Footnotes</w:t>
      </w:r>
    </w:p>
    <w:bookmarkStart w:id="79" w:name="contributions-and-affiliations"/>
    <w:p>
      <w:pPr>
        <w:pStyle w:val="Heading5"/>
      </w:pPr>
      <w:r>
        <w:rPr>
          <w:rStyle w:val="SectionNumber"/>
        </w:rPr>
        <w:t xml:space="preserve">2.1.1.9.1</w:t>
      </w:r>
      <w:r>
        <w:tab/>
      </w:r>
      <w:r>
        <w:t xml:space="preserve">Contributions and Affiliations</w:t>
      </w:r>
    </w:p>
    <w:p>
      <w:pPr>
        <w:numPr>
          <w:ilvl w:val="0"/>
          <w:numId w:val="1023"/>
        </w:numPr>
        <w:pStyle w:val="Compact"/>
      </w:pPr>
      <w:r>
        <w:t xml:space="preserve">Katherine Cox, Johns Hopkins University</w:t>
      </w:r>
    </w:p>
    <w:p>
      <w:pPr>
        <w:numPr>
          <w:ilvl w:val="0"/>
          <w:numId w:val="1023"/>
        </w:numPr>
        <w:pStyle w:val="Compact"/>
      </w:pPr>
      <w:r>
        <w:t xml:space="preserve">Frederick Tan, Carnegie Institution</w:t>
      </w:r>
    </w:p>
    <w:p>
      <w:pPr>
        <w:numPr>
          <w:ilvl w:val="0"/>
          <w:numId w:val="1023"/>
        </w:numPr>
        <w:pStyle w:val="Compact"/>
      </w:pPr>
      <w:r>
        <w:t xml:space="preserve">Sayumi York, Notre Dame of Maryland University</w:t>
      </w:r>
    </w:p>
    <w:p>
      <w:pPr>
        <w:pStyle w:val="FirstParagraph"/>
      </w:pPr>
      <w:r>
        <w:t xml:space="preserve">Last Revised: June 5, 2026</w:t>
      </w:r>
    </w:p>
    <w:bookmarkEnd w:id="79"/>
    <w:bookmarkEnd w:id="80"/>
    <w:bookmarkEnd w:id="81"/>
    <w:bookmarkStart w:id="104" w:name="running-modules-on-sciserver"/>
    <w:p>
      <w:pPr>
        <w:pStyle w:val="Heading3"/>
      </w:pPr>
      <w:r>
        <w:rPr>
          <w:rStyle w:val="SectionNumber"/>
        </w:rPr>
        <w:t xml:space="preserve">2.1.2</w:t>
      </w:r>
      <w:r>
        <w:tab/>
      </w:r>
      <w:r>
        <w:t xml:space="preserve">Running modules on SciServer</w:t>
      </w:r>
    </w:p>
    <w:bookmarkStart w:id="82" w:name="purpose-1"/>
    <w:p>
      <w:pPr>
        <w:pStyle w:val="Heading4"/>
      </w:pPr>
      <w:r>
        <w:rPr>
          <w:rStyle w:val="SectionNumber"/>
        </w:rPr>
        <w:t xml:space="preserve">2.1.2.1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82"/>
    <w:bookmarkStart w:id="83" w:name="learning-objectives-1"/>
    <w:p>
      <w:pPr>
        <w:pStyle w:val="Heading4"/>
      </w:pPr>
      <w:r>
        <w:rPr>
          <w:rStyle w:val="SectionNumber"/>
        </w:rPr>
        <w:t xml:space="preserve">2.1.2.2</w:t>
      </w:r>
      <w:r>
        <w:tab/>
      </w:r>
      <w:r>
        <w:t xml:space="preserve">Learning Objectives</w:t>
      </w:r>
    </w:p>
    <w:p>
      <w:pPr>
        <w:numPr>
          <w:ilvl w:val="0"/>
          <w:numId w:val="1024"/>
        </w:numPr>
        <w:pStyle w:val="Compact"/>
      </w:pPr>
      <w:r>
        <w:t xml:space="preserve">Start up a C-MOOR LearnR compute container</w:t>
      </w:r>
    </w:p>
    <w:p>
      <w:pPr>
        <w:numPr>
          <w:ilvl w:val="0"/>
          <w:numId w:val="1024"/>
        </w:numPr>
        <w:pStyle w:val="Compact"/>
      </w:pPr>
      <w:r>
        <w:t xml:space="preserve">Access a C-MOOR module</w:t>
      </w:r>
    </w:p>
    <w:p>
      <w:pPr>
        <w:numPr>
          <w:ilvl w:val="0"/>
          <w:numId w:val="1024"/>
        </w:numPr>
        <w:pStyle w:val="Compact"/>
      </w:pPr>
      <w:r>
        <w:t xml:space="preserve">Delete your C-MOOR LearnR compute container when finished</w:t>
      </w:r>
    </w:p>
    <w:bookmarkEnd w:id="83"/>
    <w:bookmarkStart w:id="84" w:name="introduction-1"/>
    <w:p>
      <w:pPr>
        <w:pStyle w:val="Heading4"/>
      </w:pPr>
      <w:r>
        <w:rPr>
          <w:rStyle w:val="SectionNumber"/>
        </w:rPr>
        <w:t xml:space="preserve">2.1.2.3</w:t>
      </w:r>
      <w:r>
        <w:tab/>
      </w:r>
      <w:r>
        <w:t xml:space="preserve">Introduction</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84"/>
    <w:bookmarkStart w:id="94" w:name="X73108a710564994b4207391838868f09d4b406a"/>
    <w:p>
      <w:pPr>
        <w:pStyle w:val="Heading4"/>
      </w:pPr>
      <w:r>
        <w:rPr>
          <w:rStyle w:val="SectionNumber"/>
        </w:rPr>
        <w:t xml:space="preserve">2.1.2.4</w:t>
      </w:r>
      <w:r>
        <w:tab/>
      </w:r>
      <w:r>
        <w:t xml:space="preserve">Part 1 – 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85">
        <w:r>
          <w:rPr>
            <w:rStyle w:val="Hyperlink"/>
          </w:rPr>
          <w:t xml:space="preserve">video</w:t>
        </w:r>
      </w:hyperlink>
      <w:r>
        <w:t xml:space="preserve">)(</w:t>
      </w:r>
      <w:hyperlink r:id="rId86">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5"/>
        </w:numPr>
        <w:pStyle w:val="Compact"/>
      </w:pPr>
      <w:r>
        <w:t xml:space="preserve">Open</w:t>
      </w:r>
      <w:r>
        <w:t xml:space="preserve"> </w:t>
      </w:r>
      <w:hyperlink r:id="rId71">
        <w:r>
          <w:rPr>
            <w:rStyle w:val="Hyperlink"/>
          </w:rPr>
          <w:t xml:space="preserve">sciserver.org</w:t>
        </w:r>
      </w:hyperlink>
      <w:r>
        <w:t xml:space="preserve"> </w:t>
      </w:r>
      <w:r>
        <w:t xml:space="preserve">in a web browser and log in to your account.</w:t>
      </w:r>
    </w:p>
    <w:p>
      <w:pPr>
        <w:numPr>
          <w:ilvl w:val="1"/>
          <w:numId w:val="1026"/>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5"/>
        </w:numPr>
        <w:pStyle w:val="Compact"/>
      </w:pPr>
      <w:r>
        <w:t xml:space="preserve">Scroll down to the second set of boxes and click</w:t>
      </w:r>
      <w:r>
        <w:t xml:space="preserve"> </w:t>
      </w:r>
      <w:r>
        <w:t xml:space="preserve">“</w:t>
      </w:r>
      <w:r>
        <w:t xml:space="preserve">Compute</w:t>
      </w:r>
      <w:r>
        <w:t xml:space="preserve">”</w:t>
      </w:r>
    </w:p>
    <w:p>
      <w:pPr>
        <w:numPr>
          <w:ilvl w:val="0"/>
          <w:numId w:val="1025"/>
        </w:numPr>
        <w:pStyle w:val="Compact"/>
      </w:pPr>
      <w:r>
        <w:t xml:space="preserve">Click</w:t>
      </w:r>
      <w:r>
        <w:t xml:space="preserve"> </w:t>
      </w:r>
      <w:r>
        <w:t xml:space="preserve">“</w:t>
      </w:r>
      <w:r>
        <w:t xml:space="preserve">Create container</w:t>
      </w:r>
      <w:r>
        <w:t xml:space="preserve">”</w:t>
      </w:r>
    </w:p>
    <w:p>
      <w:pPr>
        <w:numPr>
          <w:ilvl w:val="1"/>
          <w:numId w:val="1027"/>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27"/>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27"/>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27"/>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5"/>
        </w:numPr>
        <w:pStyle w:val="Compact"/>
      </w:pPr>
      <w:r>
        <w:t xml:space="preserve">You should now see a new entry in your list of containers</w:t>
      </w:r>
    </w:p>
    <w:p>
      <w:pPr>
        <w:numPr>
          <w:ilvl w:val="1"/>
          <w:numId w:val="1028"/>
        </w:numPr>
        <w:pStyle w:val="Compact"/>
      </w:pPr>
      <w:r>
        <w:t xml:space="preserve">“</w:t>
      </w:r>
      <w:r>
        <w:t xml:space="preserve">Created At</w:t>
      </w:r>
      <w:r>
        <w:t xml:space="preserve">”</w:t>
      </w:r>
      <w:r>
        <w:t xml:space="preserve"> </w:t>
      </w:r>
      <w:r>
        <w:t xml:space="preserve">should be a few moments ago.</w:t>
      </w:r>
    </w:p>
    <w:p>
      <w:pPr>
        <w:numPr>
          <w:ilvl w:val="1"/>
          <w:numId w:val="1028"/>
        </w:numPr>
        <w:pStyle w:val="Compact"/>
      </w:pPr>
      <w:r>
        <w:t xml:space="preserve">“</w:t>
      </w:r>
      <w:r>
        <w:t xml:space="preserve">Name</w:t>
      </w:r>
      <w:r>
        <w:t xml:space="preserve">”</w:t>
      </w:r>
      <w:r>
        <w:t xml:space="preserve"> </w:t>
      </w:r>
      <w:r>
        <w:t xml:space="preserve">should be the name you chose</w:t>
      </w:r>
    </w:p>
    <w:p>
      <w:pPr>
        <w:numPr>
          <w:ilvl w:val="1"/>
          <w:numId w:val="1028"/>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5"/>
        </w:numPr>
        <w:pStyle w:val="Compact"/>
      </w:pPr>
      <w:r>
        <w:t xml:space="preserve">Start your C-MOOR LearnR container by clicking on its name (whatever name you chose when you created it). This will open in a new tab.</w:t>
      </w:r>
    </w:p>
    <w:p>
      <w:pPr>
        <w:numPr>
          <w:ilvl w:val="1"/>
          <w:numId w:val="1029"/>
        </w:numPr>
        <w:pStyle w:val="Compact"/>
      </w:pPr>
      <w:r>
        <w:t xml:space="preserve">You should see a list of tutorials, organized by topic.</w:t>
      </w:r>
    </w:p>
    <w:p>
      <w:pPr>
        <w:pStyle w:val="FirstParagraph"/>
      </w:pPr>
      <w:r>
        <w:drawing>
          <wp:inline>
            <wp:extent cx="5334000" cy="3000375"/>
            <wp:effectExtent b="0" l="0" r="0" t="0"/>
            <wp:docPr descr="" title="" id="88" name="Picture"/>
            <a:graphic>
              <a:graphicData uri="http://schemas.openxmlformats.org/drawingml/2006/picture">
                <pic:pic>
                  <pic:nvPicPr>
                    <pic:cNvPr descr="sciserver_files/figure-docx//1JxgfeibZU1HssPKzz_kItZImDA23ZNq1m2zpQDCx3Q4_g344f6de1efa_0_4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0"/>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91" name="Picture"/>
            <a:graphic>
              <a:graphicData uri="http://schemas.openxmlformats.org/drawingml/2006/picture">
                <pic:pic>
                  <pic:nvPicPr>
                    <pic:cNvPr descr="sciserver_files/figure-docx//1JxgfeibZU1HssPKzz_kItZImDA23ZNq1m2zpQDCx3Q4_g344f6de1efa_0_50.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1"/>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Start w:id="93" w:name="resources"/>
    <w:p>
      <w:pPr>
        <w:pStyle w:val="Heading5"/>
      </w:pPr>
      <w:r>
        <w:rPr>
          <w:rStyle w:val="SectionNumber"/>
        </w:rPr>
        <w:t xml:space="preserve">2.1.2.4.1</w:t>
      </w:r>
      <w:r>
        <w:tab/>
      </w:r>
      <w:r>
        <w:t xml:space="preserve">Resources</w:t>
      </w:r>
    </w:p>
    <w:p>
      <w:pPr>
        <w:numPr>
          <w:ilvl w:val="0"/>
          <w:numId w:val="1032"/>
        </w:numPr>
        <w:pStyle w:val="Compact"/>
      </w:pPr>
      <w:hyperlink r:id="rId71">
        <w:r>
          <w:rPr>
            <w:rStyle w:val="Hyperlink"/>
          </w:rPr>
          <w:t xml:space="preserve">sciserver.org</w:t>
        </w:r>
      </w:hyperlink>
    </w:p>
    <w:p>
      <w:pPr>
        <w:numPr>
          <w:ilvl w:val="0"/>
          <w:numId w:val="1032"/>
        </w:numPr>
        <w:pStyle w:val="Compact"/>
      </w:pPr>
      <w:hyperlink r:id="rId62">
        <w:r>
          <w:rPr>
            <w:rStyle w:val="Hyperlink"/>
          </w:rPr>
          <w:t xml:space="preserve">Get help with SciServer on the C-MOOR Discourse</w:t>
        </w:r>
      </w:hyperlink>
    </w:p>
    <w:bookmarkEnd w:id="93"/>
    <w:bookmarkEnd w:id="94"/>
    <w:bookmarkStart w:id="96" w:name="part-2-opening-c-moor-modules"/>
    <w:p>
      <w:pPr>
        <w:pStyle w:val="Heading4"/>
      </w:pPr>
      <w:r>
        <w:rPr>
          <w:rStyle w:val="SectionNumber"/>
        </w:rPr>
        <w:t xml:space="preserve">2.1.2.5</w:t>
      </w:r>
      <w:r>
        <w:tab/>
      </w:r>
      <w:r>
        <w:t xml:space="preserve">Part 2 – Opening C-MOOR modules</w:t>
      </w:r>
    </w:p>
    <w:p>
      <w:pPr>
        <w:numPr>
          <w:ilvl w:val="0"/>
          <w:numId w:val="1033"/>
        </w:numPr>
        <w:pStyle w:val="Compact"/>
      </w:pPr>
      <w:r>
        <w:t xml:space="preserve">If you’re not there already, go to the SciServer compute page and start up the C-MOOR LearnR container.</w:t>
      </w:r>
    </w:p>
    <w:p>
      <w:pPr>
        <w:numPr>
          <w:ilvl w:val="1"/>
          <w:numId w:val="1034"/>
        </w:numPr>
        <w:pStyle w:val="Compact"/>
      </w:pPr>
      <w:r>
        <w:t xml:space="preserve">Open</w:t>
      </w:r>
      <w:r>
        <w:t xml:space="preserve"> </w:t>
      </w:r>
      <w:hyperlink r:id="rId71">
        <w:r>
          <w:rPr>
            <w:rStyle w:val="Hyperlink"/>
          </w:rPr>
          <w:t xml:space="preserve">sciserver.org</w:t>
        </w:r>
      </w:hyperlink>
      <w:r>
        <w:t xml:space="preserve"> </w:t>
      </w:r>
      <w:r>
        <w:t xml:space="preserve">in a web browser and log in to your account.</w:t>
      </w:r>
    </w:p>
    <w:p>
      <w:pPr>
        <w:numPr>
          <w:ilvl w:val="1"/>
          <w:numId w:val="1034"/>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4"/>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34"/>
        </w:numPr>
        <w:pStyle w:val="Compact"/>
      </w:pPr>
      <w:r>
        <w:t xml:space="preserve">Start your C-MOOR LearnR container by clicking on its name.</w:t>
      </w:r>
    </w:p>
    <w:p>
      <w:pPr>
        <w:numPr>
          <w:ilvl w:val="0"/>
          <w:numId w:val="1033"/>
        </w:numPr>
        <w:pStyle w:val="Compact"/>
      </w:pPr>
      <w:r>
        <w:t xml:space="preserve">Click on the module chosen by your instructor. The tutorial will open in a new tab.</w:t>
      </w:r>
    </w:p>
    <w:p>
      <w:pPr>
        <w:numPr>
          <w:ilvl w:val="0"/>
          <w:numId w:val="1033"/>
        </w:numPr>
        <w:pStyle w:val="Compact"/>
      </w:pPr>
      <w:r>
        <w:t xml:space="preserve">Complete the tutorial.</w:t>
      </w:r>
    </w:p>
    <w:bookmarkStart w:id="95" w:name="resources-1"/>
    <w:p>
      <w:pPr>
        <w:pStyle w:val="Heading5"/>
      </w:pPr>
      <w:r>
        <w:rPr>
          <w:rStyle w:val="SectionNumber"/>
        </w:rPr>
        <w:t xml:space="preserve">2.1.2.5.1</w:t>
      </w:r>
      <w:r>
        <w:tab/>
      </w:r>
      <w:r>
        <w:t xml:space="preserve">Resources</w:t>
      </w:r>
    </w:p>
    <w:p>
      <w:pPr>
        <w:numPr>
          <w:ilvl w:val="0"/>
          <w:numId w:val="1035"/>
        </w:numPr>
        <w:pStyle w:val="Compact"/>
      </w:pPr>
      <w:hyperlink r:id="rId71">
        <w:r>
          <w:rPr>
            <w:rStyle w:val="Hyperlink"/>
          </w:rPr>
          <w:t xml:space="preserve">sciserver.org</w:t>
        </w:r>
      </w:hyperlink>
    </w:p>
    <w:p>
      <w:pPr>
        <w:numPr>
          <w:ilvl w:val="0"/>
          <w:numId w:val="1035"/>
        </w:numPr>
        <w:pStyle w:val="Compact"/>
      </w:pPr>
      <w:hyperlink r:id="rId62">
        <w:r>
          <w:rPr>
            <w:rStyle w:val="Hyperlink"/>
          </w:rPr>
          <w:t xml:space="preserve">Get help with SciServer on the C-MOOR Discourse</w:t>
        </w:r>
      </w:hyperlink>
    </w:p>
    <w:bookmarkEnd w:id="95"/>
    <w:bookmarkEnd w:id="96"/>
    <w:bookmarkStart w:id="101" w:name="X20e76d3e2b8661b8d39170c94a9d157f9325836"/>
    <w:p>
      <w:pPr>
        <w:pStyle w:val="Heading4"/>
      </w:pPr>
      <w:r>
        <w:rPr>
          <w:rStyle w:val="SectionNumber"/>
        </w:rPr>
        <w:t xml:space="preserve">2.1.2.6</w:t>
      </w:r>
      <w:r>
        <w:tab/>
      </w:r>
      <w:r>
        <w:t xml:space="preserve">Part 3 – 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6"/>
        </w:numPr>
        <w:pStyle w:val="Compact"/>
      </w:pPr>
      <w:r>
        <w:t xml:space="preserve">If you’re not there already, go to the SciServer compute page.</w:t>
      </w:r>
    </w:p>
    <w:p>
      <w:pPr>
        <w:numPr>
          <w:ilvl w:val="1"/>
          <w:numId w:val="1037"/>
        </w:numPr>
        <w:pStyle w:val="Compact"/>
      </w:pPr>
      <w:r>
        <w:t xml:space="preserve">Open</w:t>
      </w:r>
      <w:r>
        <w:t xml:space="preserve"> </w:t>
      </w:r>
      <w:hyperlink r:id="rId71">
        <w:r>
          <w:rPr>
            <w:rStyle w:val="Hyperlink"/>
          </w:rPr>
          <w:t xml:space="preserve">sciserver.org</w:t>
        </w:r>
      </w:hyperlink>
      <w:r>
        <w:t xml:space="preserve"> </w:t>
      </w:r>
      <w:r>
        <w:t xml:space="preserve">in a web browser and log in to your account.</w:t>
      </w:r>
    </w:p>
    <w:p>
      <w:pPr>
        <w:numPr>
          <w:ilvl w:val="1"/>
          <w:numId w:val="1037"/>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7"/>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6"/>
        </w:numPr>
        <w:pStyle w:val="Compact"/>
      </w:pPr>
      <w:r>
        <w:t xml:space="preserve">Find the container you want to delete.</w:t>
      </w:r>
    </w:p>
    <w:p>
      <w:pPr>
        <w:numPr>
          <w:ilvl w:val="0"/>
          <w:numId w:val="1036"/>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98" name="Picture"/>
            <a:graphic>
              <a:graphicData uri="http://schemas.openxmlformats.org/drawingml/2006/picture">
                <pic:pic>
                  <pic:nvPicPr>
                    <pic:cNvPr descr="sciserver_files/figure-docx//1JxgfeibZU1HssPKzz_kItZImDA23ZNq1m2zpQDCx3Q4_g344f6de1efa_0_45.pn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bookmarkStart w:id="100" w:name="resources-2"/>
    <w:p>
      <w:pPr>
        <w:pStyle w:val="Heading5"/>
      </w:pPr>
      <w:r>
        <w:rPr>
          <w:rStyle w:val="SectionNumber"/>
        </w:rPr>
        <w:t xml:space="preserve">2.1.2.6.1</w:t>
      </w:r>
      <w:r>
        <w:tab/>
      </w:r>
      <w:r>
        <w:t xml:space="preserve">Resources</w:t>
      </w:r>
    </w:p>
    <w:p>
      <w:pPr>
        <w:numPr>
          <w:ilvl w:val="0"/>
          <w:numId w:val="1038"/>
        </w:numPr>
        <w:pStyle w:val="Compact"/>
      </w:pPr>
      <w:hyperlink r:id="rId71">
        <w:r>
          <w:rPr>
            <w:rStyle w:val="Hyperlink"/>
          </w:rPr>
          <w:t xml:space="preserve">sciserver.org</w:t>
        </w:r>
      </w:hyperlink>
    </w:p>
    <w:p>
      <w:pPr>
        <w:numPr>
          <w:ilvl w:val="0"/>
          <w:numId w:val="1038"/>
        </w:numPr>
        <w:pStyle w:val="Compact"/>
      </w:pPr>
      <w:hyperlink r:id="rId62">
        <w:r>
          <w:rPr>
            <w:rStyle w:val="Hyperlink"/>
          </w:rPr>
          <w:t xml:space="preserve">Get help with SciServer on the C-MOOR Discourse</w:t>
        </w:r>
      </w:hyperlink>
    </w:p>
    <w:bookmarkEnd w:id="100"/>
    <w:bookmarkEnd w:id="101"/>
    <w:bookmarkStart w:id="103" w:name="footnotes-1"/>
    <w:p>
      <w:pPr>
        <w:pStyle w:val="Heading4"/>
      </w:pPr>
      <w:r>
        <w:rPr>
          <w:rStyle w:val="SectionNumber"/>
        </w:rPr>
        <w:t xml:space="preserve">2.1.2.7</w:t>
      </w:r>
      <w:r>
        <w:tab/>
      </w:r>
      <w:r>
        <w:t xml:space="preserve">Footnotes</w:t>
      </w:r>
    </w:p>
    <w:bookmarkStart w:id="102" w:name="contributions-and-affiliations-1"/>
    <w:p>
      <w:pPr>
        <w:pStyle w:val="Heading5"/>
      </w:pPr>
      <w:r>
        <w:rPr>
          <w:rStyle w:val="SectionNumber"/>
        </w:rPr>
        <w:t xml:space="preserve">2.1.2.7.1</w:t>
      </w:r>
      <w:r>
        <w:tab/>
      </w:r>
      <w:r>
        <w:t xml:space="preserve">Contributions and Affiliations</w:t>
      </w:r>
    </w:p>
    <w:p>
      <w:pPr>
        <w:numPr>
          <w:ilvl w:val="0"/>
          <w:numId w:val="1039"/>
        </w:numPr>
        <w:pStyle w:val="Compact"/>
      </w:pPr>
      <w:r>
        <w:t xml:space="preserve">Katherine Cox, Johns Hopkins University</w:t>
      </w:r>
    </w:p>
    <w:p>
      <w:pPr>
        <w:numPr>
          <w:ilvl w:val="0"/>
          <w:numId w:val="1039"/>
        </w:numPr>
        <w:pStyle w:val="Compact"/>
      </w:pPr>
      <w:r>
        <w:t xml:space="preserve">Frederick Tan, Carnegie Institution</w:t>
      </w:r>
    </w:p>
    <w:p>
      <w:pPr>
        <w:numPr>
          <w:ilvl w:val="0"/>
          <w:numId w:val="1039"/>
        </w:numPr>
        <w:pStyle w:val="Compact"/>
      </w:pPr>
      <w:r>
        <w:t xml:space="preserve">Sayumi York, Notre Dame of Maryland University</w:t>
      </w:r>
    </w:p>
    <w:p>
      <w:pPr>
        <w:pStyle w:val="FirstParagraph"/>
      </w:pPr>
      <w:r>
        <w:t xml:space="preserve">Last Revised: June 5, 2026</w:t>
      </w:r>
    </w:p>
    <w:bookmarkEnd w:id="102"/>
    <w:bookmarkEnd w:id="103"/>
    <w:bookmarkEnd w:id="104"/>
    <w:bookmarkEnd w:id="105"/>
    <w:bookmarkStart w:id="164" w:name="anvil-onboarding"/>
    <w:p>
      <w:pPr>
        <w:pStyle w:val="Heading2"/>
      </w:pPr>
      <w:r>
        <w:rPr>
          <w:rStyle w:val="SectionNumber"/>
        </w:rPr>
        <w:t xml:space="preserve">2.2</w:t>
      </w:r>
      <w:r>
        <w:tab/>
      </w:r>
      <w:r>
        <w:t xml:space="preserve">AnVIL Onboarding</w:t>
      </w:r>
    </w:p>
    <w:bookmarkStart w:id="124" w:name="join-anvil"/>
    <w:p>
      <w:pPr>
        <w:pStyle w:val="Heading3"/>
      </w:pPr>
      <w:r>
        <w:rPr>
          <w:rStyle w:val="SectionNumber"/>
        </w:rPr>
        <w:t xml:space="preserve">2.2.1</w:t>
      </w:r>
      <w:r>
        <w:tab/>
      </w:r>
      <w:r>
        <w:t xml:space="preserve">Join AnVIL</w:t>
      </w:r>
    </w:p>
    <w:bookmarkStart w:id="106" w:name="purpose-2"/>
    <w:p>
      <w:pPr>
        <w:pStyle w:val="Heading4"/>
      </w:pPr>
      <w:r>
        <w:rPr>
          <w:rStyle w:val="SectionNumber"/>
        </w:rPr>
        <w:t xml:space="preserve">2.2.1.1</w:t>
      </w:r>
      <w:r>
        <w:tab/>
      </w:r>
      <w:r>
        <w:t xml:space="preserve">Purpose</w:t>
      </w:r>
    </w:p>
    <w:p>
      <w:pPr>
        <w:pStyle w:val="FirstParagraph"/>
      </w:pPr>
      <w:r>
        <w:t xml:space="preserve">You will need an account on AnVIL in order to use the platform. In this section we’ll go over the specifics of account creation.</w:t>
      </w:r>
    </w:p>
    <w:bookmarkEnd w:id="106"/>
    <w:bookmarkStart w:id="107" w:name="learning-objectives-2"/>
    <w:p>
      <w:pPr>
        <w:pStyle w:val="Heading4"/>
      </w:pPr>
      <w:r>
        <w:rPr>
          <w:rStyle w:val="SectionNumber"/>
        </w:rPr>
        <w:t xml:space="preserve">2.2.1.2</w:t>
      </w:r>
      <w:r>
        <w:tab/>
      </w:r>
      <w:r>
        <w:t xml:space="preserve">Learning Objectives</w:t>
      </w:r>
    </w:p>
    <w:p>
      <w:pPr>
        <w:numPr>
          <w:ilvl w:val="0"/>
          <w:numId w:val="1040"/>
        </w:numPr>
        <w:pStyle w:val="Compact"/>
      </w:pPr>
      <w:r>
        <w:t xml:space="preserve">Create an account on AnVIL</w:t>
      </w:r>
    </w:p>
    <w:p>
      <w:pPr>
        <w:numPr>
          <w:ilvl w:val="0"/>
          <w:numId w:val="1040"/>
        </w:numPr>
        <w:pStyle w:val="Compact"/>
      </w:pPr>
      <w:r>
        <w:t xml:space="preserve">Login to AnVIL</w:t>
      </w:r>
    </w:p>
    <w:p>
      <w:pPr>
        <w:numPr>
          <w:ilvl w:val="0"/>
          <w:numId w:val="1040"/>
        </w:numPr>
        <w:pStyle w:val="Compact"/>
      </w:pPr>
      <w:r>
        <w:t xml:space="preserve">Share the email you used to sign up for AnVIL with your instructor (if applicable)</w:t>
      </w:r>
    </w:p>
    <w:bookmarkEnd w:id="107"/>
    <w:bookmarkStart w:id="111" w:name="introduction-2"/>
    <w:p>
      <w:pPr>
        <w:pStyle w:val="Heading4"/>
      </w:pPr>
      <w:r>
        <w:rPr>
          <w:rStyle w:val="SectionNumber"/>
        </w:rPr>
        <w:t xml:space="preserve">2.2.1.3</w:t>
      </w:r>
      <w:r>
        <w:tab/>
      </w:r>
      <w:r>
        <w:t xml:space="preserve">Introduction</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p>
      <w:pPr>
        <w:pStyle w:val="BodyText"/>
      </w:pPr>
      <w:r>
        <w:drawing>
          <wp:inline>
            <wp:extent cx="5334000" cy="3000375"/>
            <wp:effectExtent b="0" l="0" r="0" t="0"/>
            <wp:docPr descr="" title="" id="109" name="Picture"/>
            <a:graphic>
              <a:graphicData uri="http://schemas.openxmlformats.org/drawingml/2006/picture">
                <pic:pic>
                  <pic:nvPicPr>
                    <pic:cNvPr descr="anvil_files/figure-docx//1uwlG7uaTOnItdpd4Ll6nNQiBJKBivsvR-erupicAwJM_g3709d9ac459_0_250.png" id="110" name="Picture"/>
                    <pic:cNvPicPr>
                      <a:picLocks noChangeArrowheads="1" noChangeAspect="1"/>
                    </pic:cNvPicPr>
                  </pic:nvPicPr>
                  <pic:blipFill>
                    <a:blip r:embed="rId108"/>
                    <a:stretch>
                      <a:fillRect/>
                    </a:stretch>
                  </pic:blipFill>
                  <pic:spPr bwMode="auto">
                    <a:xfrm>
                      <a:off x="0" y="0"/>
                      <a:ext cx="5334000" cy="3000375"/>
                    </a:xfrm>
                    <a:prstGeom prst="rect">
                      <a:avLst/>
                    </a:prstGeom>
                    <a:noFill/>
                    <a:ln w="9525">
                      <a:noFill/>
                      <a:headEnd/>
                      <a:tailEnd/>
                    </a:ln>
                  </pic:spPr>
                </pic:pic>
              </a:graphicData>
            </a:graphic>
          </wp:inline>
        </w:drawing>
      </w:r>
    </w:p>
    <w:bookmarkEnd w:id="111"/>
    <w:bookmarkStart w:id="123" w:name="part-1-create-an-account-on-anvil"/>
    <w:p>
      <w:pPr>
        <w:pStyle w:val="Heading4"/>
      </w:pPr>
      <w:r>
        <w:rPr>
          <w:rStyle w:val="SectionNumber"/>
        </w:rPr>
        <w:t xml:space="preserve">2.2.1.4</w:t>
      </w:r>
      <w:r>
        <w:tab/>
      </w:r>
      <w:r>
        <w:t xml:space="preserve">Part 1 – Create an account on AnVIL</w:t>
      </w:r>
    </w:p>
    <w:p>
      <w:pPr>
        <w:pStyle w:val="FirstParagraph"/>
      </w:pPr>
      <w:r>
        <w:t xml:space="preserve">Follow the written steps below or refer to the</w:t>
      </w:r>
      <w:r>
        <w:t xml:space="preserve"> </w:t>
      </w:r>
      <w:hyperlink r:id="rId112">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14" name="Picture"/>
            <a:graphic>
              <a:graphicData uri="http://schemas.openxmlformats.org/drawingml/2006/picture">
                <pic:pic>
                  <pic:nvPicPr>
                    <pic:cNvPr descr="anvil_files/figure-docx//1uwlG7uaTOnItdpd4Ll6nNQiBJKBivsvR-erupicAwJM_g3709d9ac459_0_299.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1"/>
        </w:numPr>
        <w:pStyle w:val="Compact"/>
      </w:pPr>
      <w:r>
        <w:t xml:space="preserve">Open</w:t>
      </w:r>
      <w:r>
        <w:t xml:space="preserve"> </w:t>
      </w:r>
      <w:hyperlink r:id="rId116">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AnVIL. Because of this, while you can run AnVIL in other browsers you strongly suggest using Chrome.</w:t>
      </w:r>
    </w:p>
    <w:p>
      <w:pPr>
        <w:numPr>
          <w:ilvl w:val="1"/>
          <w:numId w:val="1042"/>
        </w:numPr>
        <w:pStyle w:val="Compact"/>
      </w:pPr>
      <w:r>
        <w:t xml:space="preserve">Tip: bookmark this page so that you can easily access it throughout the course.</w:t>
      </w:r>
    </w:p>
    <w:p>
      <w:pPr>
        <w:numPr>
          <w:ilvl w:val="0"/>
          <w:numId w:val="1041"/>
        </w:numPr>
        <w:pStyle w:val="Compact"/>
      </w:pPr>
      <w:r>
        <w:t xml:space="preserve">Click the hamburger icon (3 lines) in the top left corner of the screen</w:t>
      </w:r>
    </w:p>
    <w:p>
      <w:pPr>
        <w:numPr>
          <w:ilvl w:val="0"/>
          <w:numId w:val="1041"/>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18" name="Picture"/>
            <a:graphic>
              <a:graphicData uri="http://schemas.openxmlformats.org/drawingml/2006/picture">
                <pic:pic>
                  <pic:nvPicPr>
                    <pic:cNvPr descr="anvil_files/figure-docx//1uwlG7uaTOnItdpd4Ll6nNQiBJKBivsvR-erupicAwJM_g36368ab83bf_0_2.png" id="119" name="Picture"/>
                    <pic:cNvPicPr>
                      <a:picLocks noChangeArrowheads="1" noChangeAspect="1"/>
                    </pic:cNvPicPr>
                  </pic:nvPicPr>
                  <pic:blipFill>
                    <a:blip r:embed="rId11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3"/>
        </w:numPr>
        <w:pStyle w:val="Compact"/>
      </w:pPr>
      <w:r>
        <w:t xml:space="preserve">Click</w:t>
      </w:r>
      <w:r>
        <w:t xml:space="preserve"> </w:t>
      </w:r>
      <w:r>
        <w:t xml:space="preserve">“</w:t>
      </w:r>
      <w:r>
        <w:t xml:space="preserve">Sign in with Google</w:t>
      </w:r>
      <w:r>
        <w:t xml:space="preserve">”</w:t>
      </w:r>
      <w:r>
        <w:t xml:space="preserve">.</w:t>
      </w:r>
    </w:p>
    <w:p>
      <w:pPr>
        <w:numPr>
          <w:ilvl w:val="0"/>
          <w:numId w:val="1043"/>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43"/>
        </w:numPr>
        <w:pStyle w:val="Compact"/>
      </w:pPr>
      <w:r>
        <w:t xml:space="preserve">If you are a student, share the email you used to sign up for AnVIL with your instructor following their instructions.</w:t>
      </w:r>
    </w:p>
    <w:p>
      <w:pPr>
        <w:pStyle w:val="FirstParagraph"/>
      </w:pPr>
      <w:r>
        <w:rPr>
          <w:bCs/>
          <w:b/>
        </w:rPr>
        <w:t xml:space="preserve">Instructors should collect the student emails and use them in the next section,</w:t>
      </w:r>
      <w:r>
        <w:rPr>
          <w:bCs/>
          <w:b/>
        </w:rPr>
        <w:t xml:space="preserve"> </w:t>
      </w:r>
      <w:r>
        <w:rPr>
          <w:bCs/>
          <w:b/>
        </w:rPr>
        <w:t xml:space="preserve">“</w:t>
      </w:r>
      <w:r>
        <w:rPr>
          <w:bCs/>
          <w:b/>
        </w:rPr>
        <w:t xml:space="preserve">Setting up workspaces on AnVIL.</w:t>
      </w:r>
      <w:r>
        <w:rPr>
          <w:bCs/>
          <w:b/>
        </w:rPr>
        <w:t xml:space="preserve">”</w:t>
      </w:r>
      <w:r>
        <w:rPr>
          <w:bCs/>
          <w:b/>
        </w:rPr>
        <w:t xml:space="preserve"> </w:t>
      </w:r>
      <w:r>
        <w:rPr>
          <w:bCs/>
          <w:b/>
        </w:rPr>
        <w:t xml:space="preserve">Students do not need to set up a workspace, and should proceed to the section,</w:t>
      </w:r>
      <w:r>
        <w:rPr>
          <w:bCs/>
          <w:b/>
        </w:rPr>
        <w:t xml:space="preserve"> </w:t>
      </w:r>
      <w:r>
        <w:rPr>
          <w:bCs/>
          <w:b/>
        </w:rPr>
        <w:t xml:space="preserve">“</w:t>
      </w:r>
      <w:r>
        <w:rPr>
          <w:bCs/>
          <w:b/>
        </w:rPr>
        <w:t xml:space="preserve">Running a module on AnVIL</w:t>
      </w:r>
      <w:r>
        <w:rPr>
          <w:bCs/>
          <w:b/>
        </w:rPr>
        <w:t xml:space="preserve">”</w:t>
      </w:r>
      <w:r>
        <w:rPr>
          <w:bCs/>
          <w:b/>
        </w:rPr>
        <w:t xml:space="preserve">.</w:t>
      </w:r>
    </w:p>
    <w:bookmarkStart w:id="122" w:name="resources-3"/>
    <w:p>
      <w:pPr>
        <w:pStyle w:val="Heading5"/>
      </w:pPr>
      <w:r>
        <w:rPr>
          <w:rStyle w:val="SectionNumber"/>
        </w:rPr>
        <w:t xml:space="preserve">2.2.1.4.1</w:t>
      </w:r>
      <w:r>
        <w:tab/>
      </w:r>
      <w:r>
        <w:t xml:space="preserve">Resources</w:t>
      </w:r>
    </w:p>
    <w:p>
      <w:pPr>
        <w:numPr>
          <w:ilvl w:val="0"/>
          <w:numId w:val="1044"/>
        </w:numPr>
        <w:pStyle w:val="Compact"/>
      </w:pPr>
      <w:hyperlink r:id="rId116">
        <w:r>
          <w:rPr>
            <w:rStyle w:val="Hyperlink"/>
          </w:rPr>
          <w:t xml:space="preserve">AnVIL</w:t>
        </w:r>
      </w:hyperlink>
    </w:p>
    <w:p>
      <w:pPr>
        <w:numPr>
          <w:ilvl w:val="0"/>
          <w:numId w:val="1044"/>
        </w:numPr>
        <w:pStyle w:val="Compact"/>
      </w:pPr>
      <w:hyperlink r:id="rId120">
        <w:r>
          <w:rPr>
            <w:rStyle w:val="Hyperlink"/>
          </w:rPr>
          <w:t xml:space="preserve">How to add a bookmark in Chrome</w:t>
        </w:r>
      </w:hyperlink>
    </w:p>
    <w:p>
      <w:pPr>
        <w:numPr>
          <w:ilvl w:val="0"/>
          <w:numId w:val="1044"/>
        </w:numPr>
        <w:pStyle w:val="Compact"/>
      </w:pPr>
      <w:hyperlink r:id="rId121">
        <w:r>
          <w:rPr>
            <w:rStyle w:val="Hyperlink"/>
          </w:rPr>
          <w:t xml:space="preserve">AnVIL support home</w:t>
        </w:r>
      </w:hyperlink>
    </w:p>
    <w:bookmarkEnd w:id="122"/>
    <w:bookmarkEnd w:id="123"/>
    <w:bookmarkEnd w:id="124"/>
    <w:bookmarkStart w:id="163" w:name="running-a-module-on-anvil"/>
    <w:p>
      <w:pPr>
        <w:pStyle w:val="Heading3"/>
      </w:pPr>
      <w:r>
        <w:rPr>
          <w:rStyle w:val="SectionNumber"/>
        </w:rPr>
        <w:t xml:space="preserve">2.2.2</w:t>
      </w:r>
      <w:r>
        <w:tab/>
      </w:r>
      <w:r>
        <w:t xml:space="preserve">Running a module on AnVIL</w:t>
      </w:r>
    </w:p>
    <w:p>
      <w:pPr>
        <w:pStyle w:val="FirstParagraph"/>
      </w:pPr>
      <w:r>
        <w:drawing>
          <wp:inline>
            <wp:extent cx="5334000" cy="3000375"/>
            <wp:effectExtent b="0" l="0" r="0" t="0"/>
            <wp:docPr descr="" title="" id="126" name="Picture"/>
            <a:graphic>
              <a:graphicData uri="http://schemas.openxmlformats.org/drawingml/2006/picture">
                <pic:pic>
                  <pic:nvPicPr>
                    <pic:cNvPr descr="anvil_files/figure-docx//11wb3b7i9SwrDX_WO3mWNAycd2mbY4Moy8SuT0X3XvXo_g3709d9ac459_0_250.png" id="127" name="Picture"/>
                    <pic:cNvPicPr>
                      <a:picLocks noChangeArrowheads="1" noChangeAspect="1"/>
                    </pic:cNvPicPr>
                  </pic:nvPicPr>
                  <pic:blipFill>
                    <a:blip r:embed="rId125"/>
                    <a:stretch>
                      <a:fillRect/>
                    </a:stretch>
                  </pic:blipFill>
                  <pic:spPr bwMode="auto">
                    <a:xfrm>
                      <a:off x="0" y="0"/>
                      <a:ext cx="5334000" cy="3000375"/>
                    </a:xfrm>
                    <a:prstGeom prst="rect">
                      <a:avLst/>
                    </a:prstGeom>
                    <a:noFill/>
                    <a:ln w="9525">
                      <a:noFill/>
                      <a:headEnd/>
                      <a:tailEnd/>
                    </a:ln>
                  </pic:spPr>
                </pic:pic>
              </a:graphicData>
            </a:graphic>
          </wp:inline>
        </w:drawing>
      </w:r>
    </w:p>
    <w:bookmarkStart w:id="128" w:name="purpose-3"/>
    <w:p>
      <w:pPr>
        <w:pStyle w:val="Heading4"/>
      </w:pPr>
      <w:r>
        <w:rPr>
          <w:rStyle w:val="SectionNumber"/>
        </w:rPr>
        <w:t xml:space="preserve">2.2.2.1</w:t>
      </w:r>
      <w:r>
        <w:tab/>
      </w:r>
      <w:r>
        <w:t xml:space="preserve">Purpose</w:t>
      </w:r>
    </w:p>
    <w:p>
      <w:pPr>
        <w:pStyle w:val="FirstParagraph"/>
      </w:pPr>
      <w:r>
        <w:t xml:space="preserve">In this section we will go over how to run C-MOOR modules on AnVIL. We will go over how to create an RStudio environment in that workspace to run the module and properly end a session on AnVIL to prevent runaway costs.</w:t>
      </w:r>
    </w:p>
    <w:bookmarkEnd w:id="128"/>
    <w:bookmarkStart w:id="129" w:name="learning-objectives-3"/>
    <w:p>
      <w:pPr>
        <w:pStyle w:val="Heading4"/>
      </w:pPr>
      <w:r>
        <w:rPr>
          <w:rStyle w:val="SectionNumber"/>
        </w:rPr>
        <w:t xml:space="preserve">2.2.2.2</w:t>
      </w:r>
      <w:r>
        <w:tab/>
      </w:r>
      <w:r>
        <w:t xml:space="preserve">Learning Objectives</w:t>
      </w:r>
    </w:p>
    <w:p>
      <w:pPr>
        <w:numPr>
          <w:ilvl w:val="0"/>
          <w:numId w:val="1045"/>
        </w:numPr>
        <w:pStyle w:val="Compact"/>
      </w:pPr>
      <w:r>
        <w:t xml:space="preserve">Launch a module through the cloned workspace</w:t>
      </w:r>
    </w:p>
    <w:p>
      <w:pPr>
        <w:numPr>
          <w:ilvl w:val="0"/>
          <w:numId w:val="1045"/>
        </w:numPr>
        <w:pStyle w:val="Compact"/>
      </w:pPr>
      <w:r>
        <w:t xml:space="preserve">Close out a session on AnVIL properly to prevent runaway costs</w:t>
      </w:r>
    </w:p>
    <w:bookmarkEnd w:id="129"/>
    <w:bookmarkStart w:id="130" w:name="introduction-3"/>
    <w:p>
      <w:pPr>
        <w:pStyle w:val="Heading4"/>
      </w:pPr>
      <w:r>
        <w:rPr>
          <w:rStyle w:val="SectionNumber"/>
        </w:rPr>
        <w:t xml:space="preserve">2.2.2.3</w:t>
      </w:r>
      <w:r>
        <w:tab/>
      </w:r>
      <w:r>
        <w:t xml:space="preserve">Introduction</w:t>
      </w:r>
    </w:p>
    <w:p>
      <w:pPr>
        <w:pStyle w:val="FirstParagraph"/>
      </w:pPr>
      <w:r>
        <w:t xml:space="preserve">Before beginning this assignment, you should have already created an AnVIL account and submitted the email you used to sign up for AnVIL to your instructor. In this assignment you will learn how to setup an RStudio environment on AnVIL. This environment is analogous to preparing a lab space for a physical lab. You have to have the right equipment and reagents to be able to do the activity.</w:t>
      </w:r>
    </w:p>
    <w:p>
      <w:pPr>
        <w:pStyle w:val="BodyText"/>
      </w:pPr>
      <w:r>
        <w:t xml:space="preserve">This assignment shows you how to set up the RStudio environment and start up your first C-MOOR tutorial.</w:t>
      </w:r>
    </w:p>
    <w:bookmarkEnd w:id="130"/>
    <w:bookmarkStart w:id="132" w:name="X72ee8a5ec0424a5edc24ab0295ed7fca9da6118"/>
    <w:p>
      <w:pPr>
        <w:pStyle w:val="Heading4"/>
      </w:pPr>
      <w:r>
        <w:rPr>
          <w:rStyle w:val="SectionNumber"/>
        </w:rPr>
        <w:t xml:space="preserve">2.2.2.4</w:t>
      </w:r>
      <w:r>
        <w:tab/>
      </w:r>
      <w:r>
        <w:t xml:space="preserve">Part 1 – Confirm you have access to your class workspace</w:t>
      </w:r>
    </w:p>
    <w:p>
      <w:pPr>
        <w:pStyle w:val="FirstParagraph"/>
      </w:pPr>
      <w:r>
        <w:t xml:space="preserve">The workspace is the heart of AnVIL. To be able to run modules, you need to have access to the class workspace. Here are some key points about workspaces:</w:t>
      </w:r>
    </w:p>
    <w:p>
      <w:pPr>
        <w:numPr>
          <w:ilvl w:val="0"/>
          <w:numId w:val="1046"/>
        </w:numPr>
        <w:pStyle w:val="Compact"/>
      </w:pPr>
      <w:r>
        <w:t xml:space="preserve">Every workspace comes with its own Google Bucket (our cloud storage). Your bucket will be empty.</w:t>
      </w:r>
    </w:p>
    <w:p>
      <w:pPr>
        <w:numPr>
          <w:ilvl w:val="0"/>
          <w:numId w:val="1046"/>
        </w:numPr>
        <w:pStyle w:val="Compact"/>
      </w:pPr>
      <w:r>
        <w:t xml:space="preserve">Every workspace has its own billing project. Students who are not yet associated with a billing project will not be able to compute on their workspace.</w:t>
      </w:r>
    </w:p>
    <w:p>
      <w:pPr>
        <w:numPr>
          <w:ilvl w:val="0"/>
          <w:numId w:val="1046"/>
        </w:numPr>
        <w:pStyle w:val="Compact"/>
      </w:pPr>
      <w:r>
        <w:t xml:space="preserve">We can control access levels of users and set them either as owners, writers, or readers. Students will be writers with compute access.</w:t>
      </w:r>
    </w:p>
    <w:p>
      <w:pPr>
        <w:pStyle w:val="FirstParagraph"/>
      </w:pPr>
      <w:r>
        <w:t xml:space="preserve">The workspace is the heart of AnVIL.</w:t>
      </w:r>
    </w:p>
    <w:p>
      <w:pPr>
        <w:numPr>
          <w:ilvl w:val="0"/>
          <w:numId w:val="1047"/>
        </w:numPr>
        <w:pStyle w:val="Compact"/>
      </w:pPr>
      <w:r>
        <w:t xml:space="preserve">Open</w:t>
      </w:r>
      <w:r>
        <w:t xml:space="preserve"> </w:t>
      </w:r>
      <w:hyperlink r:id="rId116">
        <w:r>
          <w:rPr>
            <w:rStyle w:val="Hyperlink"/>
          </w:rPr>
          <w:t xml:space="preserve">AnVIL</w:t>
        </w:r>
      </w:hyperlink>
      <w:r>
        <w:t xml:space="preserve"> </w:t>
      </w:r>
      <w:r>
        <w:t xml:space="preserve">in Google Chrome</w:t>
      </w:r>
    </w:p>
    <w:p>
      <w:pPr>
        <w:numPr>
          <w:ilvl w:val="0"/>
          <w:numId w:val="1047"/>
        </w:numPr>
        <w:pStyle w:val="Compact"/>
      </w:pPr>
      <w:r>
        <w:t xml:space="preserve">Click on the hamburger icon in the top left corner</w:t>
      </w:r>
    </w:p>
    <w:p>
      <w:pPr>
        <w:numPr>
          <w:ilvl w:val="0"/>
          <w:numId w:val="1047"/>
        </w:numPr>
        <w:pStyle w:val="Compact"/>
      </w:pPr>
      <w:r>
        <w:t xml:space="preserve">Login to your AnVIL account</w:t>
      </w:r>
    </w:p>
    <w:p>
      <w:pPr>
        <w:numPr>
          <w:ilvl w:val="0"/>
          <w:numId w:val="1047"/>
        </w:numPr>
        <w:pStyle w:val="Compact"/>
      </w:pPr>
      <w:r>
        <w:t xml:space="preserve">Click on the hamburger icon in the top left corner again</w:t>
      </w:r>
    </w:p>
    <w:p>
      <w:pPr>
        <w:numPr>
          <w:ilvl w:val="0"/>
          <w:numId w:val="1047"/>
        </w:numPr>
        <w:pStyle w:val="Compact"/>
      </w:pPr>
      <w:r>
        <w:t xml:space="preserve">Click workspaces</w:t>
      </w:r>
    </w:p>
    <w:p>
      <w:pPr>
        <w:numPr>
          <w:ilvl w:val="0"/>
          <w:numId w:val="1047"/>
        </w:numPr>
        <w:pStyle w:val="Compact"/>
      </w:pPr>
      <w:r>
        <w:t xml:space="preserve">Confirm you see your class workspace</w:t>
      </w:r>
    </w:p>
    <w:p>
      <w:pPr>
        <w:numPr>
          <w:ilvl w:val="0"/>
          <w:numId w:val="1047"/>
        </w:numPr>
        <w:pStyle w:val="Compact"/>
      </w:pPr>
      <w:r>
        <w:t xml:space="preserve">Click on the workspace name to enter the workspace.</w:t>
      </w:r>
    </w:p>
    <w:bookmarkStart w:id="131" w:name="resources-4"/>
    <w:p>
      <w:pPr>
        <w:pStyle w:val="Heading5"/>
      </w:pPr>
      <w:r>
        <w:rPr>
          <w:rStyle w:val="SectionNumber"/>
        </w:rPr>
        <w:t xml:space="preserve">2.2.2.4.1</w:t>
      </w:r>
      <w:r>
        <w:tab/>
      </w:r>
      <w:r>
        <w:t xml:space="preserve">Resources</w:t>
      </w:r>
    </w:p>
    <w:p>
      <w:pPr>
        <w:numPr>
          <w:ilvl w:val="0"/>
          <w:numId w:val="1048"/>
        </w:numPr>
        <w:pStyle w:val="Compact"/>
      </w:pPr>
      <w:hyperlink r:id="rId116">
        <w:r>
          <w:rPr>
            <w:rStyle w:val="Hyperlink"/>
          </w:rPr>
          <w:t xml:space="preserve">AnVIL</w:t>
        </w:r>
      </w:hyperlink>
    </w:p>
    <w:p>
      <w:pPr>
        <w:numPr>
          <w:ilvl w:val="0"/>
          <w:numId w:val="1048"/>
        </w:numPr>
        <w:pStyle w:val="Compact"/>
      </w:pPr>
      <w:hyperlink r:id="rId62">
        <w:r>
          <w:rPr>
            <w:rStyle w:val="Hyperlink"/>
          </w:rPr>
          <w:t xml:space="preserve">Get help with AnVIL on the C-MOOR Discourse</w:t>
        </w:r>
      </w:hyperlink>
    </w:p>
    <w:bookmarkEnd w:id="131"/>
    <w:bookmarkEnd w:id="132"/>
    <w:bookmarkStart w:id="155" w:name="part-2-start-access-a-module"/>
    <w:p>
      <w:pPr>
        <w:pStyle w:val="Heading4"/>
      </w:pPr>
      <w:r>
        <w:rPr>
          <w:rStyle w:val="SectionNumber"/>
        </w:rPr>
        <w:t xml:space="preserve">2.2.2.5</w:t>
      </w:r>
      <w:r>
        <w:tab/>
      </w:r>
      <w:r>
        <w:t xml:space="preserve">Part 2 – Start access a module</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34" name="Picture"/>
            <a:graphic>
              <a:graphicData uri="http://schemas.openxmlformats.org/drawingml/2006/picture">
                <pic:pic>
                  <pic:nvPicPr>
                    <pic:cNvPr descr="anvil_files/figure-docx//11wb3b7i9SwrDX_WO3mWNAycd2mbY4Moy8SuT0X3XvXo_g3e8341b93fe_0_0.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9"/>
        </w:numPr>
      </w:pPr>
      <w:r>
        <w:t xml:space="preserve">Copy the URL of the startup script. Make sure there are no spaces before or after what you copy. This script is held in the original workspace everyone cloned. You will need to input this URL soon.</w:t>
      </w:r>
    </w:p>
    <w:p>
      <w:pPr>
        <w:numPr>
          <w:ilvl w:val="0"/>
          <w:numId w:val="1049"/>
        </w:numPr>
      </w:pPr>
      <w:r>
        <w:t xml:space="preserve">Click on the Environment Configuration button, the cloud with a thunderbolt.</w:t>
      </w:r>
    </w:p>
    <w:p>
      <w:pPr>
        <w:pStyle w:val="FirstParagraph"/>
      </w:pPr>
      <w:r>
        <w:drawing>
          <wp:inline>
            <wp:extent cx="5334000" cy="3000375"/>
            <wp:effectExtent b="0" l="0" r="0" t="0"/>
            <wp:docPr descr="" title="" id="137" name="Picture"/>
            <a:graphic>
              <a:graphicData uri="http://schemas.openxmlformats.org/drawingml/2006/picture">
                <pic:pic>
                  <pic:nvPicPr>
                    <pic:cNvPr descr="anvil_files/figure-docx//11wb3b7i9SwrDX_WO3mWNAycd2mbY4Moy8SuT0X3XvXo_g3e8341b93fe_0_13.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0"/>
        </w:numPr>
      </w:pPr>
      <w:r>
        <w:t xml:space="preserve">In the RStudio section, click Settings</w:t>
      </w:r>
    </w:p>
    <w:p>
      <w:pPr>
        <w:numPr>
          <w:ilvl w:val="0"/>
          <w:numId w:val="1050"/>
        </w:numPr>
      </w:pPr>
      <w:r>
        <w:t xml:space="preserve">In the startup script field, paste the URL for the startup script.</w:t>
      </w:r>
    </w:p>
    <w:p>
      <w:pPr>
        <w:numPr>
          <w:ilvl w:val="0"/>
          <w:numId w:val="1050"/>
        </w:numPr>
      </w:pPr>
      <w:r>
        <w:t xml:space="preserve">Select 4 CPUs and 15 gigabytes of memory.</w:t>
      </w:r>
    </w:p>
    <w:p>
      <w:pPr>
        <w:numPr>
          <w:ilvl w:val="0"/>
          <w:numId w:val="1050"/>
        </w:numPr>
      </w:pPr>
      <w:r>
        <w:t xml:space="preserve">Confirm that the cloud compute cost is 20 cents per hour. If it is not 20 cents per hour, reselect CPUs and memory allocation in step 5 This is a known bug in AnVIL at the writing of this guide.</w:t>
      </w:r>
    </w:p>
    <w:p>
      <w:pPr>
        <w:numPr>
          <w:ilvl w:val="0"/>
          <w:numId w:val="1050"/>
        </w:numPr>
      </w:pPr>
      <w:r>
        <w:t xml:space="preserve">Scroll to the bottom of the window and click</w:t>
      </w:r>
      <w:r>
        <w:t xml:space="preserve"> </w:t>
      </w:r>
      <w:r>
        <w:t xml:space="preserve">“</w:t>
      </w:r>
      <w:r>
        <w:t xml:space="preserve">Create</w:t>
      </w:r>
      <w:r>
        <w:t xml:space="preserve">”</w:t>
      </w:r>
      <w:r>
        <w:t xml:space="preserve">. It will take about 2 minutes for the environment to be created.</w:t>
      </w:r>
    </w:p>
    <w:p>
      <w:pPr>
        <w:pStyle w:val="FirstParagraph"/>
      </w:pPr>
      <w:r>
        <w:drawing>
          <wp:inline>
            <wp:extent cx="5334000" cy="3000375"/>
            <wp:effectExtent b="0" l="0" r="0" t="0"/>
            <wp:docPr descr="" title="" id="140" name="Picture"/>
            <a:graphic>
              <a:graphicData uri="http://schemas.openxmlformats.org/drawingml/2006/picture">
                <pic:pic>
                  <pic:nvPicPr>
                    <pic:cNvPr descr="anvil_files/figure-docx//11wb3b7i9SwrDX_WO3mWNAycd2mbY4Moy8SuT0X3XvXo_g3709d9ac459_0_279.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43" name="Picture"/>
            <a:graphic>
              <a:graphicData uri="http://schemas.openxmlformats.org/drawingml/2006/picture">
                <pic:pic>
                  <pic:nvPicPr>
                    <pic:cNvPr descr="anvil_files/figure-docx//11wb3b7i9SwrDX_WO3mWNAycd2mbY4Moy8SuT0X3XvXo_g3e8341b93fe_0_29.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Style w:val="Compact"/>
      </w:pPr>
      <w:r>
        <w:t xml:space="preserve">When the environment is ready, use the Open RStudio button that will pop up. If you hold down Ctrl as you click, you can open RStudio in a new window.</w:t>
      </w:r>
    </w:p>
    <w:p>
      <w:pPr>
        <w:pStyle w:val="FirstParagraph"/>
      </w:pPr>
      <w:r>
        <w:drawing>
          <wp:inline>
            <wp:extent cx="5334000" cy="3000375"/>
            <wp:effectExtent b="0" l="0" r="0" t="0"/>
            <wp:docPr descr="" title="" id="146" name="Picture"/>
            <a:graphic>
              <a:graphicData uri="http://schemas.openxmlformats.org/drawingml/2006/picture">
                <pic:pic>
                  <pic:nvPicPr>
                    <pic:cNvPr descr="anvil_files/figure-docx//11wb3b7i9SwrDX_WO3mWNAycd2mbY4Moy8SuT0X3XvXo_g3e8341b93fe_0_33.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2"/>
        </w:numPr>
        <w:pStyle w:val="Compact"/>
      </w:pPr>
      <w:r>
        <w:t xml:space="preserve">Use the file explorer in RStudio to navigate to your module of choice. First, enter the folder of the curriculum you are using, either rnaseq (not cure-rnaseq) or 16s. Then enter the folder of the module you want to run.</w:t>
      </w:r>
    </w:p>
    <w:p>
      <w:pPr>
        <w:pStyle w:val="FirstParagraph"/>
      </w:pPr>
      <w:r>
        <w:drawing>
          <wp:inline>
            <wp:extent cx="5334000" cy="3000375"/>
            <wp:effectExtent b="0" l="0" r="0" t="0"/>
            <wp:docPr descr="" title="" id="149" name="Picture"/>
            <a:graphic>
              <a:graphicData uri="http://schemas.openxmlformats.org/drawingml/2006/picture">
                <pic:pic>
                  <pic:nvPicPr>
                    <pic:cNvPr descr="anvil_files/figure-docx//11wb3b7i9SwrDX_WO3mWNAycd2mbY4Moy8SuT0X3XvXo_g3e8341b93fe_0_36.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In the module’s directory, open the .Rmd file by double clicking its name.</w:t>
      </w:r>
    </w:p>
    <w:p>
      <w:pPr>
        <w:pStyle w:val="FirstParagraph"/>
      </w:pPr>
      <w:r>
        <w:drawing>
          <wp:inline>
            <wp:extent cx="5334000" cy="3000375"/>
            <wp:effectExtent b="0" l="0" r="0" t="0"/>
            <wp:docPr descr="" title="" id="152" name="Picture"/>
            <a:graphic>
              <a:graphicData uri="http://schemas.openxmlformats.org/drawingml/2006/picture">
                <pic:pic>
                  <pic:nvPicPr>
                    <pic:cNvPr descr="anvil_files/figure-docx//11wb3b7i9SwrDX_WO3mWNAycd2mbY4Moy8SuT0X3XvXo_g3e8341b93fe_0_39.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4"/>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Start w:id="154" w:name="resources-5"/>
    <w:p>
      <w:pPr>
        <w:pStyle w:val="Heading5"/>
      </w:pPr>
      <w:r>
        <w:rPr>
          <w:rStyle w:val="SectionNumber"/>
        </w:rPr>
        <w:t xml:space="preserve">2.2.2.5.1</w:t>
      </w:r>
      <w:r>
        <w:tab/>
      </w:r>
      <w:r>
        <w:t xml:space="preserve">Resources</w:t>
      </w:r>
    </w:p>
    <w:p>
      <w:pPr>
        <w:numPr>
          <w:ilvl w:val="0"/>
          <w:numId w:val="1055"/>
        </w:numPr>
        <w:pStyle w:val="Compact"/>
      </w:pPr>
      <w:hyperlink r:id="rId116">
        <w:r>
          <w:rPr>
            <w:rStyle w:val="Hyperlink"/>
          </w:rPr>
          <w:t xml:space="preserve">AnVIL</w:t>
        </w:r>
      </w:hyperlink>
    </w:p>
    <w:p>
      <w:pPr>
        <w:numPr>
          <w:ilvl w:val="0"/>
          <w:numId w:val="1055"/>
        </w:numPr>
        <w:pStyle w:val="Compact"/>
      </w:pPr>
      <w:hyperlink r:id="rId62">
        <w:r>
          <w:rPr>
            <w:rStyle w:val="Hyperlink"/>
          </w:rPr>
          <w:t xml:space="preserve">Get help with AnVIL on the C-MOOR Discourse</w:t>
        </w:r>
      </w:hyperlink>
    </w:p>
    <w:bookmarkEnd w:id="154"/>
    <w:bookmarkEnd w:id="155"/>
    <w:bookmarkStart w:id="160" w:name="part-3-closing-out-a-session-on-anvil"/>
    <w:p>
      <w:pPr>
        <w:pStyle w:val="Heading4"/>
      </w:pPr>
      <w:r>
        <w:rPr>
          <w:rStyle w:val="SectionNumber"/>
        </w:rPr>
        <w:t xml:space="preserve">2.2.2.6</w:t>
      </w:r>
      <w:r>
        <w:tab/>
      </w:r>
      <w:r>
        <w:t xml:space="preserve">Part 3 – Closing out a session on AnVIL</w:t>
      </w:r>
    </w:p>
    <w:p>
      <w:pPr>
        <w:pStyle w:val="FirstParagraph"/>
      </w:pPr>
      <w:r>
        <w:drawing>
          <wp:inline>
            <wp:extent cx="5334000" cy="3000375"/>
            <wp:effectExtent b="0" l="0" r="0" t="0"/>
            <wp:docPr descr="" title="" id="157" name="Picture"/>
            <a:graphic>
              <a:graphicData uri="http://schemas.openxmlformats.org/drawingml/2006/picture">
                <pic:pic>
                  <pic:nvPicPr>
                    <pic:cNvPr descr="anvil_files/figure-docx//11wb3b7i9SwrDX_WO3mWNAycd2mbY4Moy8SuT0X3XvXo_g3709d9ac459_0_299.png" id="158" name="Picture"/>
                    <pic:cNvPicPr>
                      <a:picLocks noChangeArrowheads="1" noChangeAspect="1"/>
                    </pic:cNvPicPr>
                  </pic:nvPicPr>
                  <pic:blipFill>
                    <a:blip r:embed="rId15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6"/>
        </w:numPr>
        <w:pStyle w:val="Compact"/>
      </w:pPr>
      <w:r>
        <w:t xml:space="preserve">On the right side of the screen, click the Cloud Environment button. This is the Cloud with the lightning symbol.</w:t>
      </w:r>
    </w:p>
    <w:p>
      <w:pPr>
        <w:numPr>
          <w:ilvl w:val="0"/>
          <w:numId w:val="1056"/>
        </w:numPr>
        <w:pStyle w:val="Compact"/>
      </w:pPr>
      <w:r>
        <w:t xml:space="preserve">Under the RStudio section, click settings.</w:t>
      </w:r>
    </w:p>
    <w:p>
      <w:pPr>
        <w:numPr>
          <w:ilvl w:val="0"/>
          <w:numId w:val="1056"/>
        </w:numPr>
        <w:pStyle w:val="Compact"/>
      </w:pPr>
      <w:r>
        <w:t xml:space="preserve">Scroll to the bottom of the new window and click delete environment.</w:t>
      </w:r>
    </w:p>
    <w:p>
      <w:pPr>
        <w:numPr>
          <w:ilvl w:val="0"/>
          <w:numId w:val="1056"/>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Start w:id="159" w:name="resources-6"/>
    <w:p>
      <w:pPr>
        <w:pStyle w:val="Heading5"/>
      </w:pPr>
      <w:r>
        <w:rPr>
          <w:rStyle w:val="SectionNumber"/>
        </w:rPr>
        <w:t xml:space="preserve">2.2.2.6.1</w:t>
      </w:r>
      <w:r>
        <w:tab/>
      </w:r>
      <w:r>
        <w:t xml:space="preserve">Resources</w:t>
      </w:r>
    </w:p>
    <w:p>
      <w:pPr>
        <w:numPr>
          <w:ilvl w:val="0"/>
          <w:numId w:val="1057"/>
        </w:numPr>
        <w:pStyle w:val="Compact"/>
      </w:pPr>
      <w:hyperlink r:id="rId116">
        <w:r>
          <w:rPr>
            <w:rStyle w:val="Hyperlink"/>
          </w:rPr>
          <w:t xml:space="preserve">AnVIL</w:t>
        </w:r>
      </w:hyperlink>
    </w:p>
    <w:p>
      <w:pPr>
        <w:numPr>
          <w:ilvl w:val="0"/>
          <w:numId w:val="1057"/>
        </w:numPr>
        <w:pStyle w:val="Compact"/>
      </w:pPr>
      <w:hyperlink r:id="rId62">
        <w:r>
          <w:rPr>
            <w:rStyle w:val="Hyperlink"/>
          </w:rPr>
          <w:t xml:space="preserve">Get help with AnVIL on the C-MOOR Discourse</w:t>
        </w:r>
      </w:hyperlink>
    </w:p>
    <w:bookmarkEnd w:id="159"/>
    <w:bookmarkEnd w:id="160"/>
    <w:bookmarkStart w:id="162" w:name="footnotes-2"/>
    <w:p>
      <w:pPr>
        <w:pStyle w:val="Heading4"/>
      </w:pPr>
      <w:r>
        <w:rPr>
          <w:rStyle w:val="SectionNumber"/>
        </w:rPr>
        <w:t xml:space="preserve">2.2.2.7</w:t>
      </w:r>
      <w:r>
        <w:tab/>
      </w:r>
      <w:r>
        <w:t xml:space="preserve">Footnotes</w:t>
      </w:r>
    </w:p>
    <w:bookmarkStart w:id="161" w:name="contributions-and-affiliations-2"/>
    <w:p>
      <w:pPr>
        <w:pStyle w:val="Heading5"/>
      </w:pPr>
      <w:r>
        <w:rPr>
          <w:rStyle w:val="SectionNumber"/>
        </w:rPr>
        <w:t xml:space="preserve">2.2.2.7.1</w:t>
      </w:r>
      <w:r>
        <w:tab/>
      </w:r>
      <w:r>
        <w:t xml:space="preserve">Contributions and Affiliations</w:t>
      </w:r>
    </w:p>
    <w:p>
      <w:pPr>
        <w:numPr>
          <w:ilvl w:val="0"/>
          <w:numId w:val="1058"/>
        </w:numPr>
        <w:pStyle w:val="Compact"/>
      </w:pPr>
      <w:r>
        <w:t xml:space="preserve">Sayumi York, Notre Dame of Maryland University</w:t>
      </w:r>
    </w:p>
    <w:p>
      <w:pPr>
        <w:pStyle w:val="FirstParagraph"/>
      </w:pPr>
      <w:r>
        <w:t xml:space="preserve">Last Revised: June 5, 2026</w:t>
      </w:r>
    </w:p>
    <w:bookmarkEnd w:id="161"/>
    <w:bookmarkEnd w:id="162"/>
    <w:bookmarkEnd w:id="163"/>
    <w:bookmarkEnd w:id="164"/>
    <w:bookmarkStart w:id="188" w:name="setting-up-workspaces-on-anvil"/>
    <w:p>
      <w:pPr>
        <w:pStyle w:val="Heading2"/>
      </w:pPr>
      <w:r>
        <w:rPr>
          <w:rStyle w:val="SectionNumber"/>
        </w:rPr>
        <w:t xml:space="preserve">2.3</w:t>
      </w:r>
      <w:r>
        <w:tab/>
      </w:r>
      <w:r>
        <w:t xml:space="preserve">Setting up workspaces on AnVIL</w:t>
      </w:r>
    </w:p>
    <w:p>
      <w:pPr>
        <w:pStyle w:val="FirstParagraph"/>
      </w:pPr>
      <w:r>
        <w:rPr>
          <w:bCs/>
          <w:b/>
        </w:rPr>
        <w:t xml:space="preserve">This section is only for instructors. Students do NOT have to set up workspaces.</w:t>
      </w:r>
    </w:p>
    <w:p>
      <w:pPr>
        <w:pStyle w:val="BodyText"/>
      </w:pPr>
      <w:r>
        <w:drawing>
          <wp:inline>
            <wp:extent cx="5334000" cy="3000375"/>
            <wp:effectExtent b="0" l="0" r="0" t="0"/>
            <wp:docPr descr="" title="" id="166" name="Picture"/>
            <a:graphic>
              <a:graphicData uri="http://schemas.openxmlformats.org/drawingml/2006/picture">
                <pic:pic>
                  <pic:nvPicPr>
                    <pic:cNvPr descr="anvil-setup-workspace_files/figure-docx//1uCiZDAwgh1iM5XPlpbK5uz7oVBujmimUXVQaR8iGuho_g368970cb22e_0_75.png" id="167" name="Picture"/>
                    <pic:cNvPicPr>
                      <a:picLocks noChangeArrowheads="1" noChangeAspect="1"/>
                    </pic:cNvPicPr>
                  </pic:nvPicPr>
                  <pic:blipFill>
                    <a:blip r:embed="rId1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Follow the written steps below or refer to the</w:t>
      </w:r>
      <w:r>
        <w:t xml:space="preserve"> </w:t>
      </w:r>
      <w:hyperlink r:id="rId168">
        <w:r>
          <w:rPr>
            <w:rStyle w:val="Hyperlink"/>
          </w:rPr>
          <w:t xml:space="preserve">slides</w:t>
        </w:r>
      </w:hyperlink>
      <w:r>
        <w:t xml:space="preserve"> </w:t>
      </w:r>
      <w:r>
        <w:t xml:space="preserve">or video guide.</w:t>
      </w:r>
    </w:p>
    <w:bookmarkStart w:id="169" w:name="purpose-4"/>
    <w:p>
      <w:pPr>
        <w:pStyle w:val="Heading4"/>
      </w:pPr>
      <w:r>
        <w:rPr>
          <w:rStyle w:val="SectionNumber"/>
        </w:rPr>
        <w:t xml:space="preserve">2.3.0.1</w:t>
      </w:r>
      <w:r>
        <w:tab/>
      </w:r>
      <w:r>
        <w:t xml:space="preserve">Purpose</w:t>
      </w:r>
    </w:p>
    <w:p>
      <w:pPr>
        <w:pStyle w:val="FirstParagraph"/>
      </w:pPr>
      <w:r>
        <w:t xml:space="preserve">We will learn about managing students using groups and how to clone a copy of the C-MOOR workspaces for each section of a given class.</w:t>
      </w:r>
    </w:p>
    <w:bookmarkEnd w:id="169"/>
    <w:bookmarkStart w:id="170" w:name="learning-objectives-4"/>
    <w:p>
      <w:pPr>
        <w:pStyle w:val="Heading4"/>
      </w:pPr>
      <w:r>
        <w:rPr>
          <w:rStyle w:val="SectionNumber"/>
        </w:rPr>
        <w:t xml:space="preserve">2.3.0.2</w:t>
      </w:r>
      <w:r>
        <w:tab/>
      </w:r>
      <w:r>
        <w:t xml:space="preserve">Learning Objectives</w:t>
      </w:r>
    </w:p>
    <w:p>
      <w:pPr>
        <w:numPr>
          <w:ilvl w:val="0"/>
          <w:numId w:val="1059"/>
        </w:numPr>
        <w:pStyle w:val="Compact"/>
      </w:pPr>
      <w:r>
        <w:t xml:space="preserve">Learn how to create groups that can be used to control users’ access</w:t>
      </w:r>
    </w:p>
    <w:p>
      <w:pPr>
        <w:numPr>
          <w:ilvl w:val="0"/>
          <w:numId w:val="1059"/>
        </w:numPr>
        <w:pStyle w:val="Compact"/>
      </w:pPr>
      <w:r>
        <w:t xml:space="preserve">Clone the workspace of your chosen C-MOOR curriculum for each section of your class</w:t>
      </w:r>
    </w:p>
    <w:p>
      <w:pPr>
        <w:numPr>
          <w:ilvl w:val="0"/>
          <w:numId w:val="1059"/>
        </w:numPr>
        <w:pStyle w:val="Compact"/>
      </w:pPr>
      <w:r>
        <w:t xml:space="preserve">Simultaneously add students of that section to the chosen workspace</w:t>
      </w:r>
    </w:p>
    <w:bookmarkEnd w:id="170"/>
    <w:bookmarkStart w:id="173" w:name="a-note-to-instructors-on-billing"/>
    <w:p>
      <w:pPr>
        <w:pStyle w:val="Heading3"/>
      </w:pPr>
      <w:r>
        <w:rPr>
          <w:rStyle w:val="SectionNumber"/>
        </w:rPr>
        <w:t xml:space="preserve">2.3.1</w:t>
      </w:r>
      <w:r>
        <w:tab/>
      </w:r>
      <w:r>
        <w:t xml:space="preserve">A note to instructors on billing</w:t>
      </w:r>
    </w:p>
    <w:p>
      <w:pPr>
        <w:pStyle w:val="FirstParagraph"/>
      </w:pPr>
      <w:r>
        <w:t xml:space="preserve">Instructors should have a Google billing account associated with their AnVIL account on Terra. We will not cover how to set up a Google Billing Account, which is separate from and required by a billing project. For assistance with setting up your billing account we suggest refering to the Terra (the platform on which AnVIL runs)</w:t>
      </w:r>
      <w:r>
        <w:t xml:space="preserve"> </w:t>
      </w:r>
      <w:hyperlink r:id="rId171">
        <w:r>
          <w:rPr>
            <w:rStyle w:val="Hyperlink"/>
          </w:rPr>
          <w:t xml:space="preserve">guide to billing</w:t>
        </w:r>
      </w:hyperlink>
      <w:r>
        <w:t xml:space="preserve"> </w:t>
      </w:r>
      <w:r>
        <w:t xml:space="preserve">and speaking with your institution’s information technology and finance departments.</w:t>
      </w:r>
    </w:p>
    <w:p>
      <w:pPr>
        <w:pStyle w:val="BodyText"/>
      </w:pPr>
      <w:r>
        <w:t xml:space="preserve">Our team at C-MOOR is still piloting our curriculum on AnVIL. As such, we don’t have much information on the approximate cost per student. We hope to provide this data in the future.</w:t>
      </w:r>
    </w:p>
    <w:p>
      <w:pPr>
        <w:pStyle w:val="BodyText"/>
      </w:pPr>
      <w:r>
        <w:t xml:space="preserve">The best way to conserve costs is to</w:t>
      </w:r>
      <w:r>
        <w:t xml:space="preserve"> </w:t>
      </w:r>
      <w:r>
        <w:t xml:space="preserve">make sure that students close out their session on AnVIL properly, including the deletion of the persistent disk</w:t>
      </w:r>
      <w:r>
        <w:t xml:space="preserve"> </w:t>
      </w:r>
      <w:r>
        <w:t xml:space="preserve">after they are done working. AnVIL will continue to bill the billing project even if the environment is not in active use.</w:t>
      </w:r>
    </w:p>
    <w:p>
      <w:pPr>
        <w:pStyle w:val="BodyText"/>
      </w:pPr>
      <w:r>
        <w:t xml:space="preserve">For more information on how to control computing charges, please see the Terra guide:</w:t>
      </w:r>
      <w:r>
        <w:t xml:space="preserve"> </w:t>
      </w:r>
      <w:hyperlink r:id="rId172">
        <w:r>
          <w:rPr>
            <w:rStyle w:val="Hyperlink"/>
          </w:rPr>
          <w:t xml:space="preserve">How to cut off GCP charges</w:t>
        </w:r>
      </w:hyperlink>
      <w:r>
        <w:t xml:space="preserve">.</w:t>
      </w:r>
    </w:p>
    <w:bookmarkEnd w:id="173"/>
    <w:bookmarkStart w:id="177" w:name="using-groups-to-manage-classes"/>
    <w:p>
      <w:pPr>
        <w:pStyle w:val="Heading3"/>
      </w:pPr>
      <w:r>
        <w:rPr>
          <w:rStyle w:val="SectionNumber"/>
        </w:rPr>
        <w:t xml:space="preserve">2.3.2</w:t>
      </w:r>
      <w:r>
        <w:tab/>
      </w:r>
      <w:r>
        <w:t xml:space="preserve">Using groups to manage classes</w:t>
      </w:r>
    </w:p>
    <w:p>
      <w:pPr>
        <w:pStyle w:val="FirstParagraph"/>
      </w:pPr>
      <w:r>
        <w:drawing>
          <wp:inline>
            <wp:extent cx="5334000" cy="3000375"/>
            <wp:effectExtent b="0" l="0" r="0" t="0"/>
            <wp:docPr descr="" title="" id="175" name="Picture"/>
            <a:graphic>
              <a:graphicData uri="http://schemas.openxmlformats.org/drawingml/2006/picture">
                <pic:pic>
                  <pic:nvPicPr>
                    <pic:cNvPr descr="anvil-setup-workspace_files/figure-docx//1uCiZDAwgh1iM5XPlpbK5uz7oVBujmimUXVQaR8iGuho_g37166799c0e_0_17.png" id="176" name="Picture"/>
                    <pic:cNvPicPr>
                      <a:picLocks noChangeArrowheads="1" noChangeAspect="1"/>
                    </pic:cNvPicPr>
                  </pic:nvPicPr>
                  <pic:blipFill>
                    <a:blip r:embed="rId1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recommend you manage students and their access to workspaces through groups. When people are added to a group, they are given a new group email address that controls everyone within that group. For example, if there are 20 people in the group, all 20 are added at one time when the group email is used to give a group access to a workspace. Likewise, we recommend any management of students, such as removal or additions later in the class, be managed through the group interface.</w:t>
      </w:r>
    </w:p>
    <w:p>
      <w:pPr>
        <w:numPr>
          <w:ilvl w:val="0"/>
          <w:numId w:val="1060"/>
        </w:numPr>
        <w:pStyle w:val="Compact"/>
      </w:pPr>
      <w:r>
        <w:t xml:space="preserve">Access billing by clicking on the hamburger icon in the top left corner of the window, click on your name, and select groups. This will take you to this groups page.</w:t>
      </w:r>
    </w:p>
    <w:p>
      <w:pPr>
        <w:numPr>
          <w:ilvl w:val="0"/>
          <w:numId w:val="1060"/>
        </w:numPr>
        <w:pStyle w:val="Compact"/>
      </w:pPr>
      <w:r>
        <w:t xml:space="preserve">Click Create New group. You will be prompted to give your group a unique name.</w:t>
      </w:r>
    </w:p>
    <w:p>
      <w:pPr>
        <w:numPr>
          <w:ilvl w:val="0"/>
          <w:numId w:val="1060"/>
        </w:numPr>
        <w:pStyle w:val="Compact"/>
      </w:pPr>
      <w:r>
        <w:t xml:space="preserve">Click on the name of the newly created group to enter it.</w:t>
      </w:r>
    </w:p>
    <w:p>
      <w:pPr>
        <w:numPr>
          <w:ilvl w:val="0"/>
          <w:numId w:val="1060"/>
        </w:numPr>
        <w:pStyle w:val="Compact"/>
      </w:pPr>
      <w:r>
        <w:t xml:space="preserve">Click add users. Add users to the group using the same email they used to sign up for AnVIL.</w:t>
      </w:r>
    </w:p>
    <w:p>
      <w:pPr>
        <w:numPr>
          <w:ilvl w:val="0"/>
          <w:numId w:val="1060"/>
        </w:numPr>
        <w:pStyle w:val="Compact"/>
      </w:pPr>
      <w:r>
        <w:t xml:space="preserve">You can use the group email created for the group seen on the group management page to manage everyone in that group. For example, you can add everyone in the group to a workspace by adding this group email to the billing project.</w:t>
      </w:r>
    </w:p>
    <w:bookmarkEnd w:id="177"/>
    <w:bookmarkStart w:id="187" w:name="clone-a-workspace-on-anvil"/>
    <w:p>
      <w:pPr>
        <w:pStyle w:val="Heading3"/>
      </w:pPr>
      <w:r>
        <w:rPr>
          <w:rStyle w:val="SectionNumber"/>
        </w:rPr>
        <w:t xml:space="preserve">2.3.3</w:t>
      </w:r>
      <w:r>
        <w:tab/>
      </w:r>
      <w:r>
        <w:t xml:space="preserve">Clone a workspace on AnVIL</w:t>
      </w:r>
    </w:p>
    <w:p>
      <w:pPr>
        <w:pStyle w:val="FirstParagraph"/>
      </w:pPr>
      <w:r>
        <w:drawing>
          <wp:inline>
            <wp:extent cx="5334000" cy="3000375"/>
            <wp:effectExtent b="0" l="0" r="0" t="0"/>
            <wp:docPr descr="" title="" id="179" name="Picture"/>
            <a:graphic>
              <a:graphicData uri="http://schemas.openxmlformats.org/drawingml/2006/picture">
                <pic:pic>
                  <pic:nvPicPr>
                    <pic:cNvPr descr="anvil-setup-workspace_files/figure-docx//1uCiZDAwgh1iM5XPlpbK5uz7oVBujmimUXVQaR8iGuho_g368970cb22e_0_0.png" id="180" name="Picture"/>
                    <pic:cNvPicPr>
                      <a:picLocks noChangeArrowheads="1" noChangeAspect="1"/>
                    </pic:cNvPicPr>
                  </pic:nvPicPr>
                  <pic:blipFill>
                    <a:blip r:embed="rId17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instructor will clone the workspace in AnVIL. We recommend cloning one workspace for each section you teach. Each workspace can be shared by approximately 50 students without issue. You can clone multiple workspaces for exceptionally large classes. Students in a given section will use the cloned workspace for all learning modules and the research project.</w:t>
      </w:r>
    </w:p>
    <w:p>
      <w:pPr>
        <w:numPr>
          <w:ilvl w:val="0"/>
          <w:numId w:val="1061"/>
        </w:numPr>
        <w:pStyle w:val="Compact"/>
      </w:pPr>
      <w:r>
        <w:t xml:space="preserve">While logged into AnVIL, using the hamburger icon in the top left corner of the screen, navigate to the workspaces page</w:t>
      </w:r>
    </w:p>
    <w:p>
      <w:pPr>
        <w:numPr>
          <w:ilvl w:val="0"/>
          <w:numId w:val="1061"/>
        </w:numPr>
        <w:pStyle w:val="Compact"/>
      </w:pPr>
      <w:r>
        <w:t xml:space="preserve">Select the public tab</w:t>
      </w:r>
    </w:p>
    <w:p>
      <w:pPr>
        <w:numPr>
          <w:ilvl w:val="0"/>
          <w:numId w:val="1061"/>
        </w:numPr>
        <w:pStyle w:val="Compact"/>
      </w:pPr>
      <w:r>
        <w:t xml:space="preserve">Search for the desired workspace. Your instructor will tell you which workspace to look for (miniCURE-RNA-seq or miniCURE-16S-microbiome).</w:t>
      </w:r>
    </w:p>
    <w:p>
      <w:pPr>
        <w:numPr>
          <w:ilvl w:val="0"/>
          <w:numId w:val="1061"/>
        </w:numPr>
        <w:pStyle w:val="Compact"/>
      </w:pPr>
      <w:r>
        <w:t xml:space="preserve">Click on the more options icon on the right side of the desired workspace and click clone</w:t>
      </w:r>
    </w:p>
    <w:p>
      <w:pPr>
        <w:pStyle w:val="FirstParagraph"/>
      </w:pPr>
      <w:r>
        <w:drawing>
          <wp:inline>
            <wp:extent cx="5334000" cy="3000375"/>
            <wp:effectExtent b="0" l="0" r="0" t="0"/>
            <wp:docPr descr="" title="" id="182" name="Picture"/>
            <a:graphic>
              <a:graphicData uri="http://schemas.openxmlformats.org/drawingml/2006/picture">
                <pic:pic>
                  <pic:nvPicPr>
                    <pic:cNvPr descr="anvil-setup-workspace_files/figure-docx//1uCiZDAwgh1iM5XPlpbK5uz7oVBujmimUXVQaR8iGuho_g368970cb22e_0_147.png" id="183" name="Picture"/>
                    <pic:cNvPicPr>
                      <a:picLocks noChangeArrowheads="1" noChangeAspect="1"/>
                    </pic:cNvPicPr>
                  </pic:nvPicPr>
                  <pic:blipFill>
                    <a:blip r:embed="rId18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62"/>
        </w:numPr>
        <w:pStyle w:val="Compact"/>
      </w:pPr>
      <w:r>
        <w:t xml:space="preserve">Give the cloned workspace a unique name. We recommend choosing the class and section name that the workspace is intended for.</w:t>
      </w:r>
    </w:p>
    <w:p>
      <w:pPr>
        <w:numPr>
          <w:ilvl w:val="0"/>
          <w:numId w:val="1062"/>
        </w:numPr>
        <w:pStyle w:val="Compact"/>
      </w:pPr>
      <w:r>
        <w:t xml:space="preserve">Confirm the billing project is the one you want to use. In this example, we have a billing project by semester and curriculum. All computational costs by students in the workspace will be billed ot this account.</w:t>
      </w:r>
    </w:p>
    <w:p>
      <w:pPr>
        <w:pStyle w:val="FirstParagraph"/>
      </w:pPr>
      <w:r>
        <w:drawing>
          <wp:inline>
            <wp:extent cx="5334000" cy="3000375"/>
            <wp:effectExtent b="0" l="0" r="0" t="0"/>
            <wp:docPr descr="" title="" id="185" name="Picture"/>
            <a:graphic>
              <a:graphicData uri="http://schemas.openxmlformats.org/drawingml/2006/picture">
                <pic:pic>
                  <pic:nvPicPr>
                    <pic:cNvPr descr="anvil-setup-workspace_files/figure-docx//1uCiZDAwgh1iM5XPlpbK5uz7oVBujmimUXVQaR8iGuho_g368970cb22e_0_151.png" id="186" name="Picture"/>
                    <pic:cNvPicPr>
                      <a:picLocks noChangeArrowheads="1" noChangeAspect="1"/>
                    </pic:cNvPicPr>
                  </pic:nvPicPr>
                  <pic:blipFill>
                    <a:blip r:embed="rId18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63"/>
        </w:numPr>
        <w:pStyle w:val="Compact"/>
      </w:pPr>
      <w:r>
        <w:t xml:space="preserve">In the sharing step, add the students to the workspace using their group email. Refer to the section on managing students with groups for more information on adding students to groups.</w:t>
      </w:r>
    </w:p>
    <w:p>
      <w:pPr>
        <w:numPr>
          <w:ilvl w:val="0"/>
          <w:numId w:val="1063"/>
        </w:numPr>
        <w:pStyle w:val="Compact"/>
      </w:pPr>
      <w:r>
        <w:t xml:space="preserve">Make the students writers.</w:t>
      </w:r>
    </w:p>
    <w:p>
      <w:pPr>
        <w:numPr>
          <w:ilvl w:val="0"/>
          <w:numId w:val="1063"/>
        </w:numPr>
        <w:pStyle w:val="Compact"/>
      </w:pPr>
      <w:r>
        <w:t xml:space="preserve">Confirm that the can compute box is checked. This allows the students to computational resources on the cloud. Without it, they won’t be able to open any modules or run any code.</w:t>
      </w:r>
    </w:p>
    <w:p>
      <w:pPr>
        <w:numPr>
          <w:ilvl w:val="0"/>
          <w:numId w:val="1063"/>
        </w:numPr>
        <w:pStyle w:val="Compact"/>
      </w:pPr>
      <w:r>
        <w:t xml:space="preserve">The other options can be left as defaults. Finish cloning the workspace.</w:t>
      </w:r>
    </w:p>
    <w:p>
      <w:pPr>
        <w:pStyle w:val="FirstParagraph"/>
      </w:pPr>
      <w:r>
        <w:rPr>
          <w:bCs/>
          <w:b/>
        </w:rPr>
        <w:t xml:space="preserve">Students should now have access to the workspace. To view your workspaces, click on the hamburger icon in the top left of the screen and go to the Workspaces tab. We recommend that any further management of people and their access to the workspaces be done by managing their group.</w:t>
      </w:r>
    </w:p>
    <w:bookmarkEnd w:id="187"/>
    <w:bookmarkEnd w:id="188"/>
    <w:bookmarkEnd w:id="189"/>
    <w:bookmarkStart w:id="268" w:name="scientific-posters"/>
    <w:p>
      <w:pPr>
        <w:pStyle w:val="Heading1"/>
      </w:pPr>
      <w:r>
        <w:rPr>
          <w:rStyle w:val="SectionNumber"/>
        </w:rPr>
        <w:t xml:space="preserve">3</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064"/>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065"/>
        </w:numPr>
        <w:pStyle w:val="Compact"/>
      </w:pPr>
      <w:r>
        <w:t xml:space="preserve">The Clovis Community College Research Day</w:t>
      </w:r>
    </w:p>
    <w:p>
      <w:pPr>
        <w:numPr>
          <w:ilvl w:val="1"/>
          <w:numId w:val="1065"/>
        </w:numPr>
        <w:pStyle w:val="Compact"/>
      </w:pPr>
      <w:r>
        <w:t xml:space="preserve">The Notre Dame of Maryland University Research Day</w:t>
      </w:r>
    </w:p>
    <w:p>
      <w:pPr>
        <w:numPr>
          <w:ilvl w:val="1"/>
          <w:numId w:val="1065"/>
        </w:numPr>
        <w:pStyle w:val="Compact"/>
      </w:pPr>
      <w:r>
        <w:t xml:space="preserve">The GRADS-4C Conference (2025)</w:t>
      </w:r>
    </w:p>
    <w:p>
      <w:pPr>
        <w:pStyle w:val="FirstParagraph"/>
      </w:pPr>
      <w:r>
        <w:drawing>
          <wp:inline>
            <wp:extent cx="5334000" cy="3000375"/>
            <wp:effectExtent b="0" l="0" r="0" t="0"/>
            <wp:docPr descr="" title="" id="191" name="Picture"/>
            <a:graphic>
              <a:graphicData uri="http://schemas.openxmlformats.org/drawingml/2006/picture">
                <pic:pic>
                  <pic:nvPicPr>
                    <pic:cNvPr descr="making-group-poster_files/figure-docx//1dI8-_iVqbkzNMf11M4dK85E8ZW3OyZECs_YwMKw5fhs_g362974128df_0_0.png" id="192" name="Picture"/>
                    <pic:cNvPicPr>
                      <a:picLocks noChangeArrowheads="1" noChangeAspect="1"/>
                    </pic:cNvPicPr>
                  </pic:nvPicPr>
                  <pic:blipFill>
                    <a:blip r:embed="rId19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66"/>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066"/>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193">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066"/>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194">
        <w:r>
          <w:rPr>
            <w:rStyle w:val="Hyperlink"/>
          </w:rPr>
          <w:t xml:space="preserve">poster on posters!</w:t>
        </w:r>
      </w:hyperlink>
    </w:p>
    <w:bookmarkStart w:id="243" w:name="making-a-group-poster"/>
    <w:p>
      <w:pPr>
        <w:pStyle w:val="Heading2"/>
      </w:pPr>
      <w:r>
        <w:rPr>
          <w:rStyle w:val="SectionNumber"/>
        </w:rPr>
        <w:t xml:space="preserve">3.1</w:t>
      </w:r>
      <w:r>
        <w:tab/>
      </w:r>
      <w:r>
        <w:t xml:space="preserve">Making a Group Poster</w:t>
      </w:r>
    </w:p>
    <w:bookmarkStart w:id="195" w:name="preparing-to-make-a-poster"/>
    <w:p>
      <w:pPr>
        <w:pStyle w:val="Heading3"/>
      </w:pPr>
      <w:r>
        <w:rPr>
          <w:rStyle w:val="SectionNumber"/>
        </w:rPr>
        <w:t xml:space="preserve">3.1.1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195"/>
    <w:bookmarkStart w:id="197" w:name="part-1---choose-a-template"/>
    <w:p>
      <w:pPr>
        <w:pStyle w:val="Heading3"/>
      </w:pPr>
      <w:r>
        <w:rPr>
          <w:rStyle w:val="SectionNumber"/>
        </w:rPr>
        <w:t xml:space="preserve">3.1.2</w:t>
      </w:r>
      <w:r>
        <w:tab/>
      </w:r>
      <w:r>
        <w:t xml:space="preserve">Part 1 - Choose a Template</w:t>
      </w:r>
    </w:p>
    <w:p>
      <w:pPr>
        <w:pStyle w:val="FirstParagraph"/>
      </w:pPr>
      <w:r>
        <w:rPr>
          <w:iCs/>
          <w:i/>
        </w:rPr>
        <w:t xml:space="preserve">Estimated time: 5 minutes</w:t>
      </w:r>
    </w:p>
    <w:p>
      <w:pPr>
        <w:numPr>
          <w:ilvl w:val="0"/>
          <w:numId w:val="1067"/>
        </w:numPr>
        <w:pStyle w:val="Compact"/>
      </w:pPr>
      <w:r>
        <w:t xml:space="preserve">With your group, open a suggested</w:t>
      </w:r>
      <w:r>
        <w:t xml:space="preserve"> </w:t>
      </w:r>
      <w:hyperlink r:id="rId196">
        <w:r>
          <w:rPr>
            <w:rStyle w:val="Hyperlink"/>
          </w:rPr>
          <w:t xml:space="preserve">poster template</w:t>
        </w:r>
      </w:hyperlink>
      <w:r>
        <w:t xml:space="preserve"> </w:t>
      </w:r>
      <w:r>
        <w:t xml:space="preserve">to use for your poster.</w:t>
      </w:r>
    </w:p>
    <w:p>
      <w:pPr>
        <w:numPr>
          <w:ilvl w:val="0"/>
          <w:numId w:val="1067"/>
        </w:numPr>
        <w:pStyle w:val="Compact"/>
      </w:pPr>
      <w:r>
        <w:t xml:space="preserve">Discuss with your group how you will divide up the work and exchange important information (e.g. phone numbers, email). Consider the following sections:</w:t>
      </w:r>
    </w:p>
    <w:p>
      <w:pPr>
        <w:numPr>
          <w:ilvl w:val="0"/>
          <w:numId w:val="1068"/>
        </w:numPr>
        <w:pStyle w:val="Compact"/>
      </w:pPr>
      <w:r>
        <w:t xml:space="preserve">Abstract/Introduction</w:t>
      </w:r>
    </w:p>
    <w:p>
      <w:pPr>
        <w:numPr>
          <w:ilvl w:val="0"/>
          <w:numId w:val="1068"/>
        </w:numPr>
        <w:pStyle w:val="Compact"/>
      </w:pPr>
      <w:r>
        <w:t xml:space="preserve">Methods</w:t>
      </w:r>
    </w:p>
    <w:p>
      <w:pPr>
        <w:numPr>
          <w:ilvl w:val="0"/>
          <w:numId w:val="1068"/>
        </w:numPr>
        <w:pStyle w:val="Compact"/>
      </w:pPr>
      <w:r>
        <w:t xml:space="preserve">Results</w:t>
      </w:r>
    </w:p>
    <w:p>
      <w:pPr>
        <w:numPr>
          <w:ilvl w:val="0"/>
          <w:numId w:val="1068"/>
        </w:numPr>
        <w:pStyle w:val="Compact"/>
      </w:pPr>
      <w:r>
        <w:t xml:space="preserve">Conclusions/Discussion</w:t>
      </w:r>
    </w:p>
    <w:p>
      <w:pPr>
        <w:numPr>
          <w:ilvl w:val="0"/>
          <w:numId w:val="1068"/>
        </w:numPr>
        <w:pStyle w:val="Compact"/>
      </w:pPr>
      <w:r>
        <w:t xml:space="preserve">References</w:t>
      </w:r>
    </w:p>
    <w:p>
      <w:pPr>
        <w:numPr>
          <w:ilvl w:val="0"/>
          <w:numId w:val="1068"/>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197"/>
    <w:bookmarkStart w:id="235" w:name="X9dd2b8024e6c3fdd878c8e33fa6eaacd3888b94"/>
    <w:p>
      <w:pPr>
        <w:pStyle w:val="Heading3"/>
      </w:pPr>
      <w:r>
        <w:rPr>
          <w:rStyle w:val="SectionNumber"/>
        </w:rPr>
        <w:t xml:space="preserve">3.1.3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201" w:name="X617250bed78d561e84c31c5ecdd196317cafb67"/>
    <w:p>
      <w:pPr>
        <w:pStyle w:val="Heading4"/>
      </w:pPr>
      <w:r>
        <w:rPr>
          <w:rStyle w:val="SectionNumber"/>
        </w:rPr>
        <w:t xml:space="preserve">3.1.3.1</w:t>
      </w:r>
      <w:r>
        <w:tab/>
      </w:r>
      <w:r>
        <w:t xml:space="preserve">The header: title, authors, and affiliations</w:t>
      </w:r>
    </w:p>
    <w:p>
      <w:pPr>
        <w:pStyle w:val="FirstParagraph"/>
      </w:pPr>
      <w:r>
        <w:drawing>
          <wp:inline>
            <wp:extent cx="5334000" cy="3000375"/>
            <wp:effectExtent b="0" l="0" r="0" t="0"/>
            <wp:docPr descr="" title="" id="199" name="Picture"/>
            <a:graphic>
              <a:graphicData uri="http://schemas.openxmlformats.org/drawingml/2006/picture">
                <pic:pic>
                  <pic:nvPicPr>
                    <pic:cNvPr descr="making-group-poster_files/figure-docx//1hYKF7Ss3vJ8rrUIH7ByNh1BUlRa2fhsJhq8MXzEowCc_g33d6e3b928f_0_67.png" id="200" name="Picture"/>
                    <pic:cNvPicPr>
                      <a:picLocks noChangeArrowheads="1" noChangeAspect="1"/>
                    </pic:cNvPicPr>
                  </pic:nvPicPr>
                  <pic:blipFill>
                    <a:blip r:embed="rId1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069"/>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069"/>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070"/>
        </w:numPr>
        <w:pStyle w:val="Compact"/>
      </w:pPr>
      <w:r>
        <w:t xml:space="preserve">The title of the poster describes the main result of your research</w:t>
      </w:r>
    </w:p>
    <w:p>
      <w:pPr>
        <w:numPr>
          <w:ilvl w:val="0"/>
          <w:numId w:val="1070"/>
        </w:numPr>
        <w:pStyle w:val="Compact"/>
      </w:pPr>
      <w:r>
        <w:t xml:space="preserve">The title of the poster does not overstate the findings or significance of your research</w:t>
      </w:r>
    </w:p>
    <w:bookmarkEnd w:id="201"/>
    <w:bookmarkStart w:id="205" w:name="abstract"/>
    <w:p>
      <w:pPr>
        <w:pStyle w:val="Heading4"/>
      </w:pPr>
      <w:r>
        <w:rPr>
          <w:rStyle w:val="SectionNumber"/>
        </w:rPr>
        <w:t xml:space="preserve">3.1.3.2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203" name="Picture"/>
            <a:graphic>
              <a:graphicData uri="http://schemas.openxmlformats.org/drawingml/2006/picture">
                <pic:pic>
                  <pic:nvPicPr>
                    <pic:cNvPr descr="making-group-poster_files/figure-docx//1dI8-_iVqbkzNMf11M4dK85E8ZW3OyZECs_YwMKw5fhs_g36d8202a6d3_0_0.pn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071"/>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072"/>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073"/>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074"/>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205"/>
    <w:bookmarkStart w:id="212" w:name="introduction-4"/>
    <w:p>
      <w:pPr>
        <w:pStyle w:val="Heading4"/>
      </w:pPr>
      <w:r>
        <w:rPr>
          <w:rStyle w:val="SectionNumber"/>
        </w:rPr>
        <w:t xml:space="preserve">3.1.3.3</w:t>
      </w:r>
      <w:r>
        <w:tab/>
      </w:r>
      <w:r>
        <w:t xml:space="preserve">Introduction</w:t>
      </w:r>
    </w:p>
    <w:p>
      <w:pPr>
        <w:pStyle w:val="FirstParagraph"/>
      </w:pPr>
      <w:r>
        <w:drawing>
          <wp:inline>
            <wp:extent cx="5334000" cy="3000375"/>
            <wp:effectExtent b="0" l="0" r="0" t="0"/>
            <wp:docPr descr="" title="" id="207" name="Picture"/>
            <a:graphic>
              <a:graphicData uri="http://schemas.openxmlformats.org/drawingml/2006/picture">
                <pic:pic>
                  <pic:nvPicPr>
                    <pic:cNvPr descr="making-group-poster_files/figure-docx//1dI8-_iVqbkzNMf11M4dK85E8ZW3OyZECs_YwMKw5fhs_g362974128df_0_18.png" id="208" name="Picture"/>
                    <pic:cNvPicPr>
                      <a:picLocks noChangeArrowheads="1" noChangeAspect="1"/>
                    </pic:cNvPicPr>
                  </pic:nvPicPr>
                  <pic:blipFill>
                    <a:blip r:embed="rId2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075"/>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210" name="Picture"/>
            <a:graphic>
              <a:graphicData uri="http://schemas.openxmlformats.org/drawingml/2006/picture">
                <pic:pic>
                  <pic:nvPicPr>
                    <pic:cNvPr descr="making-group-poster_files/figure-docx//1hYKF7Ss3vJ8rrUIH7ByNh1BUlRa2fhsJhq8MXzEowCc_g33d6e3b928f_0_149.png" id="211" name="Picture"/>
                    <pic:cNvPicPr>
                      <a:picLocks noChangeArrowheads="1" noChangeAspect="1"/>
                    </pic:cNvPicPr>
                  </pic:nvPicPr>
                  <pic:blipFill>
                    <a:blip r:embed="rId209"/>
                    <a:stretch>
                      <a:fillRect/>
                    </a:stretch>
                  </pic:blipFill>
                  <pic:spPr bwMode="auto">
                    <a:xfrm>
                      <a:off x="0" y="0"/>
                      <a:ext cx="5334000" cy="3000375"/>
                    </a:xfrm>
                    <a:prstGeom prst="rect">
                      <a:avLst/>
                    </a:prstGeom>
                    <a:noFill/>
                    <a:ln w="9525">
                      <a:noFill/>
                      <a:headEnd/>
                      <a:tailEnd/>
                    </a:ln>
                  </pic:spPr>
                </pic:pic>
              </a:graphicData>
            </a:graphic>
          </wp:inline>
        </w:drawing>
      </w:r>
    </w:p>
    <w:bookmarkEnd w:id="212"/>
    <w:bookmarkStart w:id="216" w:name="materials-and-methods"/>
    <w:p>
      <w:pPr>
        <w:pStyle w:val="Heading4"/>
      </w:pPr>
      <w:r>
        <w:rPr>
          <w:rStyle w:val="SectionNumber"/>
        </w:rPr>
        <w:t xml:space="preserve">3.1.3.4</w:t>
      </w:r>
      <w:r>
        <w:tab/>
      </w:r>
      <w:r>
        <w:t xml:space="preserve">Materials and Methods</w:t>
      </w:r>
    </w:p>
    <w:p>
      <w:pPr>
        <w:pStyle w:val="FirstParagraph"/>
      </w:pPr>
      <w:r>
        <w:drawing>
          <wp:inline>
            <wp:extent cx="5334000" cy="3000375"/>
            <wp:effectExtent b="0" l="0" r="0" t="0"/>
            <wp:docPr descr="" title="" id="214" name="Picture"/>
            <a:graphic>
              <a:graphicData uri="http://schemas.openxmlformats.org/drawingml/2006/picture">
                <pic:pic>
                  <pic:nvPicPr>
                    <pic:cNvPr descr="making-group-poster_files/figure-docx//1hYKF7Ss3vJ8rrUIH7ByNh1BUlRa2fhsJhq8MXzEowCc_g33d6e3b928f_1_1.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216"/>
    <w:bookmarkStart w:id="220" w:name="results"/>
    <w:p>
      <w:pPr>
        <w:pStyle w:val="Heading4"/>
      </w:pPr>
      <w:r>
        <w:rPr>
          <w:rStyle w:val="SectionNumber"/>
        </w:rPr>
        <w:t xml:space="preserve">3.1.3.5</w:t>
      </w:r>
      <w:r>
        <w:tab/>
      </w:r>
      <w:r>
        <w:t xml:space="preserve">Results</w:t>
      </w:r>
    </w:p>
    <w:p>
      <w:pPr>
        <w:pStyle w:val="FirstParagraph"/>
      </w:pPr>
      <w:r>
        <w:drawing>
          <wp:inline>
            <wp:extent cx="5334000" cy="3000375"/>
            <wp:effectExtent b="0" l="0" r="0" t="0"/>
            <wp:docPr descr="" title="" id="218" name="Picture"/>
            <a:graphic>
              <a:graphicData uri="http://schemas.openxmlformats.org/drawingml/2006/picture">
                <pic:pic>
                  <pic:nvPicPr>
                    <pic:cNvPr descr="making-group-poster_files/figure-docx//1hYKF7Ss3vJ8rrUIH7ByNh1BUlRa2fhsJhq8MXzEowCc_g33d6e3b928f_0_6.png" id="219" name="Picture"/>
                    <pic:cNvPicPr>
                      <a:picLocks noChangeArrowheads="1" noChangeAspect="1"/>
                    </pic:cNvPicPr>
                  </pic:nvPicPr>
                  <pic:blipFill>
                    <a:blip r:embed="rId2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076"/>
        </w:numPr>
        <w:pStyle w:val="Compact"/>
      </w:pPr>
      <w:r>
        <w:t xml:space="preserve">Has high resolution images, well spaced and labeled parts and text.</w:t>
      </w:r>
    </w:p>
    <w:p>
      <w:pPr>
        <w:numPr>
          <w:ilvl w:val="0"/>
          <w:numId w:val="1076"/>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077"/>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077"/>
        </w:numPr>
        <w:pStyle w:val="Compact"/>
      </w:pPr>
      <w:r>
        <w:t xml:space="preserve">The legend should be in a smaller font than the main text on the poster.</w:t>
      </w:r>
    </w:p>
    <w:p>
      <w:pPr>
        <w:numPr>
          <w:ilvl w:val="0"/>
          <w:numId w:val="1077"/>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077"/>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078"/>
        </w:numPr>
        <w:pStyle w:val="Compact"/>
      </w:pPr>
      <w:r>
        <w:t xml:space="preserve">Figures and Tables can have additional (optional) text. E.g.an optional text can describe the findings of the figure upfront to engage.</w:t>
      </w:r>
    </w:p>
    <w:p>
      <w:pPr>
        <w:numPr>
          <w:ilvl w:val="0"/>
          <w:numId w:val="1078"/>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078"/>
        </w:numPr>
        <w:pStyle w:val="Compact"/>
      </w:pPr>
      <w:r>
        <w:t xml:space="preserve">Bullet pointed text that summarizes the main findings of the figures/tables.</w:t>
      </w:r>
    </w:p>
    <w:bookmarkEnd w:id="220"/>
    <w:bookmarkStart w:id="224" w:name="conclusionsdiscussion"/>
    <w:p>
      <w:pPr>
        <w:pStyle w:val="Heading4"/>
      </w:pPr>
      <w:r>
        <w:rPr>
          <w:rStyle w:val="SectionNumber"/>
        </w:rPr>
        <w:t xml:space="preserve">3.1.3.6</w:t>
      </w:r>
      <w:r>
        <w:tab/>
      </w:r>
      <w:r>
        <w:t xml:space="preserve">Conclusions/Discussion</w:t>
      </w:r>
    </w:p>
    <w:p>
      <w:pPr>
        <w:pStyle w:val="FirstParagraph"/>
      </w:pPr>
      <w:r>
        <w:drawing>
          <wp:inline>
            <wp:extent cx="5334000" cy="3000375"/>
            <wp:effectExtent b="0" l="0" r="0" t="0"/>
            <wp:docPr descr="" title="" id="222" name="Picture"/>
            <a:graphic>
              <a:graphicData uri="http://schemas.openxmlformats.org/drawingml/2006/picture">
                <pic:pic>
                  <pic:nvPicPr>
                    <pic:cNvPr descr="making-group-poster_files/figure-docx//1dI8-_iVqbkzNMf11M4dK85E8ZW3OyZECs_YwMKw5fhs_g362974128df_0_52.png" id="223" name="Picture"/>
                    <pic:cNvPicPr>
                      <a:picLocks noChangeArrowheads="1" noChangeAspect="1"/>
                    </pic:cNvPicPr>
                  </pic:nvPicPr>
                  <pic:blipFill>
                    <a:blip r:embed="rId2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079"/>
        </w:numPr>
        <w:pStyle w:val="Compact"/>
      </w:pPr>
      <w:r>
        <w:t xml:space="preserve">What do your results mean?</w:t>
      </w:r>
    </w:p>
    <w:p>
      <w:pPr>
        <w:numPr>
          <w:ilvl w:val="0"/>
          <w:numId w:val="1079"/>
        </w:numPr>
        <w:pStyle w:val="Compact"/>
      </w:pPr>
      <w:r>
        <w:t xml:space="preserve">How do they fit into the bigger picture?</w:t>
      </w:r>
    </w:p>
    <w:p>
      <w:pPr>
        <w:numPr>
          <w:ilvl w:val="0"/>
          <w:numId w:val="1079"/>
        </w:numPr>
        <w:pStyle w:val="Compact"/>
      </w:pPr>
      <w:r>
        <w:t xml:space="preserve">If any experiments did not give expected results, hypothesize why that might have been the case and propose alternate experiments that could confirm or clarify your results.</w:t>
      </w:r>
    </w:p>
    <w:p>
      <w:pPr>
        <w:numPr>
          <w:ilvl w:val="0"/>
          <w:numId w:val="1079"/>
        </w:numPr>
        <w:pStyle w:val="Compact"/>
      </w:pPr>
      <w:r>
        <w:t xml:space="preserve">Include at least one sentence of future work that you would do if you had more time or what students in upcoming semesters could do to continue to answer your questions.</w:t>
      </w:r>
    </w:p>
    <w:bookmarkEnd w:id="224"/>
    <w:bookmarkStart w:id="230" w:name="references"/>
    <w:p>
      <w:pPr>
        <w:pStyle w:val="Heading4"/>
      </w:pPr>
      <w:r>
        <w:rPr>
          <w:rStyle w:val="SectionNumber"/>
        </w:rPr>
        <w:t xml:space="preserve">3.1.3.7</w:t>
      </w:r>
      <w:r>
        <w:tab/>
      </w:r>
      <w:r>
        <w:t xml:space="preserve">References</w:t>
      </w:r>
    </w:p>
    <w:p>
      <w:pPr>
        <w:pStyle w:val="FirstParagraph"/>
      </w:pPr>
      <w:r>
        <w:drawing>
          <wp:inline>
            <wp:extent cx="5334000" cy="3000375"/>
            <wp:effectExtent b="0" l="0" r="0" t="0"/>
            <wp:docPr descr="" title="" id="226" name="Picture"/>
            <a:graphic>
              <a:graphicData uri="http://schemas.openxmlformats.org/drawingml/2006/picture">
                <pic:pic>
                  <pic:nvPicPr>
                    <pic:cNvPr descr="making-group-poster_files/figure-docx//1dI8-_iVqbkzNMf11M4dK85E8ZW3OyZECs_YwMKw5fhs_g362974128df_0_80.png" id="227" name="Picture"/>
                    <pic:cNvPicPr>
                      <a:picLocks noChangeArrowheads="1" noChangeAspect="1"/>
                    </pic:cNvPicPr>
                  </pic:nvPicPr>
                  <pic:blipFill>
                    <a:blip r:embed="rId2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228">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229">
        <w:r>
          <w:rPr>
            <w:rStyle w:val="Hyperlink"/>
          </w:rPr>
          <w:t xml:space="preserve">doi:10.7554/eLife.00886</w:t>
        </w:r>
      </w:hyperlink>
    </w:p>
    <w:bookmarkEnd w:id="230"/>
    <w:bookmarkStart w:id="234" w:name="acknowledgements"/>
    <w:p>
      <w:pPr>
        <w:pStyle w:val="Heading4"/>
      </w:pPr>
      <w:r>
        <w:rPr>
          <w:rStyle w:val="SectionNumber"/>
        </w:rPr>
        <w:t xml:space="preserve">3.1.3.8</w:t>
      </w:r>
      <w:r>
        <w:tab/>
      </w:r>
      <w:r>
        <w:t xml:space="preserve">Acknowledgements</w:t>
      </w:r>
    </w:p>
    <w:p>
      <w:pPr>
        <w:pStyle w:val="FirstParagraph"/>
      </w:pPr>
      <w:r>
        <w:drawing>
          <wp:inline>
            <wp:extent cx="5334000" cy="3000375"/>
            <wp:effectExtent b="0" l="0" r="0" t="0"/>
            <wp:docPr descr="" title="" id="232" name="Picture"/>
            <a:graphic>
              <a:graphicData uri="http://schemas.openxmlformats.org/drawingml/2006/picture">
                <pic:pic>
                  <pic:nvPicPr>
                    <pic:cNvPr descr="making-group-poster_files/figure-docx//1dI8-_iVqbkzNMf11M4dK85E8ZW3OyZECs_YwMKw5fhs_g362974128df_0_30.png" id="233" name="Picture"/>
                    <pic:cNvPicPr>
                      <a:picLocks noChangeArrowheads="1" noChangeAspect="1"/>
                    </pic:cNvPicPr>
                  </pic:nvPicPr>
                  <pic:blipFill>
                    <a:blip r:embed="rId2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234"/>
    <w:bookmarkEnd w:id="235"/>
    <w:bookmarkStart w:id="236" w:name="part-3---proofread-and-add-final-touches"/>
    <w:p>
      <w:pPr>
        <w:pStyle w:val="Heading3"/>
      </w:pPr>
      <w:r>
        <w:rPr>
          <w:rStyle w:val="SectionNumber"/>
        </w:rPr>
        <w:t xml:space="preserve">3.1.4</w:t>
      </w:r>
      <w:r>
        <w:tab/>
      </w:r>
      <w:r>
        <w:t xml:space="preserve">Part 3 - Proofread and Add Final Touches</w:t>
      </w:r>
    </w:p>
    <w:p>
      <w:pPr>
        <w:pStyle w:val="FirstParagraph"/>
      </w:pPr>
      <w:r>
        <w:rPr>
          <w:iCs/>
          <w:i/>
        </w:rPr>
        <w:t xml:space="preserve">Estimated time: 30 min to an hour</w:t>
      </w:r>
    </w:p>
    <w:p>
      <w:pPr>
        <w:numPr>
          <w:ilvl w:val="0"/>
          <w:numId w:val="1080"/>
        </w:numPr>
        <w:pStyle w:val="Compact"/>
      </w:pPr>
      <w:r>
        <w:t xml:space="preserve">Each group member should re-read the poster from beginning to end and fix any typos or grammatical errors.</w:t>
      </w:r>
    </w:p>
    <w:p>
      <w:pPr>
        <w:numPr>
          <w:ilvl w:val="0"/>
          <w:numId w:val="1080"/>
        </w:numPr>
        <w:pStyle w:val="Compact"/>
      </w:pPr>
      <w:r>
        <w:t xml:space="preserve">Check the alignment of figures, text boxes, titles, etc.</w:t>
      </w:r>
    </w:p>
    <w:p>
      <w:pPr>
        <w:numPr>
          <w:ilvl w:val="0"/>
          <w:numId w:val="1080"/>
        </w:numPr>
        <w:pStyle w:val="Compact"/>
      </w:pPr>
      <w:r>
        <w:t xml:space="preserve">Add some finishing touches. You can play with the color, the font, add additional images if it’s relevant.</w:t>
      </w:r>
    </w:p>
    <w:bookmarkEnd w:id="236"/>
    <w:bookmarkStart w:id="242" w:name="part-4---canvas-discussion"/>
    <w:p>
      <w:pPr>
        <w:pStyle w:val="Heading3"/>
      </w:pPr>
      <w:r>
        <w:rPr>
          <w:rStyle w:val="SectionNumber"/>
        </w:rPr>
        <w:t xml:space="preserve">3.1.5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081"/>
        </w:numPr>
        <w:pStyle w:val="Compact"/>
      </w:pPr>
      <w:r>
        <w:t xml:space="preserve">Convert your poster to a pdf.</w:t>
      </w:r>
    </w:p>
    <w:p>
      <w:pPr>
        <w:numPr>
          <w:ilvl w:val="0"/>
          <w:numId w:val="1081"/>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081"/>
        </w:numPr>
        <w:pStyle w:val="Compact"/>
      </w:pPr>
      <w:r>
        <w:t xml:space="preserve">Have one member of your group post a pdf of your poster in the Canvas C-MOOR Poster Discussion.</w:t>
      </w:r>
    </w:p>
    <w:p>
      <w:pPr>
        <w:numPr>
          <w:ilvl w:val="1"/>
          <w:numId w:val="1082"/>
        </w:numPr>
        <w:pStyle w:val="Compact"/>
      </w:pPr>
      <w:r>
        <w:t xml:space="preserve">With your poster, introduce your group members and copy and paste your abstract into the post.</w:t>
      </w:r>
    </w:p>
    <w:p>
      <w:pPr>
        <w:numPr>
          <w:ilvl w:val="1"/>
          <w:numId w:val="1082"/>
        </w:numPr>
        <w:pStyle w:val="Compact"/>
      </w:pPr>
      <w:r>
        <w:t xml:space="preserve">Insert your pdf into the post and edit the link so that it automatically shows the inline preview. This will make it easier for students to view your poster.</w:t>
      </w:r>
    </w:p>
    <w:p>
      <w:pPr>
        <w:numPr>
          <w:ilvl w:val="0"/>
          <w:numId w:val="1081"/>
        </w:numPr>
        <w:pStyle w:val="Compact"/>
      </w:pPr>
      <w:r>
        <w:t xml:space="preserve">As an individual, read through the other posters from different groups.</w:t>
      </w:r>
    </w:p>
    <w:p>
      <w:pPr>
        <w:numPr>
          <w:ilvl w:val="0"/>
          <w:numId w:val="1081"/>
        </w:numPr>
        <w:pStyle w:val="Compact"/>
      </w:pPr>
      <w:r>
        <w:t xml:space="preserve">Post comments</w:t>
      </w:r>
    </w:p>
    <w:bookmarkStart w:id="237" w:name="grading-criteria"/>
    <w:p>
      <w:pPr>
        <w:pStyle w:val="Heading4"/>
      </w:pPr>
      <w:r>
        <w:rPr>
          <w:rStyle w:val="SectionNumber"/>
        </w:rPr>
        <w:t xml:space="preserve">3.1.5.1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237"/>
    <w:bookmarkStart w:id="241" w:name="footnotes-3"/>
    <w:p>
      <w:pPr>
        <w:pStyle w:val="Heading4"/>
      </w:pPr>
      <w:r>
        <w:rPr>
          <w:rStyle w:val="SectionNumber"/>
        </w:rPr>
        <w:t xml:space="preserve">3.1.5.2</w:t>
      </w:r>
      <w:r>
        <w:tab/>
      </w:r>
      <w:r>
        <w:t xml:space="preserve">Footnotes</w:t>
      </w:r>
    </w:p>
    <w:p>
      <w:pPr>
        <w:pStyle w:val="FirstParagraph"/>
      </w:pPr>
      <w:r>
        <w:rPr>
          <w:bCs/>
          <w:b/>
        </w:rPr>
        <w:t xml:space="preserve">Resources</w:t>
      </w:r>
    </w:p>
    <w:p>
      <w:pPr>
        <w:numPr>
          <w:ilvl w:val="0"/>
          <w:numId w:val="1083"/>
        </w:numPr>
        <w:pStyle w:val="Compact"/>
      </w:pPr>
      <w:r>
        <w:t xml:space="preserve">[Google Doc]</w:t>
      </w:r>
    </w:p>
    <w:p>
      <w:pPr>
        <w:numPr>
          <w:ilvl w:val="0"/>
          <w:numId w:val="1083"/>
        </w:numPr>
        <w:pStyle w:val="Compact"/>
      </w:pPr>
      <w:hyperlink r:id="rId238">
        <w:r>
          <w:rPr>
            <w:rStyle w:val="Hyperlink"/>
          </w:rPr>
          <w:t xml:space="preserve">Generic rubric</w:t>
        </w:r>
      </w:hyperlink>
    </w:p>
    <w:p>
      <w:pPr>
        <w:pStyle w:val="FirstParagraph"/>
      </w:pPr>
      <w:r>
        <w:rPr>
          <w:bCs/>
          <w:b/>
        </w:rPr>
        <w:t xml:space="preserve">References</w:t>
      </w:r>
    </w:p>
    <w:p>
      <w:pPr>
        <w:numPr>
          <w:ilvl w:val="0"/>
          <w:numId w:val="1084"/>
        </w:numPr>
        <w:pStyle w:val="Compact"/>
      </w:pPr>
      <w:hyperlink r:id="rId239">
        <w:r>
          <w:rPr>
            <w:rStyle w:val="Hyperlink"/>
          </w:rPr>
          <w:t xml:space="preserve">Abstract vs. Introduction</w:t>
        </w:r>
      </w:hyperlink>
    </w:p>
    <w:p>
      <w:pPr>
        <w:numPr>
          <w:ilvl w:val="0"/>
          <w:numId w:val="1084"/>
        </w:numPr>
        <w:pStyle w:val="Compact"/>
      </w:pPr>
      <w:r>
        <w:t xml:space="preserve">[Preparing and presenting effective research posters] (</w:t>
      </w:r>
      <w:hyperlink r:id="rId240">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085"/>
        </w:numPr>
        <w:pStyle w:val="Compact"/>
      </w:pPr>
      <w:r>
        <w:t xml:space="preserve">Stephanie R. Coffman, Clovis Community College</w:t>
      </w:r>
    </w:p>
    <w:p>
      <w:pPr>
        <w:numPr>
          <w:ilvl w:val="0"/>
          <w:numId w:val="1085"/>
        </w:numPr>
        <w:pStyle w:val="Compact"/>
      </w:pPr>
      <w:r>
        <w:t xml:space="preserve">Valeriya Gaysinskaya, Johns Hopkins University</w:t>
      </w:r>
    </w:p>
    <w:p>
      <w:pPr>
        <w:numPr>
          <w:ilvl w:val="0"/>
          <w:numId w:val="1085"/>
        </w:numPr>
        <w:pStyle w:val="Compact"/>
      </w:pPr>
      <w:r>
        <w:t xml:space="preserve">Frederick Tan, Johns Hopkins University</w:t>
      </w:r>
    </w:p>
    <w:p>
      <w:pPr>
        <w:numPr>
          <w:ilvl w:val="0"/>
          <w:numId w:val="1085"/>
        </w:numPr>
        <w:pStyle w:val="Compact"/>
      </w:pPr>
      <w:r>
        <w:t xml:space="preserve">Sayumi York, Notre Dame of Maryland University</w:t>
      </w:r>
    </w:p>
    <w:p>
      <w:pPr>
        <w:pStyle w:val="FirstParagraph"/>
      </w:pPr>
      <w:r>
        <w:t xml:space="preserve">Last Revised: August 2025</w:t>
      </w:r>
    </w:p>
    <w:bookmarkEnd w:id="241"/>
    <w:bookmarkEnd w:id="242"/>
    <w:bookmarkEnd w:id="243"/>
    <w:bookmarkStart w:id="248" w:name="lecture---scientific-posters"/>
    <w:p>
      <w:pPr>
        <w:pStyle w:val="Heading2"/>
      </w:pPr>
      <w:r>
        <w:rPr>
          <w:rStyle w:val="SectionNumber"/>
        </w:rPr>
        <w:t xml:space="preserve">3.2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245" name="Picture"/>
            <a:graphic>
              <a:graphicData uri="http://schemas.openxmlformats.org/drawingml/2006/picture">
                <pic:pic>
                  <pic:nvPicPr>
                    <pic:cNvPr descr="community-analysis-and-feedback_files/figure-docx//1-orSi8DpN22hMt9-6p_rHZnte1YXXLe-a132HDSyd0U_g35f391192_00.png" id="246" name="Picture"/>
                    <pic:cNvPicPr>
                      <a:picLocks noChangeArrowheads="1" noChangeAspect="1"/>
                    </pic:cNvPicPr>
                  </pic:nvPicPr>
                  <pic:blipFill>
                    <a:blip r:embed="rId2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7">
        <w:r>
          <w:rPr>
            <w:rStyle w:val="Hyperlink"/>
          </w:rPr>
          <w:t xml:space="preserve">Scientific Posters</w:t>
        </w:r>
      </w:hyperlink>
    </w:p>
    <w:bookmarkEnd w:id="248"/>
    <w:bookmarkStart w:id="256" w:name="activity---scientific-posters"/>
    <w:p>
      <w:pPr>
        <w:pStyle w:val="Heading2"/>
      </w:pPr>
      <w:r>
        <w:rPr>
          <w:rStyle w:val="SectionNumber"/>
        </w:rPr>
        <w:t xml:space="preserve">3.3</w:t>
      </w:r>
      <w:r>
        <w:tab/>
      </w:r>
      <w:r>
        <w:t xml:space="preserve">Activity - Scientific Posters</w:t>
      </w:r>
    </w:p>
    <w:bookmarkStart w:id="253" w:name="activity"/>
    <w:p>
      <w:pPr>
        <w:pStyle w:val="Heading3"/>
      </w:pPr>
      <w:r>
        <w:rPr>
          <w:rStyle w:val="SectionNumber"/>
        </w:rPr>
        <w:t xml:space="preserve">3.3.1</w:t>
      </w:r>
      <w:r>
        <w:tab/>
      </w:r>
      <w:r>
        <w:t xml:space="preserve">Activity</w:t>
      </w:r>
    </w:p>
    <w:p>
      <w:pPr>
        <w:pStyle w:val="FirstParagraph"/>
      </w:pPr>
      <w:r>
        <w:rPr>
          <w:iCs/>
          <w:i/>
        </w:rPr>
        <w:t xml:space="preserve">Estimated time: —</w:t>
      </w:r>
    </w:p>
    <w:bookmarkStart w:id="252" w:name="instructions"/>
    <w:p>
      <w:pPr>
        <w:pStyle w:val="Heading4"/>
      </w:pPr>
      <w:r>
        <w:rPr>
          <w:rStyle w:val="SectionNumber"/>
        </w:rPr>
        <w:t xml:space="preserve">3.3.1.1</w:t>
      </w:r>
      <w:r>
        <w:tab/>
      </w:r>
      <w:r>
        <w:t xml:space="preserve">Instructions</w:t>
      </w:r>
    </w:p>
    <w:p>
      <w:pPr>
        <w:numPr>
          <w:ilvl w:val="0"/>
          <w:numId w:val="1086"/>
        </w:numPr>
      </w:pPr>
      <w:r>
        <w:t xml:space="preserve">Review</w:t>
      </w:r>
      <w:r>
        <w:t xml:space="preserve"> </w:t>
      </w:r>
      <w:hyperlink r:id="rId249">
        <w:r>
          <w:rPr>
            <w:rStyle w:val="Hyperlink"/>
            <w:bCs/>
            <w:b/>
          </w:rPr>
          <w:t xml:space="preserve">Presentations Guidelines for Posters</w:t>
        </w:r>
      </w:hyperlink>
    </w:p>
    <w:p>
      <w:pPr>
        <w:numPr>
          <w:ilvl w:val="0"/>
          <w:numId w:val="1086"/>
        </w:numPr>
      </w:pPr>
      <w:r>
        <w:t xml:space="preserve">Skim three posters from among the following (must be Biology if from UMBC Posters)</w:t>
      </w:r>
    </w:p>
    <w:p>
      <w:pPr>
        <w:numPr>
          <w:ilvl w:val="0"/>
          <w:numId w:val="1087"/>
        </w:numPr>
      </w:pPr>
      <w:hyperlink r:id="rId39">
        <w:r>
          <w:rPr>
            <w:rStyle w:val="Hyperlink"/>
            <w:bCs/>
            <w:b/>
          </w:rPr>
          <w:t xml:space="preserve">Look at This! Category on the Academy Discussion Forum</w:t>
        </w:r>
      </w:hyperlink>
    </w:p>
    <w:p>
      <w:pPr>
        <w:numPr>
          <w:ilvl w:val="0"/>
          <w:numId w:val="1087"/>
        </w:numPr>
      </w:pPr>
      <w:hyperlink r:id="rId250">
        <w:r>
          <w:rPr>
            <w:rStyle w:val="Hyperlink"/>
            <w:bCs/>
            <w:b/>
          </w:rPr>
          <w:t xml:space="preserve">UMBC Biology Posters</w:t>
        </w:r>
      </w:hyperlink>
    </w:p>
    <w:p>
      <w:pPr>
        <w:numPr>
          <w:ilvl w:val="0"/>
          <w:numId w:val="1087"/>
        </w:numPr>
      </w:pPr>
      <w:hyperlink r:id="rId251">
        <w:r>
          <w:rPr>
            <w:rStyle w:val="Hyperlink"/>
            <w:bCs/>
            <w:b/>
          </w:rPr>
          <w:t xml:space="preserve">The example PacBio Poster</w:t>
        </w:r>
      </w:hyperlink>
    </w:p>
    <w:p>
      <w:pPr>
        <w:numPr>
          <w:ilvl w:val="0"/>
          <w:numId w:val="1088"/>
        </w:numPr>
        <w:pStyle w:val="Compact"/>
      </w:pPr>
      <w:r>
        <w:t xml:space="preserve">Pick one poster and address the following points.</w:t>
      </w:r>
    </w:p>
    <w:p>
      <w:pPr>
        <w:numPr>
          <w:ilvl w:val="0"/>
          <w:numId w:val="1089"/>
        </w:numPr>
      </w:pPr>
      <w:r>
        <w:rPr>
          <w:bCs/>
          <w:b/>
        </w:rPr>
        <w:t xml:space="preserve">Notice</w:t>
      </w:r>
      <w:r>
        <w:t xml:space="preserve"> </w:t>
      </w:r>
      <w:r>
        <w:t xml:space="preserve">– What about this poster most interests you?</w:t>
      </w:r>
    </w:p>
    <w:p>
      <w:pPr>
        <w:numPr>
          <w:ilvl w:val="0"/>
          <w:numId w:val="1089"/>
        </w:numPr>
      </w:pPr>
      <w:r>
        <w:rPr>
          <w:bCs/>
          <w:b/>
        </w:rPr>
        <w:t xml:space="preserve">Wonder</w:t>
      </w:r>
      <w:r>
        <w:t xml:space="preserve"> </w:t>
      </w:r>
      <w:r>
        <w:t xml:space="preserve">– Two or three questions you would ask the authors.</w:t>
      </w:r>
    </w:p>
    <w:p>
      <w:pPr>
        <w:numPr>
          <w:ilvl w:val="0"/>
          <w:numId w:val="1089"/>
        </w:numPr>
      </w:pPr>
      <w:r>
        <w:rPr>
          <w:bCs/>
          <w:b/>
        </w:rPr>
        <w:t xml:space="preserve">Support</w:t>
      </w:r>
      <w:r>
        <w:t xml:space="preserve"> </w:t>
      </w:r>
      <w:r>
        <w:t xml:space="preserve">– Two or three suggestions on how the poster could be improved.</w:t>
      </w:r>
    </w:p>
    <w:bookmarkEnd w:id="252"/>
    <w:bookmarkEnd w:id="253"/>
    <w:bookmarkStart w:id="254" w:name="grading-criteria-1"/>
    <w:p>
      <w:pPr>
        <w:pStyle w:val="Heading3"/>
      </w:pPr>
      <w:r>
        <w:rPr>
          <w:rStyle w:val="SectionNumber"/>
        </w:rPr>
        <w:t xml:space="preserve">3.3.2</w:t>
      </w:r>
      <w:r>
        <w:tab/>
      </w:r>
      <w:r>
        <w:t xml:space="preserve">Grading Criteria</w:t>
      </w:r>
    </w:p>
    <w:p>
      <w:pPr>
        <w:pStyle w:val="FirstParagraph"/>
      </w:pPr>
      <w:r>
        <w:t xml:space="preserve">Comment on your class’ LMS (Blackboard, Canvas, Google Classroom) discussion board or refer to your instructor’s choice.</w:t>
      </w:r>
    </w:p>
    <w:bookmarkEnd w:id="254"/>
    <w:bookmarkStart w:id="255" w:name="footnotes-4"/>
    <w:p>
      <w:pPr>
        <w:pStyle w:val="Heading3"/>
      </w:pPr>
      <w:r>
        <w:rPr>
          <w:rStyle w:val="SectionNumber"/>
        </w:rPr>
        <w:t xml:space="preserve">3.3.3</w:t>
      </w:r>
      <w:r>
        <w:tab/>
      </w:r>
      <w:r>
        <w:t xml:space="preserve">Footnotes</w:t>
      </w:r>
    </w:p>
    <w:p>
      <w:pPr>
        <w:pStyle w:val="FirstParagraph"/>
      </w:pPr>
      <w:r>
        <w:rPr>
          <w:bCs/>
          <w:b/>
        </w:rPr>
        <w:t xml:space="preserve">Contributions and Affiliations</w:t>
      </w:r>
    </w:p>
    <w:p>
      <w:pPr>
        <w:numPr>
          <w:ilvl w:val="0"/>
          <w:numId w:val="1090"/>
        </w:numPr>
        <w:pStyle w:val="Compact"/>
      </w:pPr>
      <w:r>
        <w:t xml:space="preserve">Valeriya Gaysinskaya, Johns Hopkins University</w:t>
      </w:r>
    </w:p>
    <w:p>
      <w:pPr>
        <w:numPr>
          <w:ilvl w:val="0"/>
          <w:numId w:val="1090"/>
        </w:numPr>
        <w:pStyle w:val="Compact"/>
      </w:pPr>
      <w:r>
        <w:t xml:space="preserve">Frederick Tan, Johns Hopkins University</w:t>
      </w:r>
    </w:p>
    <w:p>
      <w:pPr>
        <w:numPr>
          <w:ilvl w:val="0"/>
          <w:numId w:val="1090"/>
        </w:numPr>
        <w:pStyle w:val="Compact"/>
      </w:pPr>
      <w:r>
        <w:t xml:space="preserve">Sayumi York, Notre Dame of Maryland University</w:t>
      </w:r>
    </w:p>
    <w:p>
      <w:pPr>
        <w:pStyle w:val="FirstParagraph"/>
      </w:pPr>
      <w:r>
        <w:t xml:space="preserve">Last Revised: January 2026</w:t>
      </w:r>
    </w:p>
    <w:bookmarkEnd w:id="255"/>
    <w:bookmarkEnd w:id="256"/>
    <w:bookmarkStart w:id="267" w:name="activity---share-your-poster"/>
    <w:p>
      <w:pPr>
        <w:pStyle w:val="Heading2"/>
      </w:pPr>
      <w:r>
        <w:rPr>
          <w:rStyle w:val="SectionNumber"/>
        </w:rPr>
        <w:t xml:space="preserve">3.4</w:t>
      </w:r>
      <w:r>
        <w:tab/>
      </w:r>
      <w:r>
        <w:t xml:space="preserve">Activity - Share Your Poster</w:t>
      </w:r>
    </w:p>
    <w:bookmarkStart w:id="260" w:name="introduction-5"/>
    <w:p>
      <w:pPr>
        <w:pStyle w:val="Heading3"/>
      </w:pPr>
      <w:r>
        <w:rPr>
          <w:rStyle w:val="SectionNumber"/>
        </w:rPr>
        <w:t xml:space="preserve">3.4.1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257" w:name="activity-1-share-your-poster"/>
    <w:p>
      <w:pPr>
        <w:pStyle w:val="Heading4"/>
      </w:pPr>
      <w:r>
        <w:rPr>
          <w:rStyle w:val="SectionNumber"/>
        </w:rPr>
        <w:t xml:space="preserve">3.4.1.1</w:t>
      </w:r>
      <w:r>
        <w:tab/>
      </w:r>
      <w:r>
        <w:t xml:space="preserve">Activity 1 – Share Your Poster</w:t>
      </w:r>
    </w:p>
    <w:p>
      <w:pPr>
        <w:pStyle w:val="FirstParagraph"/>
      </w:pPr>
      <w:r>
        <w:rPr>
          <w:iCs/>
          <w:i/>
        </w:rPr>
        <w:t xml:space="preserve">Estimated time: 20 min</w:t>
      </w:r>
    </w:p>
    <w:bookmarkEnd w:id="257"/>
    <w:bookmarkStart w:id="258" w:name="instructions-1"/>
    <w:p>
      <w:pPr>
        <w:pStyle w:val="Heading4"/>
      </w:pPr>
      <w:r>
        <w:rPr>
          <w:rStyle w:val="SectionNumber"/>
        </w:rPr>
        <w:t xml:space="preserve">3.4.1.2</w:t>
      </w:r>
      <w:r>
        <w:tab/>
      </w:r>
      <w:r>
        <w:t xml:space="preserve">Instructions</w:t>
      </w:r>
    </w:p>
    <w:p>
      <w:pPr>
        <w:numPr>
          <w:ilvl w:val="0"/>
          <w:numId w:val="1091"/>
        </w:numPr>
        <w:pStyle w:val="Compact"/>
      </w:pPr>
      <w:r>
        <w:t xml:space="preserve">Convert and/or download your poster as a .png file in full resolution. Make sure you look at the .png file and confirm the poster is high enough quality that even small text can be read.</w:t>
      </w:r>
    </w:p>
    <w:p>
      <w:pPr>
        <w:numPr>
          <w:ilvl w:val="0"/>
          <w:numId w:val="1092"/>
        </w:numPr>
      </w:pPr>
      <w:r>
        <w:t xml:space="preserve">In Google Slides:</w:t>
      </w:r>
    </w:p>
    <w:p>
      <w:pPr>
        <w:numPr>
          <w:ilvl w:val="1"/>
          <w:numId w:val="1093"/>
        </w:numPr>
      </w:pPr>
      <w:r>
        <w:t xml:space="preserve">Go to File &gt; Download &gt; select PNG image or JPEG image.</w:t>
      </w:r>
    </w:p>
    <w:p>
      <w:pPr>
        <w:numPr>
          <w:ilvl w:val="1"/>
          <w:numId w:val="1093"/>
        </w:numPr>
      </w:pPr>
      <w:r>
        <w:t xml:space="preserve">Locate the downloaded file on your computer. By default, most computers will download files to the</w:t>
      </w:r>
      <w:r>
        <w:t xml:space="preserve"> </w:t>
      </w:r>
      <w:r>
        <w:t xml:space="preserve">“</w:t>
      </w:r>
      <w:r>
        <w:t xml:space="preserve">Download</w:t>
      </w:r>
      <w:r>
        <w:t xml:space="preserve">”</w:t>
      </w:r>
      <w:r>
        <w:t xml:space="preserve"> </w:t>
      </w:r>
      <w:r>
        <w:t xml:space="preserve">folder or the Desktop.</w:t>
      </w:r>
    </w:p>
    <w:p>
      <w:pPr>
        <w:numPr>
          <w:ilvl w:val="0"/>
          <w:numId w:val="1092"/>
        </w:numPr>
      </w:pPr>
      <w:r>
        <w:t xml:space="preserve">In PowerPoint:</w:t>
      </w:r>
    </w:p>
    <w:p>
      <w:pPr>
        <w:numPr>
          <w:ilvl w:val="1"/>
          <w:numId w:val="1094"/>
        </w:numPr>
      </w:pPr>
      <w:r>
        <w:t xml:space="preserve">Enter the File tab to the top of the window, to the left of the Home tab</w:t>
      </w:r>
    </w:p>
    <w:p>
      <w:pPr>
        <w:numPr>
          <w:ilvl w:val="1"/>
          <w:numId w:val="1094"/>
        </w:numPr>
      </w:pPr>
      <w:r>
        <w:t xml:space="preserve">Select Save As</w:t>
      </w:r>
    </w:p>
    <w:p>
      <w:pPr>
        <w:numPr>
          <w:ilvl w:val="1"/>
          <w:numId w:val="1094"/>
        </w:numPr>
      </w:pPr>
      <w:r>
        <w:t xml:space="preserve">Select This PC</w:t>
      </w:r>
    </w:p>
    <w:p>
      <w:pPr>
        <w:numPr>
          <w:ilvl w:val="1"/>
          <w:numId w:val="1094"/>
        </w:numPr>
      </w:pPr>
      <w:r>
        <w:t xml:space="preserve">In the field underneath the file name, select the</w:t>
      </w:r>
      <w:r>
        <w:t xml:space="preserve"> </w:t>
      </w:r>
      <w:r>
        <w:rPr>
          <w:iCs/>
          <w:i/>
        </w:rPr>
        <w:t xml:space="preserve">.png or</w:t>
      </w:r>
      <w:r>
        <w:rPr>
          <w:iCs/>
          <w:i/>
        </w:rPr>
        <w:t xml:space="preserve"> </w:t>
      </w:r>
      <w:r>
        <w:t xml:space="preserve">.jpg format</w:t>
      </w:r>
    </w:p>
    <w:p>
      <w:pPr>
        <w:numPr>
          <w:ilvl w:val="1"/>
          <w:numId w:val="1094"/>
        </w:numPr>
      </w:pPr>
      <w:r>
        <w:t xml:space="preserve">Select save</w:t>
      </w:r>
    </w:p>
    <w:p>
      <w:pPr>
        <w:numPr>
          <w:ilvl w:val="1"/>
          <w:numId w:val="1094"/>
        </w:numPr>
      </w:pPr>
      <w:r>
        <w:t xml:space="preserve">Locate the saved file on your computer. By default, most computers will save the file in the same location as the original PowerPoint (.pptx) file.</w:t>
      </w:r>
    </w:p>
    <w:p>
      <w:pPr>
        <w:numPr>
          <w:ilvl w:val="0"/>
          <w:numId w:val="1095"/>
        </w:numPr>
      </w:pPr>
      <w:r>
        <w:t xml:space="preserve">Have one person on behalf of the group create a New Topic on your instructor’s chosen forum below with the title of your poster as the topic title and your .png file as the contents in either the:</w:t>
      </w:r>
    </w:p>
    <w:p>
      <w:pPr>
        <w:numPr>
          <w:ilvl w:val="1"/>
          <w:numId w:val="1096"/>
        </w:numPr>
      </w:pPr>
      <w:hyperlink r:id="rId39">
        <w:r>
          <w:rPr>
            <w:rStyle w:val="Hyperlink"/>
          </w:rPr>
          <w:t xml:space="preserve">C-MOOR Academy Discussion Forum’s Look at This!</w:t>
        </w:r>
      </w:hyperlink>
      <w:r>
        <w:t xml:space="preserve"> </w:t>
      </w:r>
      <w:r>
        <w:t xml:space="preserve">category if every member of your group agrees to share your work publicly.</w:t>
      </w:r>
    </w:p>
    <w:p>
      <w:pPr>
        <w:numPr>
          <w:ilvl w:val="1"/>
          <w:numId w:val="1096"/>
        </w:numPr>
      </w:pPr>
      <w:r>
        <w:t xml:space="preserve">Class category on the C-MOOR Academy Discussion Forum (if applicable) to keep your work private</w:t>
      </w:r>
    </w:p>
    <w:p>
      <w:pPr>
        <w:numPr>
          <w:ilvl w:val="1"/>
          <w:numId w:val="1096"/>
        </w:numPr>
      </w:pPr>
      <w:r>
        <w:t xml:space="preserve">The forum or outlet of your instructor’s choice</w:t>
      </w:r>
    </w:p>
    <w:p>
      <w:pPr>
        <w:numPr>
          <w:ilvl w:val="0"/>
          <w:numId w:val="1095"/>
        </w:numPr>
      </w:pPr>
      <w:r>
        <w:t xml:space="preserve">Have each person in the group reply to your topic using your own words answering your choice of 2 of the following 5 questions, with the question included as part of the post. Your answers should be specific and refer directly to your research poster:</w:t>
      </w:r>
    </w:p>
    <w:p>
      <w:pPr>
        <w:numPr>
          <w:ilvl w:val="1"/>
          <w:numId w:val="1097"/>
        </w:numPr>
        <w:pStyle w:val="Compact"/>
      </w:pPr>
      <w:r>
        <w:t xml:space="preserve">What was your favorite part about doing the research project and why?</w:t>
      </w:r>
    </w:p>
    <w:p>
      <w:pPr>
        <w:numPr>
          <w:ilvl w:val="1"/>
          <w:numId w:val="1097"/>
        </w:numPr>
        <w:pStyle w:val="Compact"/>
      </w:pPr>
      <w:r>
        <w:t xml:space="preserve">What was something about your project or the research process that surprised you and why?</w:t>
      </w:r>
    </w:p>
    <w:p>
      <w:pPr>
        <w:numPr>
          <w:ilvl w:val="1"/>
          <w:numId w:val="1097"/>
        </w:numPr>
        <w:pStyle w:val="Compact"/>
      </w:pPr>
      <w:r>
        <w:t xml:space="preserve">What is one specific skill in biology and/or research that you learned through this project? Give an example how you used this in your project.</w:t>
      </w:r>
    </w:p>
    <w:p>
      <w:pPr>
        <w:numPr>
          <w:ilvl w:val="1"/>
          <w:numId w:val="1097"/>
        </w:numPr>
        <w:pStyle w:val="Compact"/>
      </w:pPr>
      <w:r>
        <w:t xml:space="preserve">What is an example of a challenge that you had to overcome during this research project?</w:t>
      </w:r>
    </w:p>
    <w:p>
      <w:pPr>
        <w:numPr>
          <w:ilvl w:val="1"/>
          <w:numId w:val="1097"/>
        </w:numPr>
        <w:pStyle w:val="Compact"/>
      </w:pPr>
      <w:r>
        <w:t xml:space="preserve">What is one thing you learned from this project that you can take forward in your future work? How do you see it being helpful in your chosen field?</w:t>
      </w:r>
    </w:p>
    <w:bookmarkEnd w:id="258"/>
    <w:bookmarkStart w:id="259" w:name="questions"/>
    <w:p>
      <w:pPr>
        <w:pStyle w:val="Heading4"/>
      </w:pPr>
      <w:r>
        <w:rPr>
          <w:rStyle w:val="SectionNumber"/>
        </w:rPr>
        <w:t xml:space="preserve">3.4.1.3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A copy of your written answers 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Provide the URL of your Discussion Forum post (if applicable)</w:t>
            </w:r>
          </w:p>
        </w:tc>
      </w:tr>
      <w:tr>
        <w:tc>
          <w:tcPr/>
          <w:p>
            <w:pPr>
              <w:pStyle w:val="Compact"/>
            </w:pPr>
          </w:p>
        </w:tc>
      </w:tr>
    </w:tbl>
    <w:p>
      <w:pPr>
        <w:pStyle w:val="BodyText"/>
      </w:pPr>
    </w:p>
    <w:bookmarkEnd w:id="259"/>
    <w:bookmarkEnd w:id="260"/>
    <w:bookmarkStart w:id="263" w:name="activity-2-present-your-poster"/>
    <w:p>
      <w:pPr>
        <w:pStyle w:val="Heading3"/>
      </w:pPr>
      <w:r>
        <w:rPr>
          <w:rStyle w:val="SectionNumber"/>
        </w:rPr>
        <w:t xml:space="preserve">3.4.2</w:t>
      </w:r>
      <w:r>
        <w:tab/>
      </w:r>
      <w:r>
        <w:t xml:space="preserve">Activity 2 – Present Your Poster</w:t>
      </w:r>
    </w:p>
    <w:p>
      <w:pPr>
        <w:pStyle w:val="FirstParagraph"/>
      </w:pPr>
      <w:r>
        <w:rPr>
          <w:iCs/>
          <w:i/>
        </w:rPr>
        <w:t xml:space="preserve">Estimated time: 40 min</w:t>
      </w:r>
    </w:p>
    <w:bookmarkStart w:id="261" w:name="instructions-2"/>
    <w:p>
      <w:pPr>
        <w:pStyle w:val="Heading4"/>
      </w:pPr>
      <w:r>
        <w:rPr>
          <w:rStyle w:val="SectionNumber"/>
        </w:rPr>
        <w:t xml:space="preserve">3.4.2.1</w:t>
      </w:r>
      <w:r>
        <w:tab/>
      </w:r>
      <w:r>
        <w:t xml:space="preserve">Instructions</w:t>
      </w:r>
    </w:p>
    <w:p>
      <w:pPr>
        <w:numPr>
          <w:ilvl w:val="0"/>
          <w:numId w:val="1098"/>
        </w:numPr>
      </w:pPr>
      <w:r>
        <w:t xml:space="preserve">Create a plan for a 5 min presentation taking into consideration:</w:t>
      </w:r>
    </w:p>
    <w:p>
      <w:pPr>
        <w:numPr>
          <w:ilvl w:val="1"/>
          <w:numId w:val="1099"/>
        </w:numPr>
      </w:pPr>
      <w:r>
        <w:t xml:space="preserve">Who will speak when</w:t>
      </w:r>
    </w:p>
    <w:p>
      <w:pPr>
        <w:numPr>
          <w:ilvl w:val="1"/>
          <w:numId w:val="1099"/>
        </w:numPr>
      </w:pPr>
      <w:r>
        <w:t xml:space="preserve">What each person will cover</w:t>
      </w:r>
    </w:p>
    <w:p>
      <w:pPr>
        <w:numPr>
          <w:ilvl w:val="0"/>
          <w:numId w:val="1098"/>
        </w:numPr>
      </w:pPr>
      <w:r>
        <w:t xml:space="preserve">Practice your presentation</w:t>
      </w:r>
    </w:p>
    <w:p>
      <w:pPr>
        <w:numPr>
          <w:ilvl w:val="1"/>
          <w:numId w:val="1100"/>
        </w:numPr>
      </w:pPr>
      <w:r>
        <w:t xml:space="preserve">In your group</w:t>
      </w:r>
    </w:p>
    <w:p>
      <w:pPr>
        <w:numPr>
          <w:ilvl w:val="1"/>
          <w:numId w:val="1100"/>
        </w:numPr>
      </w:pPr>
      <w:r>
        <w:t xml:space="preserve">To the class</w:t>
      </w:r>
    </w:p>
    <w:bookmarkEnd w:id="261"/>
    <w:bookmarkStart w:id="262" w:name="questions-1"/>
    <w:p>
      <w:pPr>
        <w:pStyle w:val="Heading4"/>
      </w:pPr>
      <w:r>
        <w:rPr>
          <w:rStyle w:val="SectionNumber"/>
        </w:rPr>
        <w:t xml:space="preserve">3.4.2.2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262"/>
    <w:bookmarkEnd w:id="263"/>
    <w:bookmarkStart w:id="264" w:name="grading-criteria-2"/>
    <w:p>
      <w:pPr>
        <w:pStyle w:val="Heading3"/>
      </w:pPr>
      <w:r>
        <w:rPr>
          <w:rStyle w:val="SectionNumber"/>
        </w:rPr>
        <w:t xml:space="preserve">3.4.3</w:t>
      </w:r>
      <w:r>
        <w:tab/>
      </w:r>
      <w:r>
        <w:t xml:space="preserve">Grading Criteria</w:t>
      </w:r>
    </w:p>
    <w:p>
      <w:pPr>
        <w:numPr>
          <w:ilvl w:val="0"/>
          <w:numId w:val="1101"/>
        </w:numPr>
        <w:pStyle w:val="Compact"/>
      </w:pPr>
      <w:r>
        <w:t xml:space="preserve">Submit your work on your LMS (Blackboard, Canvas, Google Classroom) or refer to your instructor’s choice.</w:t>
      </w:r>
    </w:p>
    <w:bookmarkEnd w:id="264"/>
    <w:bookmarkStart w:id="266" w:name="footnotes-5"/>
    <w:p>
      <w:pPr>
        <w:pStyle w:val="Heading3"/>
      </w:pPr>
      <w:r>
        <w:rPr>
          <w:rStyle w:val="SectionNumber"/>
        </w:rPr>
        <w:t xml:space="preserve">3.4.4</w:t>
      </w:r>
      <w:r>
        <w:tab/>
      </w:r>
      <w:r>
        <w:t xml:space="preserve">Footnotes</w:t>
      </w:r>
    </w:p>
    <w:p>
      <w:pPr>
        <w:pStyle w:val="FirstParagraph"/>
      </w:pPr>
      <w:r>
        <w:rPr>
          <w:bCs/>
          <w:b/>
        </w:rPr>
        <w:t xml:space="preserve">Resources</w:t>
      </w:r>
    </w:p>
    <w:p>
      <w:pPr>
        <w:numPr>
          <w:ilvl w:val="0"/>
          <w:numId w:val="1102"/>
        </w:numPr>
        <w:pStyle w:val="Compact"/>
      </w:pPr>
      <w:hyperlink r:id="rId265">
        <w:r>
          <w:rPr>
            <w:rStyle w:val="Hyperlink"/>
          </w:rPr>
          <w:t xml:space="preserve">Google Doc</w:t>
        </w:r>
      </w:hyperlink>
    </w:p>
    <w:p>
      <w:pPr>
        <w:pStyle w:val="FirstParagraph"/>
      </w:pPr>
      <w:r>
        <w:rPr>
          <w:bCs/>
          <w:b/>
        </w:rPr>
        <w:t xml:space="preserve">Contributions and Affiliations</w:t>
      </w:r>
    </w:p>
    <w:p>
      <w:pPr>
        <w:numPr>
          <w:ilvl w:val="0"/>
          <w:numId w:val="1103"/>
        </w:numPr>
        <w:pStyle w:val="Compact"/>
      </w:pPr>
      <w:r>
        <w:t xml:space="preserve">Valeriya Gaysinskaya, Johns Hopkins University</w:t>
      </w:r>
    </w:p>
    <w:p>
      <w:pPr>
        <w:numPr>
          <w:ilvl w:val="0"/>
          <w:numId w:val="1103"/>
        </w:numPr>
        <w:pStyle w:val="Compact"/>
      </w:pPr>
      <w:r>
        <w:t xml:space="preserve">Frederick Tan, Johns Hopkins University</w:t>
      </w:r>
    </w:p>
    <w:p>
      <w:pPr>
        <w:numPr>
          <w:ilvl w:val="0"/>
          <w:numId w:val="1103"/>
        </w:numPr>
        <w:pStyle w:val="Compact"/>
      </w:pPr>
      <w:r>
        <w:t xml:space="preserve">Sayumi York, Notre Dame of Maryland University</w:t>
      </w:r>
    </w:p>
    <w:p>
      <w:pPr>
        <w:pStyle w:val="FirstParagraph"/>
      </w:pPr>
      <w:r>
        <w:t xml:space="preserve">Last Revised: January 2026</w:t>
      </w:r>
    </w:p>
    <w:bookmarkEnd w:id="266"/>
    <w:bookmarkEnd w:id="267"/>
    <w:bookmarkEnd w:id="268"/>
    <w:bookmarkStart w:id="297" w:name="professional-development"/>
    <w:p>
      <w:pPr>
        <w:pStyle w:val="Heading1"/>
      </w:pPr>
      <w:r>
        <w:rPr>
          <w:rStyle w:val="SectionNumber"/>
        </w:rPr>
        <w:t xml:space="preserve">4</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270" name="Picture"/>
            <a:graphic>
              <a:graphicData uri="http://schemas.openxmlformats.org/drawingml/2006/picture">
                <pic:pic>
                  <pic:nvPicPr>
                    <pic:cNvPr descr="community-analysis-and-feedback_files/figure-docx//1hYKF7Ss3vJ8rrUIH7ByNh1BUlRa2fhsJhq8MXzEowCc_g344ad28629a_0_229.png" id="271" name="Picture"/>
                    <pic:cNvPicPr>
                      <a:picLocks noChangeArrowheads="1" noChangeAspect="1"/>
                    </pic:cNvPicPr>
                  </pic:nvPicPr>
                  <pic:blipFill>
                    <a:blip r:embed="rId269"/>
                    <a:stretch>
                      <a:fillRect/>
                    </a:stretch>
                  </pic:blipFill>
                  <pic:spPr bwMode="auto">
                    <a:xfrm>
                      <a:off x="0" y="0"/>
                      <a:ext cx="5334000" cy="3000375"/>
                    </a:xfrm>
                    <a:prstGeom prst="rect">
                      <a:avLst/>
                    </a:prstGeom>
                    <a:noFill/>
                    <a:ln w="9525">
                      <a:noFill/>
                      <a:headEnd/>
                      <a:tailEnd/>
                    </a:ln>
                  </pic:spPr>
                </pic:pic>
              </a:graphicData>
            </a:graphic>
          </wp:inline>
        </w:drawing>
      </w:r>
    </w:p>
    <w:bookmarkStart w:id="276" w:name="lecture---next-steps"/>
    <w:p>
      <w:pPr>
        <w:pStyle w:val="Heading2"/>
      </w:pPr>
      <w:r>
        <w:rPr>
          <w:rStyle w:val="SectionNumber"/>
        </w:rPr>
        <w:t xml:space="preserve">4.1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273" name="Picture"/>
            <a:graphic>
              <a:graphicData uri="http://schemas.openxmlformats.org/drawingml/2006/picture">
                <pic:pic>
                  <pic:nvPicPr>
                    <pic:cNvPr descr="community-analysis-and-feedback_files/figure-docx//1cH7vm_lAxe_JUlr1H_M5Ujas-pTUY8qPBthTcSOiIXA_g35f391192_00.png" id="274" name="Picture"/>
                    <pic:cNvPicPr>
                      <a:picLocks noChangeArrowheads="1" noChangeAspect="1"/>
                    </pic:cNvPicPr>
                  </pic:nvPicPr>
                  <pic:blipFill>
                    <a:blip r:embed="rId2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5">
        <w:r>
          <w:rPr>
            <w:rStyle w:val="Hyperlink"/>
          </w:rPr>
          <w:t xml:space="preserve">Slides: Next Steps</w:t>
        </w:r>
      </w:hyperlink>
    </w:p>
    <w:bookmarkEnd w:id="276"/>
    <w:bookmarkStart w:id="294" w:name="activity---next-steps"/>
    <w:p>
      <w:pPr>
        <w:pStyle w:val="Heading2"/>
      </w:pPr>
      <w:r>
        <w:rPr>
          <w:rStyle w:val="SectionNumber"/>
        </w:rPr>
        <w:t xml:space="preserve">4.2</w:t>
      </w:r>
      <w:r>
        <w:tab/>
      </w:r>
      <w:r>
        <w:t xml:space="preserve">Activity - Next Steps</w:t>
      </w:r>
    </w:p>
    <w:bookmarkStart w:id="277" w:name="introduction-6"/>
    <w:p>
      <w:pPr>
        <w:pStyle w:val="Heading3"/>
      </w:pPr>
      <w:r>
        <w:rPr>
          <w:rStyle w:val="SectionNumber"/>
        </w:rPr>
        <w:t xml:space="preserve">4.2.1</w:t>
      </w:r>
      <w:r>
        <w:tab/>
      </w:r>
      <w:r>
        <w:t xml:space="preserve">Introduction</w:t>
      </w:r>
    </w:p>
    <w:p>
      <w:pPr>
        <w:pStyle w:val="FirstParagraph"/>
      </w:pPr>
      <w:r>
        <w:t xml:space="preserve">Congratulations on completing your research project! Take a moment and reflect on all that you’ve accomplished during this semester, especially those of you for whom this was your first research experience! Did you experience all the ups and downs of the research project from coming up with a research idea hypothesis, dealing with unexpected set-backs, and discovering something new?</w:t>
      </w:r>
    </w:p>
    <w:p>
      <w:pPr>
        <w:pStyle w:val="BodyText"/>
      </w:pPr>
      <w:r>
        <w:t xml:space="preserve">We’ll wrap up here with several next steps including completing feedback to improve the next offering of this course, researching opportunities to do more science, exploring communities where scientists openly share insights, and optionally sharing more work.</w:t>
      </w:r>
    </w:p>
    <w:bookmarkEnd w:id="277"/>
    <w:bookmarkStart w:id="279" w:name="activity-1-complete-feedback"/>
    <w:p>
      <w:pPr>
        <w:pStyle w:val="Heading3"/>
      </w:pPr>
      <w:r>
        <w:rPr>
          <w:rStyle w:val="SectionNumber"/>
        </w:rPr>
        <w:t xml:space="preserve">4.2.2</w:t>
      </w:r>
      <w:r>
        <w:tab/>
      </w:r>
      <w:r>
        <w:t xml:space="preserve">Activity 1 – Complete Feedback</w:t>
      </w:r>
    </w:p>
    <w:p>
      <w:pPr>
        <w:pStyle w:val="FirstParagraph"/>
      </w:pPr>
      <w:r>
        <w:rPr>
          <w:iCs/>
          <w:i/>
        </w:rPr>
        <w:t xml:space="preserve">Estimated time: 15 min</w:t>
      </w:r>
    </w:p>
    <w:bookmarkStart w:id="278" w:name="instructions-3"/>
    <w:p>
      <w:pPr>
        <w:pStyle w:val="Heading4"/>
      </w:pPr>
      <w:r>
        <w:rPr>
          <w:rStyle w:val="SectionNumber"/>
        </w:rPr>
        <w:t xml:space="preserve">4.2.2.1</w:t>
      </w:r>
      <w:r>
        <w:tab/>
      </w:r>
      <w:r>
        <w:t xml:space="preserve">Instructions</w:t>
      </w:r>
    </w:p>
    <w:p>
      <w:pPr>
        <w:pStyle w:val="FirstParagraph"/>
      </w:pPr>
      <w:r>
        <w:t xml:space="preserve">Help us improve this course!</w:t>
      </w:r>
      <w:r>
        <w:t xml:space="preserve"> </w:t>
      </w:r>
      <w:r>
        <w:t xml:space="preserve">If you’re willing to have your feedback used in an official educational research survey, you will need to use a pre-authorized survey link from C-MOOR. Either way, your instructor will connect you to any feedback form.</w:t>
      </w:r>
    </w:p>
    <w:bookmarkEnd w:id="278"/>
    <w:bookmarkEnd w:id="279"/>
    <w:bookmarkStart w:id="282" w:name="activity-2-research-opportunities"/>
    <w:p>
      <w:pPr>
        <w:pStyle w:val="Heading3"/>
      </w:pPr>
      <w:r>
        <w:rPr>
          <w:rStyle w:val="SectionNumber"/>
        </w:rPr>
        <w:t xml:space="preserve">4.2.3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Knowing what you know now about research, what related skills are you interested in developing further and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280">
              <w:r>
                <w:rPr>
                  <w:rStyle w:val="Hyperlink"/>
                </w:rPr>
                <w:t xml:space="preserve">https://www.nsf.gov/funding/initiatives/reu/students</w:t>
              </w:r>
            </w:hyperlink>
          </w:p>
        </w:tc>
      </w:tr>
      <w:tr>
        <w:tc>
          <w:tcPr/>
          <w:p>
            <w:pPr>
              <w:pStyle w:val="Compact"/>
              <w:jc w:val="left"/>
            </w:pPr>
            <w:r>
              <w:t xml:space="preserve">b. Search –</w:t>
            </w:r>
            <w:r>
              <w:t xml:space="preserve"> </w:t>
            </w:r>
            <w:hyperlink r:id="rId281">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282"/>
    <w:bookmarkStart w:id="290" w:name="activity-3-explore-communities"/>
    <w:p>
      <w:pPr>
        <w:pStyle w:val="Heading3"/>
      </w:pPr>
      <w:r>
        <w:rPr>
          <w:rStyle w:val="SectionNumber"/>
        </w:rPr>
        <w:t xml:space="preserve">4.2.4</w:t>
      </w:r>
      <w:r>
        <w:tab/>
      </w:r>
      <w:r>
        <w:t xml:space="preserve">Activity 3 – Explore Communities</w:t>
      </w:r>
    </w:p>
    <w:p>
      <w:pPr>
        <w:pStyle w:val="FirstParagraph"/>
      </w:pPr>
      <w:r>
        <w:rPr>
          <w:iCs/>
          <w:i/>
        </w:rPr>
        <w:t xml:space="preserve">Estimated time: 15 min</w:t>
      </w:r>
    </w:p>
    <w:bookmarkStart w:id="283" w:name="instructions-4"/>
    <w:p>
      <w:pPr>
        <w:pStyle w:val="Heading4"/>
      </w:pPr>
      <w:r>
        <w:rPr>
          <w:rStyle w:val="SectionNumber"/>
        </w:rPr>
        <w:t xml:space="preserve">4.2.4.1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283"/>
    <w:bookmarkStart w:id="289" w:name="questions-2"/>
    <w:p>
      <w:pPr>
        <w:pStyle w:val="Heading4"/>
      </w:pPr>
      <w:r>
        <w:rPr>
          <w:rStyle w:val="SectionNumber"/>
        </w:rPr>
        <w:t xml:space="preserve">4.2.4.2</w:t>
      </w:r>
      <w:r>
        <w:tab/>
      </w:r>
      <w:r>
        <w:t xml:space="preserve">Questions</w:t>
      </w:r>
    </w:p>
    <w:p>
      <w:pPr>
        <w:numPr>
          <w:ilvl w:val="0"/>
          <w:numId w:val="1104"/>
        </w:numPr>
        <w:pStyle w:val="Compact"/>
      </w:pPr>
      <w:r>
        <w:t xml:space="preserve">Specialized Communities</w:t>
      </w:r>
    </w:p>
    <w:p>
      <w:pPr>
        <w:numPr>
          <w:ilvl w:val="0"/>
          <w:numId w:val="1105"/>
        </w:numPr>
        <w:pStyle w:val="Compact"/>
      </w:pPr>
      <w:r>
        <w:t xml:space="preserve">SEQanswers: the next-generation sequencing community</w:t>
      </w:r>
    </w:p>
    <w:p>
      <w:pPr>
        <w:numPr>
          <w:ilvl w:val="0"/>
          <w:numId w:val="1106"/>
        </w:numPr>
        <w:pStyle w:val="Compact"/>
      </w:pPr>
      <w:hyperlink r:id="rId284">
        <w:r>
          <w:rPr>
            <w:rStyle w:val="Hyperlink"/>
          </w:rPr>
          <w:t xml:space="preserve">https://www.seqanswers.com</w:t>
        </w:r>
      </w:hyperlink>
    </w:p>
    <w:p>
      <w:pPr>
        <w:numPr>
          <w:ilvl w:val="0"/>
          <w:numId w:val="1107"/>
        </w:numPr>
        <w:pStyle w:val="Compact"/>
      </w:pPr>
      <w:r>
        <w:t xml:space="preserve">Biostars: bioinformatics explained</w:t>
      </w:r>
    </w:p>
    <w:p>
      <w:pPr>
        <w:numPr>
          <w:ilvl w:val="0"/>
          <w:numId w:val="1108"/>
        </w:numPr>
        <w:pStyle w:val="Compact"/>
      </w:pPr>
      <w:hyperlink r:id="rId285">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109"/>
        </w:numPr>
        <w:pStyle w:val="Compact"/>
      </w:pPr>
      <w:r>
        <w:t xml:space="preserve">General Communities</w:t>
      </w:r>
    </w:p>
    <w:p>
      <w:pPr>
        <w:numPr>
          <w:ilvl w:val="0"/>
          <w:numId w:val="1110"/>
        </w:numPr>
        <w:pStyle w:val="Compact"/>
      </w:pPr>
      <w:r>
        <w:t xml:space="preserve">Reddit: The heart of the internet</w:t>
      </w:r>
    </w:p>
    <w:p>
      <w:pPr>
        <w:numPr>
          <w:ilvl w:val="0"/>
          <w:numId w:val="1111"/>
        </w:numPr>
        <w:pStyle w:val="Compact"/>
      </w:pPr>
      <w:hyperlink r:id="rId286">
        <w:r>
          <w:rPr>
            <w:rStyle w:val="Hyperlink"/>
          </w:rPr>
          <w:t xml:space="preserve">https://www.reddit.com/r/metagenomics</w:t>
        </w:r>
      </w:hyperlink>
    </w:p>
    <w:p>
      <w:pPr>
        <w:numPr>
          <w:ilvl w:val="0"/>
          <w:numId w:val="1112"/>
        </w:numPr>
        <w:pStyle w:val="Compact"/>
      </w:pPr>
      <w:r>
        <w:t xml:space="preserve">Twitter/X: It’s what’s happening</w:t>
      </w:r>
    </w:p>
    <w:p>
      <w:pPr>
        <w:numPr>
          <w:ilvl w:val="0"/>
          <w:numId w:val="1113"/>
        </w:numPr>
        <w:pStyle w:val="Compact"/>
      </w:pPr>
      <w:hyperlink r:id="rId287">
        <w:r>
          <w:rPr>
            <w:rStyle w:val="Hyperlink"/>
          </w:rPr>
          <w:t xml:space="preserve">https://x.com/search?q=%23metagenomics</w:t>
        </w:r>
      </w:hyperlink>
    </w:p>
    <w:p>
      <w:pPr>
        <w:numPr>
          <w:ilvl w:val="0"/>
          <w:numId w:val="1114"/>
        </w:numPr>
        <w:pStyle w:val="Compact"/>
      </w:pPr>
      <w:r>
        <w:t xml:space="preserve">Bluesky: Social media as it should be</w:t>
      </w:r>
    </w:p>
    <w:p>
      <w:pPr>
        <w:numPr>
          <w:ilvl w:val="0"/>
          <w:numId w:val="1115"/>
        </w:numPr>
        <w:pStyle w:val="Compact"/>
      </w:pPr>
      <w:hyperlink r:id="rId288">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289"/>
    <w:bookmarkEnd w:id="290"/>
    <w:bookmarkStart w:id="291" w:name="grading-criteria-3"/>
    <w:p>
      <w:pPr>
        <w:pStyle w:val="Heading3"/>
      </w:pPr>
      <w:r>
        <w:rPr>
          <w:rStyle w:val="SectionNumber"/>
        </w:rPr>
        <w:t xml:space="preserve">4.2.5</w:t>
      </w:r>
      <w:r>
        <w:tab/>
      </w:r>
      <w:r>
        <w:t xml:space="preserve">Grading Criteria</w:t>
      </w:r>
    </w:p>
    <w:p>
      <w:pPr>
        <w:numPr>
          <w:ilvl w:val="0"/>
          <w:numId w:val="1116"/>
        </w:numPr>
        <w:pStyle w:val="Compact"/>
      </w:pPr>
      <w:r>
        <w:t xml:space="preserve">Download as Microsoft Word (.docx) and upload to your LMS (Blackboard, Canvas, Google Classroom) or refer to your instructor’s choice.</w:t>
      </w:r>
    </w:p>
    <w:bookmarkEnd w:id="291"/>
    <w:bookmarkStart w:id="293" w:name="footnotes-6"/>
    <w:p>
      <w:pPr>
        <w:pStyle w:val="Heading3"/>
      </w:pPr>
      <w:r>
        <w:rPr>
          <w:rStyle w:val="SectionNumber"/>
        </w:rPr>
        <w:t xml:space="preserve">4.2.6</w:t>
      </w:r>
      <w:r>
        <w:tab/>
      </w:r>
      <w:r>
        <w:t xml:space="preserve">Footnotes</w:t>
      </w:r>
    </w:p>
    <w:p>
      <w:pPr>
        <w:pStyle w:val="FirstParagraph"/>
      </w:pPr>
      <w:r>
        <w:rPr>
          <w:bCs/>
          <w:b/>
        </w:rPr>
        <w:t xml:space="preserve">Resources</w:t>
      </w:r>
    </w:p>
    <w:p>
      <w:pPr>
        <w:numPr>
          <w:ilvl w:val="0"/>
          <w:numId w:val="1117"/>
        </w:numPr>
        <w:pStyle w:val="Compact"/>
      </w:pPr>
      <w:hyperlink r:id="rId292">
        <w:r>
          <w:rPr>
            <w:rStyle w:val="Hyperlink"/>
          </w:rPr>
          <w:t xml:space="preserve">Google Doc</w:t>
        </w:r>
      </w:hyperlink>
    </w:p>
    <w:p>
      <w:pPr>
        <w:pStyle w:val="FirstParagraph"/>
      </w:pPr>
      <w:r>
        <w:rPr>
          <w:bCs/>
          <w:b/>
        </w:rP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Frederick Tan, Johns Hopkins University</w:t>
      </w:r>
    </w:p>
    <w:p>
      <w:pPr>
        <w:numPr>
          <w:ilvl w:val="0"/>
          <w:numId w:val="1118"/>
        </w:numPr>
        <w:pStyle w:val="Compact"/>
      </w:pPr>
      <w:r>
        <w:t xml:space="preserve">Sayumi York, Notre Dame of Maryland Univeristy</w:t>
      </w:r>
    </w:p>
    <w:bookmarkEnd w:id="293"/>
    <w:bookmarkEnd w:id="294"/>
    <w:bookmarkStart w:id="296" w:name="create-your-cv"/>
    <w:p>
      <w:pPr>
        <w:pStyle w:val="Heading2"/>
      </w:pPr>
      <w:r>
        <w:rPr>
          <w:rStyle w:val="SectionNumber"/>
        </w:rPr>
        <w:t xml:space="preserve">4.3</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295" w:name="resume-or-cv"/>
    <w:p>
      <w:pPr>
        <w:pStyle w:val="Heading4"/>
      </w:pPr>
      <w:r>
        <w:rPr>
          <w:rStyle w:val="SectionNumber"/>
        </w:rPr>
        <w:t xml:space="preserve">4.3.0.1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119"/>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119"/>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119"/>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120"/>
        </w:numPr>
        <w:pStyle w:val="Compact"/>
      </w:pPr>
      <w:r>
        <w:t xml:space="preserve">☐   You credit the source of your data (Citation, SRA #, Project #)</w:t>
      </w:r>
    </w:p>
    <w:p>
      <w:pPr>
        <w:numPr>
          <w:ilvl w:val="0"/>
          <w:numId w:val="1120"/>
        </w:numPr>
        <w:pStyle w:val="Compact"/>
      </w:pPr>
      <w:r>
        <w:t xml:space="preserve">☐   You describe why your research project matters</w:t>
      </w:r>
    </w:p>
    <w:p>
      <w:pPr>
        <w:numPr>
          <w:ilvl w:val="0"/>
          <w:numId w:val="1120"/>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295"/>
    <w:bookmarkEnd w:id="296"/>
    <w:bookmarkEnd w:id="297"/>
    <w:bookmarkStart w:id="319" w:name="c-moor-scholars"/>
    <w:p>
      <w:pPr>
        <w:pStyle w:val="Heading1"/>
      </w:pPr>
      <w:r>
        <w:rPr>
          <w:rStyle w:val="SectionNumber"/>
        </w:rPr>
        <w:t xml:space="preserve">5</w:t>
      </w:r>
      <w:r>
        <w:tab/>
      </w:r>
      <w:r>
        <w:t xml:space="preserve">C-MOOR Scholars</w:t>
      </w:r>
    </w:p>
    <w:bookmarkStart w:id="306" w:name="c-moor-scholars-1"/>
    <w:p>
      <w:pPr>
        <w:pStyle w:val="Heading2"/>
      </w:pPr>
      <w:r>
        <w:rPr>
          <w:rStyle w:val="SectionNumber"/>
        </w:rPr>
        <w:t xml:space="preserve">5.1</w:t>
      </w:r>
      <w:r>
        <w:tab/>
      </w:r>
      <w:r>
        <w:t xml:space="preserve">C-MOOR Scholars</w:t>
      </w:r>
    </w:p>
    <w:p>
      <w:pPr>
        <w:pStyle w:val="FirstParagraph"/>
      </w:pPr>
      <w:r>
        <w:drawing>
          <wp:inline>
            <wp:extent cx="5334000" cy="3000375"/>
            <wp:effectExtent b="0" l="0" r="0" t="0"/>
            <wp:docPr descr="" title="" id="299" name="Picture"/>
            <a:graphic>
              <a:graphicData uri="http://schemas.openxmlformats.org/drawingml/2006/picture">
                <pic:pic>
                  <pic:nvPicPr>
                    <pic:cNvPr descr="community-analysis-and-feedback_files/figure-docx//1dI8-_iVqbkzNMf11M4dK85E8ZW3OyZECs_YwMKw5fhs_g362a06a915d_2_4.png" id="300" name="Picture"/>
                    <pic:cNvPicPr>
                      <a:picLocks noChangeArrowheads="1" noChangeAspect="1"/>
                    </pic:cNvPicPr>
                  </pic:nvPicPr>
                  <pic:blipFill>
                    <a:blip r:embed="rId2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301">
        <w:r>
          <w:rPr>
            <w:rStyle w:val="Hyperlink"/>
          </w:rPr>
          <w:t xml:space="preserve">C-MOOR Scholars Interest Form</w:t>
        </w:r>
      </w:hyperlink>
      <w:r>
        <w:t xml:space="preserve"> </w:t>
      </w:r>
      <w:r>
        <w:t xml:space="preserve">if interested, and meet some</w:t>
      </w:r>
      <w:r>
        <w:t xml:space="preserve"> </w:t>
      </w:r>
      <w:hyperlink r:id="rId302">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121"/>
        </w:numPr>
        <w:pStyle w:val="Compact"/>
      </w:pPr>
      <w:r>
        <w:t xml:space="preserve">A place to grow your skills</w:t>
      </w:r>
    </w:p>
    <w:p>
      <w:pPr>
        <w:numPr>
          <w:ilvl w:val="0"/>
          <w:numId w:val="1121"/>
        </w:numPr>
        <w:pStyle w:val="Compact"/>
      </w:pPr>
      <w:r>
        <w:t xml:space="preserve">A place to network</w:t>
      </w:r>
    </w:p>
    <w:p>
      <w:pPr>
        <w:numPr>
          <w:ilvl w:val="0"/>
          <w:numId w:val="1121"/>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122"/>
        </w:numPr>
        <w:pStyle w:val="Compact"/>
      </w:pPr>
      <w:r>
        <w:t xml:space="preserve">A commitment to pursuing research as a career</w:t>
      </w:r>
    </w:p>
    <w:p>
      <w:pPr>
        <w:numPr>
          <w:ilvl w:val="0"/>
          <w:numId w:val="1122"/>
        </w:numPr>
        <w:pStyle w:val="Compact"/>
      </w:pPr>
      <w:r>
        <w:t xml:space="preserve">A graded class where we score work</w:t>
      </w:r>
    </w:p>
    <w:p>
      <w:pPr>
        <w:numPr>
          <w:ilvl w:val="0"/>
          <w:numId w:val="1122"/>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303">
        <w:r>
          <w:rPr>
            <w:rStyle w:val="Hyperlink"/>
          </w:rPr>
          <w:t xml:space="preserve">C-MOOR Academy Discussion Forum</w:t>
        </w:r>
      </w:hyperlink>
      <w:r>
        <w:t xml:space="preserve"> </w:t>
      </w:r>
      <w:r>
        <w:t xml:space="preserve">to hear about any remote opportunities we have.</w:t>
      </w:r>
    </w:p>
    <w:bookmarkStart w:id="305" w:name="c-moor-scholars-links"/>
    <w:p>
      <w:pPr>
        <w:pStyle w:val="Heading3"/>
      </w:pPr>
      <w:r>
        <w:rPr>
          <w:rStyle w:val="SectionNumber"/>
        </w:rPr>
        <w:t xml:space="preserve">5.1.1</w:t>
      </w:r>
      <w:r>
        <w:tab/>
      </w:r>
      <w:r>
        <w:t xml:space="preserve">C-MOOR Scholars links</w:t>
      </w:r>
    </w:p>
    <w:p>
      <w:pPr>
        <w:pStyle w:val="FirstParagraph"/>
      </w:pPr>
      <w:r>
        <w:t xml:space="preserve">Share your interests via C-MOOR Scholars Interest Form and learn how C-MOOR community can support you.</w:t>
      </w:r>
    </w:p>
    <w:p>
      <w:pPr>
        <w:numPr>
          <w:ilvl w:val="0"/>
          <w:numId w:val="1123"/>
        </w:numPr>
        <w:pStyle w:val="Compact"/>
      </w:pPr>
      <w:hyperlink r:id="rId304">
        <w:r>
          <w:rPr>
            <w:rStyle w:val="Hyperlink"/>
          </w:rPr>
          <w:t xml:space="preserve">C-MOOR Scholars Interest Form</w:t>
        </w:r>
      </w:hyperlink>
    </w:p>
    <w:p>
      <w:pPr>
        <w:pStyle w:val="FirstParagraph"/>
      </w:pPr>
      <w:r>
        <w:t xml:space="preserve">Meet some of the C-MOOR Scholars and learn how you can support them</w:t>
      </w:r>
    </w:p>
    <w:p>
      <w:pPr>
        <w:numPr>
          <w:ilvl w:val="0"/>
          <w:numId w:val="1124"/>
        </w:numPr>
        <w:pStyle w:val="Compact"/>
      </w:pPr>
      <w:hyperlink r:id="rId302">
        <w:r>
          <w:rPr>
            <w:rStyle w:val="Hyperlink"/>
          </w:rPr>
          <w:t xml:space="preserve">C-MOOR Scholars at CCC</w:t>
        </w:r>
      </w:hyperlink>
    </w:p>
    <w:bookmarkEnd w:id="305"/>
    <w:bookmarkEnd w:id="306"/>
    <w:bookmarkStart w:id="313" w:name="pursue-further-research"/>
    <w:p>
      <w:pPr>
        <w:pStyle w:val="Heading2"/>
      </w:pPr>
      <w:r>
        <w:rPr>
          <w:rStyle w:val="SectionNumber"/>
        </w:rPr>
        <w:t xml:space="preserve">5.2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308" name="Picture"/>
            <a:graphic>
              <a:graphicData uri="http://schemas.openxmlformats.org/drawingml/2006/picture">
                <pic:pic>
                  <pic:nvPicPr>
                    <pic:cNvPr descr="community-analysis-and-feedback_files/figure-docx//1dI8-_iVqbkzNMf11M4dK85E8ZW3OyZECs_YwMKw5fhs_g362974128df_0_98.png" id="309" name="Picture"/>
                    <pic:cNvPicPr>
                      <a:picLocks noChangeArrowheads="1" noChangeAspect="1"/>
                    </pic:cNvPicPr>
                  </pic:nvPicPr>
                  <pic:blipFill>
                    <a:blip r:embed="rId307"/>
                    <a:stretch>
                      <a:fillRect/>
                    </a:stretch>
                  </pic:blipFill>
                  <pic:spPr bwMode="auto">
                    <a:xfrm>
                      <a:off x="0" y="0"/>
                      <a:ext cx="5334000" cy="3000375"/>
                    </a:xfrm>
                    <a:prstGeom prst="rect">
                      <a:avLst/>
                    </a:prstGeom>
                    <a:noFill/>
                    <a:ln w="9525">
                      <a:noFill/>
                      <a:headEnd/>
                      <a:tailEnd/>
                    </a:ln>
                  </pic:spPr>
                </pic:pic>
              </a:graphicData>
            </a:graphic>
          </wp:inline>
        </w:drawing>
      </w:r>
    </w:p>
    <w:bookmarkStart w:id="311" w:name="Xc738158caaf65c8ffd3c6f2ca9b7fa0c34fc752"/>
    <w:p>
      <w:pPr>
        <w:pStyle w:val="Heading3"/>
      </w:pPr>
      <w:r>
        <w:rPr>
          <w:rStyle w:val="SectionNumber"/>
        </w:rPr>
        <w:t xml:space="preserve">5.2.1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125"/>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125"/>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310">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311"/>
    <w:bookmarkStart w:id="312" w:name="find-a-research-lab-to-join"/>
    <w:p>
      <w:pPr>
        <w:pStyle w:val="Heading3"/>
      </w:pPr>
      <w:r>
        <w:rPr>
          <w:rStyle w:val="SectionNumber"/>
        </w:rPr>
        <w:t xml:space="preserve">5.2.2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126"/>
        </w:numPr>
        <w:pStyle w:val="Compact"/>
      </w:pPr>
      <w:r>
        <w:t xml:space="preserve">☐  An introduction about yourself (name, class year, institution, major)</w:t>
      </w:r>
    </w:p>
    <w:p>
      <w:pPr>
        <w:numPr>
          <w:ilvl w:val="0"/>
          <w:numId w:val="1126"/>
        </w:numPr>
        <w:pStyle w:val="Compact"/>
      </w:pPr>
      <w:r>
        <w:t xml:space="preserve">☐  1-2 sentences about your previous experience in research</w:t>
      </w:r>
    </w:p>
    <w:p>
      <w:pPr>
        <w:numPr>
          <w:ilvl w:val="0"/>
          <w:numId w:val="1126"/>
        </w:numPr>
        <w:pStyle w:val="Compact"/>
      </w:pPr>
      <w:r>
        <w:t xml:space="preserve">☐  1-2 sentences about why you’re interested in their lab specifically</w:t>
      </w:r>
    </w:p>
    <w:p>
      <w:pPr>
        <w:numPr>
          <w:ilvl w:val="0"/>
          <w:numId w:val="1126"/>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312"/>
    <w:bookmarkEnd w:id="313"/>
    <w:bookmarkStart w:id="318" w:name="biodigs"/>
    <w:p>
      <w:pPr>
        <w:pStyle w:val="Heading2"/>
      </w:pPr>
      <w:r>
        <w:rPr>
          <w:rStyle w:val="SectionNumber"/>
        </w:rPr>
        <w:t xml:space="preserve">5.3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315" name="Picture"/>
            <a:graphic>
              <a:graphicData uri="http://schemas.openxmlformats.org/drawingml/2006/picture">
                <pic:pic>
                  <pic:nvPicPr>
                    <pic:cNvPr descr="community-analysis-and-feedback_files/figure-docx//1dI8-_iVqbkzNMf11M4dK85E8ZW3OyZECs_YwMKw5fhs_g362a06a915d_2_10.png" id="316" name="Picture"/>
                    <pic:cNvPicPr>
                      <a:picLocks noChangeArrowheads="1" noChangeAspect="1"/>
                    </pic:cNvPicPr>
                  </pic:nvPicPr>
                  <pic:blipFill>
                    <a:blip r:embed="rId3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317">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318"/>
    <w:bookmarkEnd w:id="319"/>
    <w:bookmarkStart w:id="338" w:name="online-community"/>
    <w:p>
      <w:pPr>
        <w:pStyle w:val="Heading1"/>
      </w:pPr>
      <w:r>
        <w:rPr>
          <w:rStyle w:val="SectionNumber"/>
        </w:rPr>
        <w:t xml:space="preserve">6</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320">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127"/>
        </w:numPr>
        <w:pStyle w:val="Compact"/>
      </w:pPr>
      <w:hyperlink r:id="rId321">
        <w:r>
          <w:rPr>
            <w:rStyle w:val="Hyperlink"/>
          </w:rPr>
          <w:t xml:space="preserve">C-MOOR Academy Discussion Forum</w:t>
        </w:r>
      </w:hyperlink>
      <w:r>
        <w:t xml:space="preserve"> </w:t>
      </w:r>
      <w:r>
        <w:t xml:space="preserve">for help with and example miniCUREs</w:t>
      </w:r>
    </w:p>
    <w:p>
      <w:pPr>
        <w:numPr>
          <w:ilvl w:val="0"/>
          <w:numId w:val="1127"/>
        </w:numPr>
        <w:pStyle w:val="Compact"/>
      </w:pPr>
      <w:hyperlink r:id="rId322">
        <w:r>
          <w:rPr>
            <w:rStyle w:val="Hyperlink"/>
          </w:rPr>
          <w:t xml:space="preserve">Galaxy forum</w:t>
        </w:r>
      </w:hyperlink>
      <w:r>
        <w:t xml:space="preserve"> </w:t>
      </w:r>
      <w:r>
        <w:t xml:space="preserve">for all things Galaxy</w:t>
      </w:r>
    </w:p>
    <w:p>
      <w:pPr>
        <w:numPr>
          <w:ilvl w:val="0"/>
          <w:numId w:val="1127"/>
        </w:numPr>
        <w:pStyle w:val="Compact"/>
      </w:pPr>
      <w:hyperlink r:id="rId323">
        <w:r>
          <w:rPr>
            <w:rStyle w:val="Hyperlink"/>
          </w:rPr>
          <w:t xml:space="preserve">Bioconductor forum</w:t>
        </w:r>
      </w:hyperlink>
      <w:r>
        <w:t xml:space="preserve"> </w:t>
      </w:r>
      <w:r>
        <w:t xml:space="preserve">for all things R/Bioconductor</w:t>
      </w:r>
    </w:p>
    <w:p>
      <w:pPr>
        <w:numPr>
          <w:ilvl w:val="0"/>
          <w:numId w:val="1127"/>
        </w:numPr>
        <w:pStyle w:val="Compact"/>
      </w:pPr>
      <w:hyperlink r:id="rId324">
        <w:r>
          <w:rPr>
            <w:rStyle w:val="Hyperlink"/>
          </w:rPr>
          <w:t xml:space="preserve">AnVIL forum</w:t>
        </w:r>
      </w:hyperlink>
      <w:r>
        <w:t xml:space="preserve"> </w:t>
      </w:r>
      <w:r>
        <w:t xml:space="preserve">for all things related to the cloud computing platform, AnVIL</w:t>
      </w:r>
    </w:p>
    <w:p>
      <w:pPr>
        <w:numPr>
          <w:ilvl w:val="0"/>
          <w:numId w:val="1127"/>
        </w:numPr>
        <w:pStyle w:val="Compact"/>
      </w:pPr>
      <w:hyperlink r:id="rId325">
        <w:r>
          <w:rPr>
            <w:rStyle w:val="Hyperlink"/>
          </w:rPr>
          <w:t xml:space="preserve">BioDIGS</w:t>
        </w:r>
      </w:hyperlink>
      <w:r>
        <w:t xml:space="preserve"> </w:t>
      </w:r>
      <w:r>
        <w:t xml:space="preserve">for interactions with the GDSCN BioDIGS consortium</w:t>
      </w:r>
    </w:p>
    <w:p>
      <w:pPr>
        <w:pStyle w:val="FirstParagraph"/>
      </w:pPr>
      <w:r>
        <w:drawing>
          <wp:inline>
            <wp:extent cx="5334000" cy="3000375"/>
            <wp:effectExtent b="0" l="0" r="0" t="0"/>
            <wp:docPr descr="" title="" id="327" name="Picture"/>
            <a:graphic>
              <a:graphicData uri="http://schemas.openxmlformats.org/drawingml/2006/picture">
                <pic:pic>
                  <pic:nvPicPr>
                    <pic:cNvPr descr="community-analysis-and-feedback_files/figure-docx//1fH9s5OLcRF5meZtFWTJe89RFvJSh125kdjhdqp5smqA_g302b08c5e6e_0_16.png" id="328" name="Picture"/>
                    <pic:cNvPicPr>
                      <a:picLocks noChangeArrowheads="1" noChangeAspect="1"/>
                    </pic:cNvPicPr>
                  </pic:nvPicPr>
                  <pic:blipFill>
                    <a:blip r:embed="rId3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30" name="Picture"/>
            <a:graphic>
              <a:graphicData uri="http://schemas.openxmlformats.org/drawingml/2006/picture">
                <pic:pic>
                  <pic:nvPicPr>
                    <pic:cNvPr descr="community-analysis-and-feedback_files/figure-docx//1fH9s5OLcRF5meZtFWTJe89RFvJSh125kdjhdqp5smqA_g302b08c5e6e_0_5.png" id="331" name="Picture"/>
                    <pic:cNvPicPr>
                      <a:picLocks noChangeArrowheads="1" noChangeAspect="1"/>
                    </pic:cNvPicPr>
                  </pic:nvPicPr>
                  <pic:blipFill>
                    <a:blip r:embed="rId3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33" name="Picture"/>
            <a:graphic>
              <a:graphicData uri="http://schemas.openxmlformats.org/drawingml/2006/picture">
                <pic:pic>
                  <pic:nvPicPr>
                    <pic:cNvPr descr="community-analysis-and-feedback_files/figure-docx//1fH9s5OLcRF5meZtFWTJe89RFvJSh125kdjhdqp5smqA_g302b08c5e6e_0_22.png" id="334" name="Picture"/>
                    <pic:cNvPicPr>
                      <a:picLocks noChangeArrowheads="1" noChangeAspect="1"/>
                    </pic:cNvPicPr>
                  </pic:nvPicPr>
                  <pic:blipFill>
                    <a:blip r:embed="rId3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36" name="Picture"/>
            <a:graphic>
              <a:graphicData uri="http://schemas.openxmlformats.org/drawingml/2006/picture">
                <pic:pic>
                  <pic:nvPicPr>
                    <pic:cNvPr descr="community-analysis-and-feedback_files/figure-docx//1fH9s5OLcRF5meZtFWTJe89RFvJSh125kdjhdqp5smqA_g302b08c5e6e_0_12.png" id="337" name="Picture"/>
                    <pic:cNvPicPr>
                      <a:picLocks noChangeArrowheads="1" noChangeAspect="1"/>
                    </pic:cNvPicPr>
                  </pic:nvPicPr>
                  <pic:blipFill>
                    <a:blip r:embed="rId335"/>
                    <a:stretch>
                      <a:fillRect/>
                    </a:stretch>
                  </pic:blipFill>
                  <pic:spPr bwMode="auto">
                    <a:xfrm>
                      <a:off x="0" y="0"/>
                      <a:ext cx="5334000" cy="3000375"/>
                    </a:xfrm>
                    <a:prstGeom prst="rect">
                      <a:avLst/>
                    </a:prstGeom>
                    <a:noFill/>
                    <a:ln w="9525">
                      <a:noFill/>
                      <a:headEnd/>
                      <a:tailEnd/>
                    </a:ln>
                  </pic:spPr>
                </pic:pic>
              </a:graphicData>
            </a:graphic>
          </wp:inline>
        </w:drawing>
      </w:r>
    </w:p>
    <w:bookmarkEnd w:id="338"/>
    <w:bookmarkStart w:id="369" w:name="spreadsheets-101"/>
    <w:p>
      <w:pPr>
        <w:pStyle w:val="Heading1"/>
      </w:pPr>
      <w:r>
        <w:rPr>
          <w:rStyle w:val="SectionNumber"/>
        </w:rPr>
        <w:t xml:space="preserve">7</w:t>
      </w:r>
      <w:r>
        <w:tab/>
      </w:r>
      <w:r>
        <w:t xml:space="preserve">Spreadsheets 101</w:t>
      </w:r>
    </w:p>
    <w:p>
      <w:pPr>
        <w:pStyle w:val="FirstParagraph"/>
      </w:pPr>
      <w:r>
        <w:rPr>
          <w:bCs/>
          <w:b/>
        </w:rPr>
        <w:t xml:space="preserve">Spreadsheets</w:t>
      </w:r>
      <w:r>
        <w:t xml:space="preserve"> </w:t>
      </w:r>
      <w:r>
        <w:t xml:space="preserve">are tables that organize data using rows and columns. Spreadsheets are used in nearly every field of study and in personal life. The two most popular spreadsheet programs are Google Sheets and Microsoft Excel. While they can do approximately the same things, the exact steps to perform analyses are slightly different.</w:t>
      </w:r>
      <w:r>
        <w:t xml:space="preserve"> </w:t>
      </w:r>
      <w:r>
        <w:t xml:space="preserve">To keep things standardized between students we ask all students to use Google Sheets, which is also free for users with a Gmail account</w:t>
      </w:r>
      <w:r>
        <w:t xml:space="preserve">.</w:t>
      </w:r>
    </w:p>
    <w:p>
      <w:pPr>
        <w:pStyle w:val="BodyText"/>
      </w:pPr>
      <w:r>
        <w:t xml:space="preserve">This section will cover some of the basic functions of Google Sheets.</w:t>
      </w:r>
    </w:p>
    <w:bookmarkStart w:id="339" w:name="right-clicking"/>
    <w:p>
      <w:pPr>
        <w:pStyle w:val="Heading4"/>
      </w:pPr>
      <w:r>
        <w:rPr>
          <w:rStyle w:val="SectionNumber"/>
        </w:rPr>
        <w:t xml:space="preserve">7.0.0.1</w:t>
      </w:r>
      <w:r>
        <w:tab/>
      </w:r>
      <w:r>
        <w:rPr>
          <w:bCs/>
          <w:b/>
        </w:rPr>
        <w:t xml:space="preserve">Right clicking?</w:t>
      </w:r>
    </w:p>
    <w:bookmarkEnd w:id="339"/>
    <w:p>
      <w:pPr>
        <w:pStyle w:val="FirstParagraph"/>
      </w:pPr>
      <w:r>
        <w:t xml:space="preserve">A traditional mouse has a left button, a right button, and sometimes a center button. Typically, you click with the left button. Right clicking refers to clicking with the right button.</w:t>
      </w:r>
    </w:p>
    <w:p>
      <w:pPr>
        <w:pStyle w:val="BodyText"/>
      </w:pPr>
      <w:r>
        <w:t xml:space="preserve">Modern laptops and tablets have translated this feature in different ways. If you’re not using a mouse or find that clicking with the right or right-bottom corner of the trackpad doesn’t work, try the following:</w:t>
      </w:r>
    </w:p>
    <w:p>
      <w:pPr>
        <w:numPr>
          <w:ilvl w:val="0"/>
          <w:numId w:val="1128"/>
        </w:numPr>
        <w:pStyle w:val="Compact"/>
      </w:pPr>
      <w:r>
        <w:t xml:space="preserve">Right click by holding Ctrl and left-clicking</w:t>
      </w:r>
    </w:p>
    <w:p>
      <w:pPr>
        <w:numPr>
          <w:ilvl w:val="0"/>
          <w:numId w:val="1128"/>
        </w:numPr>
        <w:pStyle w:val="Compact"/>
      </w:pPr>
      <w:r>
        <w:t xml:space="preserve">Tapping with two fingers as opposed to one</w:t>
      </w:r>
    </w:p>
    <w:bookmarkStart w:id="343" w:name="getting-a-copy-of-the-spreadsheet"/>
    <w:p>
      <w:pPr>
        <w:pStyle w:val="Heading3"/>
      </w:pPr>
      <w:r>
        <w:rPr>
          <w:rStyle w:val="SectionNumber"/>
        </w:rPr>
        <w:t xml:space="preserve">7.0.1</w:t>
      </w:r>
      <w:r>
        <w:tab/>
      </w:r>
      <w:r>
        <w:t xml:space="preserve">Getting a copy of the spreadsheet</w:t>
      </w:r>
    </w:p>
    <w:p>
      <w:pPr>
        <w:pStyle w:val="FirstParagraph"/>
      </w:pPr>
      <w:r>
        <w:drawing>
          <wp:inline>
            <wp:extent cx="5334000" cy="3000375"/>
            <wp:effectExtent b="0" l="0" r="0" t="0"/>
            <wp:docPr descr="" title="" id="341" name="Picture"/>
            <a:graphic>
              <a:graphicData uri="http://schemas.openxmlformats.org/drawingml/2006/picture">
                <pic:pic>
                  <pic:nvPicPr>
                    <pic:cNvPr descr="spreadsheets-tutorial_files/figure-docx//1ah82NLd1weER1SUEJ9aPFDWT2vLg5wK5JW6tjdVkf6o_g3b212331eba_0_25.png" id="342" name="Picture"/>
                    <pic:cNvPicPr>
                      <a:picLocks noChangeArrowheads="1" noChangeAspect="1"/>
                    </pic:cNvPicPr>
                  </pic:nvPicPr>
                  <pic:blipFill>
                    <a:blip r:embed="rId3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Spreadsheets are featured in some of our C-MOOR curricula. We keep an original copy of the spreadsheet that can’t be edited by students and ask users to create a new copy to do their calculations in.</w:t>
      </w:r>
    </w:p>
    <w:p>
      <w:pPr>
        <w:pStyle w:val="BodyText"/>
      </w:pPr>
      <w:r>
        <w:t xml:space="preserve">You will need to make a copy of the original spreadsheet in order to interact with it. To do so, in the top left corner of the window, under the name of the spreadsheet and to the right of the spreadsheet icon, click</w:t>
      </w:r>
      <w:r>
        <w:t xml:space="preserve"> </w:t>
      </w:r>
      <w:r>
        <w:rPr>
          <w:bCs/>
          <w:b/>
        </w:rPr>
        <w:t xml:space="preserve">File &gt; Make a copy</w:t>
      </w:r>
      <w:r>
        <w:t xml:space="preserve">. This new copy is yours to keep track of in your Google Drive.</w:t>
      </w:r>
    </w:p>
    <w:bookmarkEnd w:id="343"/>
    <w:bookmarkStart w:id="347" w:name="basic-spreadsheet-terms"/>
    <w:p>
      <w:pPr>
        <w:pStyle w:val="Heading3"/>
      </w:pPr>
      <w:r>
        <w:rPr>
          <w:rStyle w:val="SectionNumber"/>
        </w:rPr>
        <w:t xml:space="preserve">7.0.2</w:t>
      </w:r>
      <w:r>
        <w:tab/>
      </w:r>
      <w:r>
        <w:t xml:space="preserve">Basic spreadsheet terms</w:t>
      </w:r>
    </w:p>
    <w:p>
      <w:pPr>
        <w:pStyle w:val="FirstParagraph"/>
      </w:pPr>
      <w:r>
        <w:drawing>
          <wp:inline>
            <wp:extent cx="5334000" cy="3000375"/>
            <wp:effectExtent b="0" l="0" r="0" t="0"/>
            <wp:docPr descr="" title="" id="345" name="Picture"/>
            <a:graphic>
              <a:graphicData uri="http://schemas.openxmlformats.org/drawingml/2006/picture">
                <pic:pic>
                  <pic:nvPicPr>
                    <pic:cNvPr descr="spreadsheets-tutorial_files/figure-docx//1ah82NLd1weER1SUEJ9aPFDWT2vLg5wK5JW6tjdVkf6o_g3b212331eba_0_5.png" id="346" name="Picture"/>
                    <pic:cNvPicPr>
                      <a:picLocks noChangeArrowheads="1" noChangeAspect="1"/>
                    </pic:cNvPicPr>
                  </pic:nvPicPr>
                  <pic:blipFill>
                    <a:blip r:embed="rId3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Columns</w:t>
      </w:r>
      <w:r>
        <w:t xml:space="preserve">: Refers to the vertical groupings of data types and called by a letter (ex. Column A, B, C, and D.</w:t>
      </w:r>
    </w:p>
    <w:p>
      <w:pPr>
        <w:pStyle w:val="BodyText"/>
      </w:pPr>
      <w:r>
        <w:rPr>
          <w:bCs/>
          <w:b/>
        </w:rPr>
        <w:t xml:space="preserve">Rows</w:t>
      </w:r>
      <w:r>
        <w:t xml:space="preserve">: Refers to the horizontal grouping of data types and called by a number (ex. Row 1, 2, 3…). In this example data, each row refers to a pet.</w:t>
      </w:r>
    </w:p>
    <w:p>
      <w:pPr>
        <w:pStyle w:val="BodyText"/>
      </w:pPr>
      <w:r>
        <w:rPr>
          <w:bCs/>
          <w:b/>
        </w:rPr>
        <w:t xml:space="preserve">Cells</w:t>
      </w:r>
      <w:r>
        <w:t xml:space="preserve">: Refer to the intersection between a given row and column and can be called by a combination of their column and row. Example: B2 refers to the intersection of column B, row 2 (which contains</w:t>
      </w:r>
      <w:r>
        <w:t xml:space="preserve"> </w:t>
      </w:r>
      <w:r>
        <w:t xml:space="preserve">“</w:t>
      </w:r>
      <w:r>
        <w:t xml:space="preserve">Dog</w:t>
      </w:r>
      <w:r>
        <w:t xml:space="preserve">”</w:t>
      </w:r>
      <w:r>
        <w:t xml:space="preserve">).</w:t>
      </w:r>
    </w:p>
    <w:p>
      <w:pPr>
        <w:pStyle w:val="BodyText"/>
      </w:pPr>
      <w:r>
        <w:rPr>
          <w:bCs/>
          <w:b/>
        </w:rPr>
        <w:t xml:space="preserve">Header</w:t>
      </w:r>
      <w:r>
        <w:t xml:space="preserve">: Used to refer to the first row, which contains metadata or describes the data in each column.</w:t>
      </w:r>
    </w:p>
    <w:bookmarkEnd w:id="347"/>
    <w:bookmarkStart w:id="354" w:name="summary-statistics-by-row-or-column"/>
    <w:p>
      <w:pPr>
        <w:pStyle w:val="Heading3"/>
      </w:pPr>
      <w:r>
        <w:rPr>
          <w:rStyle w:val="SectionNumber"/>
        </w:rPr>
        <w:t xml:space="preserve">7.0.3</w:t>
      </w:r>
      <w:r>
        <w:tab/>
      </w:r>
      <w:r>
        <w:t xml:space="preserve">Summary statistics by row or column</w:t>
      </w:r>
    </w:p>
    <w:p>
      <w:pPr>
        <w:pStyle w:val="FirstParagraph"/>
      </w:pPr>
      <w:r>
        <w:drawing>
          <wp:inline>
            <wp:extent cx="5334000" cy="3000375"/>
            <wp:effectExtent b="0" l="0" r="0" t="0"/>
            <wp:docPr descr="" title="" id="349" name="Picture"/>
            <a:graphic>
              <a:graphicData uri="http://schemas.openxmlformats.org/drawingml/2006/picture">
                <pic:pic>
                  <pic:nvPicPr>
                    <pic:cNvPr descr="spreadsheets-tutorial_files/figure-docx//1ah82NLd1weER1SUEJ9aPFDWT2vLg5wK5JW6tjdVkf6o_g3b212331eba_0_11.png" id="350" name="Picture"/>
                    <pic:cNvPicPr>
                      <a:picLocks noChangeArrowheads="1" noChangeAspect="1"/>
                    </pic:cNvPicPr>
                  </pic:nvPicPr>
                  <pic:blipFill>
                    <a:blip r:embed="rId3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Clicking on a column or row gives you the count of how many filled in cells there are in the bottom right area of the window. Notice how there are 11 cells filled and reported but only 10 of them contain real data.</w:t>
      </w:r>
      <w:r>
        <w:t xml:space="preserve"> </w:t>
      </w:r>
      <w:r>
        <w:t xml:space="preserve">Cell A1 contains</w:t>
      </w:r>
      <w:r>
        <w:t xml:space="preserve"> </w:t>
      </w:r>
      <w:r>
        <w:t xml:space="preserve">“</w:t>
      </w:r>
      <w:r>
        <w:t xml:space="preserve">Name</w:t>
      </w:r>
      <w:r>
        <w:t xml:space="preserve">”</w:t>
      </w:r>
      <w:r>
        <w:t xml:space="preserve">, which is a label for what kind of data is stored, but not data itself. Keep this in mind when answering questions about count.</w:t>
      </w:r>
    </w:p>
    <w:p>
      <w:pPr>
        <w:pStyle w:val="BodyText"/>
      </w:pPr>
      <w:r>
        <w:drawing>
          <wp:inline>
            <wp:extent cx="5334000" cy="3000375"/>
            <wp:effectExtent b="0" l="0" r="0" t="0"/>
            <wp:docPr descr="" title="" id="352" name="Picture"/>
            <a:graphic>
              <a:graphicData uri="http://schemas.openxmlformats.org/drawingml/2006/picture">
                <pic:pic>
                  <pic:nvPicPr>
                    <pic:cNvPr descr="spreadsheets-tutorial_files/figure-docx//1ah82NLd1weER1SUEJ9aPFDWT2vLg5wK5JW6tjdVkf6o_g3b212331eba_0_16.png" id="353" name="Picture"/>
                    <pic:cNvPicPr>
                      <a:picLocks noChangeArrowheads="1" noChangeAspect="1"/>
                    </pic:cNvPicPr>
                  </pic:nvPicPr>
                  <pic:blipFill>
                    <a:blip r:embed="rId3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numerical data is detected, you can click on the field in the bottom right corner and toggle it to</w:t>
      </w:r>
      <w:r>
        <w:t xml:space="preserve"> </w:t>
      </w:r>
      <w:r>
        <w:rPr>
          <w:bCs/>
          <w:b/>
        </w:rPr>
        <w:t xml:space="preserve">display the sum, average, minimum, maximum, count value, and count value only including numbers</w:t>
      </w:r>
      <w:r>
        <w:t xml:space="preserve">.</w:t>
      </w:r>
    </w:p>
    <w:bookmarkEnd w:id="354"/>
    <w:bookmarkStart w:id="358" w:name="adding-data-to-cells"/>
    <w:p>
      <w:pPr>
        <w:pStyle w:val="Heading3"/>
      </w:pPr>
      <w:r>
        <w:rPr>
          <w:rStyle w:val="SectionNumber"/>
        </w:rPr>
        <w:t xml:space="preserve">7.0.4</w:t>
      </w:r>
      <w:r>
        <w:tab/>
      </w:r>
      <w:r>
        <w:t xml:space="preserve">Adding data to cells</w:t>
      </w:r>
    </w:p>
    <w:p>
      <w:pPr>
        <w:pStyle w:val="FirstParagraph"/>
      </w:pPr>
      <w:r>
        <w:t xml:space="preserve">To add data to a cell, click on the cell and enter your data. Confirm the entry with the</w:t>
      </w:r>
      <w:r>
        <w:t xml:space="preserve"> </w:t>
      </w:r>
      <w:r>
        <w:t xml:space="preserve">“</w:t>
      </w:r>
      <w:r>
        <w:t xml:space="preserve">Enter</w:t>
      </w:r>
      <w:r>
        <w:t xml:space="preserve">”</w:t>
      </w:r>
      <w:r>
        <w:t xml:space="preserve"> </w:t>
      </w:r>
      <w:r>
        <w:t xml:space="preserve">or</w:t>
      </w:r>
      <w:r>
        <w:t xml:space="preserve"> </w:t>
      </w:r>
      <w:r>
        <w:t xml:space="preserve">“</w:t>
      </w:r>
      <w:r>
        <w:t xml:space="preserve">Return</w:t>
      </w:r>
      <w:r>
        <w:t xml:space="preserve">”</w:t>
      </w:r>
      <w:r>
        <w:t xml:space="preserve"> </w:t>
      </w:r>
      <w:r>
        <w:t xml:space="preserve">key on your keyboard or by clicking or moving to another cell with the arrow keys.</w:t>
      </w:r>
    </w:p>
    <w:p>
      <w:pPr>
        <w:pStyle w:val="BodyText"/>
      </w:pPr>
      <w:r>
        <w:rPr>
          <w:bCs/>
          <w:b/>
        </w:rPr>
        <w:t xml:space="preserve">Notice: Above the columns there is a field where you can see what is in a selected cell.</w:t>
      </w:r>
    </w:p>
    <w:p>
      <w:pPr>
        <w:pStyle w:val="BodyText"/>
      </w:pPr>
      <w:r>
        <w:drawing>
          <wp:inline>
            <wp:extent cx="5334000" cy="3000375"/>
            <wp:effectExtent b="0" l="0" r="0" t="0"/>
            <wp:docPr descr="" title="" id="356" name="Picture"/>
            <a:graphic>
              <a:graphicData uri="http://schemas.openxmlformats.org/drawingml/2006/picture">
                <pic:pic>
                  <pic:nvPicPr>
                    <pic:cNvPr descr="spreadsheets-tutorial_files/figure-docx//1ah82NLd1weER1SUEJ9aPFDWT2vLg5wK5JW6tjdVkf6o_g3b212331eba_0_19.png" id="357" name="Picture"/>
                    <pic:cNvPicPr>
                      <a:picLocks noChangeArrowheads="1" noChangeAspect="1"/>
                    </pic:cNvPicPr>
                  </pic:nvPicPr>
                  <pic:blipFill>
                    <a:blip r:embed="rId3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add calculations to a cell, use the = sign. Spreadsheet software will treat any cell with an = sign as a calculation, and it will treat any cell without an = sign as text. To do this, compare what happens when you have cells with the following.</w:t>
      </w:r>
    </w:p>
    <w:p>
      <w:pPr>
        <w:numPr>
          <w:ilvl w:val="0"/>
          <w:numId w:val="1129"/>
        </w:numPr>
        <w:pStyle w:val="Compact"/>
      </w:pPr>
      <w:r>
        <w:t xml:space="preserve">1+1</w:t>
      </w:r>
    </w:p>
    <w:p>
      <w:pPr>
        <w:numPr>
          <w:ilvl w:val="0"/>
          <w:numId w:val="1129"/>
        </w:numPr>
        <w:pStyle w:val="Compact"/>
      </w:pPr>
      <w:r>
        <w:t xml:space="preserve">= 1+1</w:t>
      </w:r>
    </w:p>
    <w:p>
      <w:pPr>
        <w:pStyle w:val="FirstParagraph"/>
      </w:pPr>
      <w:r>
        <w:t xml:space="preserve">1+1 will remain at 1+1, where as = 1+1 will cause the cell to calculate 2. We can see the original calculation we put into the cell above the columns. Calculations only work for numerical values. Cells with invalid calculations will cause a pop-up to warn you the cell is invalid.</w:t>
      </w:r>
    </w:p>
    <w:p>
      <w:pPr>
        <w:pStyle w:val="BodyText"/>
      </w:pPr>
      <w:r>
        <w:t xml:space="preserve">To add calculations based on cell values, the formula must contain the specific cell. We can manually type out the combination of column and row that refers to a cell (ex. D2, or:</w:t>
      </w:r>
    </w:p>
    <w:p>
      <w:pPr>
        <w:numPr>
          <w:ilvl w:val="0"/>
          <w:numId w:val="1130"/>
        </w:numPr>
        <w:pStyle w:val="Compact"/>
      </w:pPr>
      <w:r>
        <w:t xml:space="preserve">Type = into a cell</w:t>
      </w:r>
    </w:p>
    <w:p>
      <w:pPr>
        <w:numPr>
          <w:ilvl w:val="0"/>
          <w:numId w:val="1130"/>
        </w:numPr>
        <w:pStyle w:val="Compact"/>
      </w:pPr>
      <w:r>
        <w:t xml:space="preserve">Click on the cell you want to use in a calculation</w:t>
      </w:r>
    </w:p>
    <w:p>
      <w:pPr>
        <w:numPr>
          <w:ilvl w:val="0"/>
          <w:numId w:val="1130"/>
        </w:numPr>
        <w:pStyle w:val="Compact"/>
      </w:pPr>
      <w:r>
        <w:t xml:space="preserve">Complete the calculation formula.</w:t>
      </w:r>
    </w:p>
    <w:p>
      <w:pPr>
        <w:pStyle w:val="FirstParagraph"/>
      </w:pPr>
      <w:r>
        <w:rPr>
          <w:bCs/>
          <w:b/>
        </w:rPr>
        <w:t xml:space="preserve">Notice: The cell used has colored borders matching the formula.</w:t>
      </w:r>
      <w:r>
        <w:t xml:space="preserve"> </w:t>
      </w:r>
      <w:r>
        <w:t xml:space="preserve">You can interact with these borders to select different cells and find what is currently selected.</w:t>
      </w:r>
    </w:p>
    <w:bookmarkEnd w:id="358"/>
    <w:bookmarkStart w:id="362" w:name="applying-a-calculation-to-many-cells"/>
    <w:p>
      <w:pPr>
        <w:pStyle w:val="Heading3"/>
      </w:pPr>
      <w:r>
        <w:rPr>
          <w:rStyle w:val="SectionNumber"/>
        </w:rPr>
        <w:t xml:space="preserve">7.0.5</w:t>
      </w:r>
      <w:r>
        <w:tab/>
      </w:r>
      <w:r>
        <w:t xml:space="preserve">Applying a calculation to many cells</w:t>
      </w:r>
    </w:p>
    <w:p>
      <w:pPr>
        <w:pStyle w:val="FirstParagraph"/>
      </w:pPr>
      <w:r>
        <w:drawing>
          <wp:inline>
            <wp:extent cx="5334000" cy="3000375"/>
            <wp:effectExtent b="0" l="0" r="0" t="0"/>
            <wp:docPr descr="" title="" id="360" name="Picture"/>
            <a:graphic>
              <a:graphicData uri="http://schemas.openxmlformats.org/drawingml/2006/picture">
                <pic:pic>
                  <pic:nvPicPr>
                    <pic:cNvPr descr="spreadsheets-tutorial_files/figure-docx//1ah82NLd1weER1SUEJ9aPFDWT2vLg5wK5JW6tjdVkf6o_g3b212331eba_0_22.png" id="361" name="Picture"/>
                    <pic:cNvPicPr>
                      <a:picLocks noChangeArrowheads="1" noChangeAspect="1"/>
                    </pic:cNvPicPr>
                  </pic:nvPicPr>
                  <pic:blipFill>
                    <a:blip r:embed="rId35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use the calculation multiple times, we can do the following, all of which will copy the formula and carry down the selected cells so you don’t have to reselect the cells used for new rows and columns. Try the following below to see what we mean.</w:t>
      </w:r>
    </w:p>
    <w:p>
      <w:pPr>
        <w:pStyle w:val="BodyText"/>
      </w:pPr>
      <w:r>
        <w:rPr>
          <w:bCs/>
          <w:b/>
        </w:rPr>
        <w:t xml:space="preserve">Method 1)</w:t>
      </w:r>
      <w:r>
        <w:t xml:space="preserve"> </w:t>
      </w:r>
      <w:r>
        <w:t xml:space="preserve">Copy-paste the cell’s contents into new cells one by one. You can copy the cell with Ctrl+C or right clicking the cell and selecting copy. You can paste the calculation formula into new cells with Ctrl+V or right clicking the new cell and selecting paste.</w:t>
      </w:r>
    </w:p>
    <w:p>
      <w:pPr>
        <w:pStyle w:val="BodyText"/>
      </w:pPr>
      <w:r>
        <w:rPr>
          <w:bCs/>
          <w:b/>
        </w:rPr>
        <w:t xml:space="preserve">Method 2)</w:t>
      </w:r>
      <w:r>
        <w:t xml:space="preserve"> </w:t>
      </w:r>
      <w:r>
        <w:t xml:space="preserve">Paste into multiple cells at one time. If you have a calculation that needs to be applied many times, it can be inconvenient to paste a copied formula over and over. In this case, select multiple cells by holding down the shift key and paste into all of them at once.</w:t>
      </w:r>
    </w:p>
    <w:p>
      <w:pPr>
        <w:pStyle w:val="BodyText"/>
      </w:pPr>
      <w:r>
        <w:rPr>
          <w:bCs/>
          <w:b/>
        </w:rPr>
        <w:t xml:space="preserve">Method 3)</w:t>
      </w:r>
      <w:r>
        <w:t xml:space="preserve"> </w:t>
      </w:r>
      <w:r>
        <w:t xml:space="preserve">Drag the contents of the cell to copy the contents to new cells. When a cell is selected, a blue dot appears in the bottom right corner of the cell. Click and drag this dot and the formula will be applied to other cells</w:t>
      </w:r>
    </w:p>
    <w:bookmarkEnd w:id="362"/>
    <w:bookmarkStart w:id="366" w:name="manipulating-the-spreadsheet"/>
    <w:p>
      <w:pPr>
        <w:pStyle w:val="Heading3"/>
      </w:pPr>
      <w:r>
        <w:rPr>
          <w:rStyle w:val="SectionNumber"/>
        </w:rPr>
        <w:t xml:space="preserve">7.0.6</w:t>
      </w:r>
      <w:r>
        <w:tab/>
      </w:r>
      <w:r>
        <w:t xml:space="preserve">Manipulating the spreadsheet</w:t>
      </w:r>
    </w:p>
    <w:p>
      <w:pPr>
        <w:pStyle w:val="FirstParagraph"/>
      </w:pPr>
      <w:r>
        <w:drawing>
          <wp:inline>
            <wp:extent cx="5334000" cy="3000375"/>
            <wp:effectExtent b="0" l="0" r="0" t="0"/>
            <wp:docPr descr="" title="" id="364" name="Picture"/>
            <a:graphic>
              <a:graphicData uri="http://schemas.openxmlformats.org/drawingml/2006/picture">
                <pic:pic>
                  <pic:nvPicPr>
                    <pic:cNvPr descr="spreadsheets-tutorial_files/figure-docx//1ah82NLd1weER1SUEJ9aPFDWT2vLg5wK5JW6tjdVkf6o_g3b212331eba_0_28.png" id="365" name="Picture"/>
                    <pic:cNvPicPr>
                      <a:picLocks noChangeArrowheads="1" noChangeAspect="1"/>
                    </pic:cNvPicPr>
                  </pic:nvPicPr>
                  <pic:blipFill>
                    <a:blip r:embed="rId3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Right clicking a column or row brings up a menu with options for adding or deleting columns/rows, filtering data, or sorting the spreadsheet.</w:t>
      </w:r>
    </w:p>
    <w:p>
      <w:pPr>
        <w:pStyle w:val="BodyText"/>
      </w:pPr>
      <w:r>
        <w:rPr>
          <w:bCs/>
          <w:b/>
        </w:rPr>
        <w:t xml:space="preserve">Add or delete columns/rows</w:t>
      </w:r>
      <w:r>
        <w:t xml:space="preserve">: Insert or delete a column or row.</w:t>
      </w:r>
    </w:p>
    <w:p>
      <w:pPr>
        <w:pStyle w:val="BodyText"/>
      </w:pPr>
      <w:r>
        <w:rPr>
          <w:bCs/>
          <w:b/>
        </w:rPr>
        <w:t xml:space="preserve">Filtering data</w:t>
      </w:r>
      <w:r>
        <w:t xml:space="preserve">: Filter data so that only rows that have a specific value are shown. In the above example, you could filter by species and retain only rows (pets) that are dogs.</w:t>
      </w:r>
    </w:p>
    <w:p>
      <w:pPr>
        <w:pStyle w:val="BodyText"/>
      </w:pPr>
      <w:r>
        <w:rPr>
          <w:bCs/>
          <w:b/>
        </w:rPr>
        <w:t xml:space="preserve">Sort the spreadsheet</w:t>
      </w:r>
      <w:r>
        <w:t xml:space="preserve">: Sort the spreadsheet based on the values in the selected column (does not work for rows): alphabetically (A to Z), reverse alphabetically Z to A), lowest to highest (A to Z), highest to lowest (Z to A).</w:t>
      </w:r>
    </w:p>
    <w:bookmarkEnd w:id="366"/>
    <w:bookmarkStart w:id="368" w:name="useful-formulas-in-google-sheets"/>
    <w:p>
      <w:pPr>
        <w:pStyle w:val="Heading3"/>
      </w:pPr>
      <w:r>
        <w:rPr>
          <w:rStyle w:val="SectionNumber"/>
        </w:rPr>
        <w:t xml:space="preserve">7.0.7</w:t>
      </w:r>
      <w:r>
        <w:tab/>
      </w:r>
      <w:r>
        <w:t xml:space="preserve">Useful formulas in Google Sheets</w:t>
      </w:r>
    </w:p>
    <w:tbl>
      <w:tblPr>
        <w:tblStyle w:val="Table"/>
        <w:tblW w:type="pct" w:w="5000"/>
        <w:tblLook w:firstRow="1" w:lastRow="0" w:firstColumn="0" w:lastColumn="0" w:noHBand="0" w:noVBand="0" w:val="0020"/>
        <w:jc w:val="start"/>
      </w:tblPr>
      <w:tblGrid>
        <w:gridCol w:w="1760"/>
        <w:gridCol w:w="6160"/>
      </w:tblGrid>
      <w:tr>
        <w:trPr>
          <w:tblHeader w:val="true"/>
        </w:trPr>
        <w:tc>
          <w:tcPr/>
          <w:p>
            <w:pPr>
              <w:pStyle w:val="Compact"/>
              <w:jc w:val="left"/>
            </w:pPr>
            <w:r>
              <w:t xml:space="preserve">Calculation</w:t>
            </w:r>
          </w:p>
        </w:tc>
        <w:tc>
          <w:tcPr/>
          <w:p>
            <w:pPr>
              <w:pStyle w:val="Compact"/>
              <w:jc w:val="left"/>
            </w:pPr>
            <w:r>
              <w:t xml:space="preserve">Formula</w:t>
            </w:r>
          </w:p>
        </w:tc>
      </w:tr>
      <w:tr>
        <w:tc>
          <w:tcPr/>
          <w:p>
            <w:pPr>
              <w:pStyle w:val="Compact"/>
              <w:jc w:val="left"/>
            </w:pPr>
            <w:r>
              <w:t xml:space="preserve">Sum</w:t>
            </w:r>
          </w:p>
        </w:tc>
        <w:tc>
          <w:tcPr/>
          <w:p>
            <w:pPr>
              <w:pStyle w:val="Compact"/>
              <w:jc w:val="left"/>
            </w:pPr>
            <w:r>
              <w:t xml:space="preserve">=sum(CELLS)</w:t>
            </w:r>
          </w:p>
        </w:tc>
      </w:tr>
      <w:tr>
        <w:tc>
          <w:tcPr/>
          <w:p>
            <w:pPr>
              <w:pStyle w:val="Compact"/>
              <w:jc w:val="left"/>
            </w:pPr>
            <w:r>
              <w:t xml:space="preserve">Average (Mean)</w:t>
            </w:r>
          </w:p>
        </w:tc>
        <w:tc>
          <w:tcPr/>
          <w:p>
            <w:pPr>
              <w:pStyle w:val="Compact"/>
              <w:jc w:val="left"/>
            </w:pPr>
            <w:r>
              <w:t xml:space="preserve">=average(CELLS)</w:t>
            </w:r>
          </w:p>
        </w:tc>
      </w:tr>
      <w:tr>
        <w:tc>
          <w:tcPr/>
          <w:p>
            <w:pPr>
              <w:pStyle w:val="Compact"/>
              <w:jc w:val="left"/>
            </w:pPr>
            <w:r>
              <w:t xml:space="preserve">Median</w:t>
            </w:r>
          </w:p>
        </w:tc>
        <w:tc>
          <w:tcPr/>
          <w:p>
            <w:pPr>
              <w:pStyle w:val="Compact"/>
              <w:jc w:val="left"/>
            </w:pPr>
            <w:r>
              <w:t xml:space="preserve">=median(CELLS)</w:t>
            </w:r>
          </w:p>
        </w:tc>
      </w:tr>
      <w:tr>
        <w:tc>
          <w:tcPr/>
          <w:p>
            <w:pPr>
              <w:pStyle w:val="Compact"/>
              <w:jc w:val="left"/>
            </w:pPr>
            <w:r>
              <w:t xml:space="preserve">Maximum</w:t>
            </w:r>
          </w:p>
        </w:tc>
        <w:tc>
          <w:tcPr/>
          <w:p>
            <w:pPr>
              <w:pStyle w:val="Compact"/>
              <w:jc w:val="left"/>
            </w:pPr>
            <w:r>
              <w:t xml:space="preserve">=max(CELLS)</w:t>
            </w:r>
          </w:p>
        </w:tc>
      </w:tr>
      <w:tr>
        <w:tc>
          <w:tcPr/>
          <w:p>
            <w:pPr>
              <w:pStyle w:val="Compact"/>
              <w:jc w:val="left"/>
            </w:pPr>
            <w:r>
              <w:t xml:space="preserve">Minimum</w:t>
            </w:r>
          </w:p>
        </w:tc>
        <w:tc>
          <w:tcPr/>
          <w:p>
            <w:pPr>
              <w:pStyle w:val="Compact"/>
              <w:jc w:val="left"/>
            </w:pPr>
            <w:r>
              <w:t xml:space="preserve">=min(CELLS)</w:t>
            </w:r>
          </w:p>
        </w:tc>
      </w:tr>
      <w:tr>
        <w:tc>
          <w:tcPr/>
          <w:p>
            <w:pPr>
              <w:pStyle w:val="Compact"/>
              <w:jc w:val="left"/>
            </w:pPr>
            <w:r>
              <w:t xml:space="preserve">Count cells that meet a certain condition</w:t>
            </w:r>
          </w:p>
        </w:tc>
        <w:tc>
          <w:tcPr/>
          <w:p>
            <w:pPr>
              <w:pStyle w:val="Compact"/>
              <w:jc w:val="left"/>
            </w:pPr>
            <w:r>
              <w:t xml:space="preserve">= COUNTIF(CELLS,</w:t>
            </w:r>
            <w:r>
              <w:t xml:space="preserve"> </w:t>
            </w:r>
            <w:r>
              <w:t xml:space="preserve">“</w:t>
            </w:r>
            <w:r>
              <w:t xml:space="preserve">condition, where if true, the cell will be counted</w:t>
            </w:r>
            <w:r>
              <w:t xml:space="preserve">”</w:t>
            </w:r>
            <w:r>
              <w:t xml:space="preserve">)</w:t>
            </w:r>
          </w:p>
        </w:tc>
      </w:tr>
      <w:tr>
        <w:tc>
          <w:tcPr/>
          <w:p>
            <w:pPr>
              <w:pStyle w:val="Compact"/>
              <w:jc w:val="left"/>
            </w:pPr>
            <w:r>
              <w:t xml:space="preserve">Variance within a sample</w:t>
            </w:r>
          </w:p>
        </w:tc>
        <w:tc>
          <w:tcPr/>
          <w:p>
            <w:pPr>
              <w:pStyle w:val="Compact"/>
              <w:jc w:val="left"/>
            </w:pPr>
            <w:r>
              <w:t xml:space="preserve">=var.s(CELLS)</w:t>
            </w:r>
          </w:p>
        </w:tc>
      </w:tr>
    </w:tbl>
    <w:bookmarkStart w:id="367" w:name="on-variance"/>
    <w:p>
      <w:pPr>
        <w:pStyle w:val="Heading4"/>
      </w:pPr>
      <w:r>
        <w:rPr>
          <w:rStyle w:val="SectionNumber"/>
        </w:rPr>
        <w:t xml:space="preserve">7.0.7.1</w:t>
      </w:r>
      <w:r>
        <w:tab/>
      </w:r>
      <w:r>
        <w:rPr>
          <w:bCs/>
          <w:b/>
        </w:rPr>
        <w:t xml:space="preserve">On variance</w:t>
      </w:r>
    </w:p>
    <w:bookmarkEnd w:id="367"/>
    <w:p>
      <w:pPr>
        <w:pStyle w:val="FirstParagraph"/>
      </w:pPr>
      <w:r>
        <w:t xml:space="preserve">Variance is a measure of how spread out or consistent a dataset is, and is similar in concept to the standard deviation of a dataset (although there are differences in how they are calculated). For both variance and standard deviation there are alternate formulas for datasets that comprise a sample - var.s (which is used above), and for datasets that comprise entire populations (var.p). We use the population version when our dataset encompasses the entire population that we are interested in. Make sure you select the right formula for the right question! The majority of times, var.s will be more appropriate. If you’re not sure what to use, ask your instructor.</w:t>
      </w:r>
    </w:p>
    <w:bookmarkEnd w:id="368"/>
    <w:bookmarkEnd w:id="369"/>
    <w:bookmarkStart w:id="384" w:name="figure-and-tables-guide"/>
    <w:p>
      <w:pPr>
        <w:pStyle w:val="Heading1"/>
      </w:pPr>
      <w:r>
        <w:rPr>
          <w:rStyle w:val="SectionNumber"/>
        </w:rPr>
        <w:t xml:space="preserve">8</w:t>
      </w:r>
      <w:r>
        <w:tab/>
      </w:r>
      <w:r>
        <w:t xml:space="preserve">Figure and tables guide</w:t>
      </w:r>
    </w:p>
    <w:p>
      <w:pPr>
        <w:pStyle w:val="FirstParagraph"/>
      </w:pPr>
      <w:r>
        <w:t xml:space="preserve">Figures and tables are found in all forms of scientific communication: posters, papers, and presentations. The information on this page is specific to posters and papers, although a good presentation will build off the materials here.</w:t>
      </w:r>
    </w:p>
    <w:bookmarkStart w:id="379" w:name="figures"/>
    <w:p>
      <w:pPr>
        <w:pStyle w:val="Heading3"/>
      </w:pPr>
      <w:r>
        <w:rPr>
          <w:rStyle w:val="SectionNumber"/>
        </w:rPr>
        <w:t xml:space="preserve">8.0.1</w:t>
      </w:r>
      <w:r>
        <w:tab/>
      </w:r>
      <w:r>
        <w:t xml:space="preserve">Figures</w:t>
      </w:r>
    </w:p>
    <w:p>
      <w:pPr>
        <w:pStyle w:val="FirstParagraph"/>
      </w:pPr>
      <w:r>
        <w:drawing>
          <wp:inline>
            <wp:extent cx="5334000" cy="3000375"/>
            <wp:effectExtent b="0" l="0" r="0" t="0"/>
            <wp:docPr descr="" title="" id="371" name="Picture"/>
            <a:graphic>
              <a:graphicData uri="http://schemas.openxmlformats.org/drawingml/2006/picture">
                <pic:pic>
                  <pic:nvPicPr>
                    <pic:cNvPr descr="legends-tutorial_files/figure-docx//1dI8-_iVqbkzNMf11M4dK85E8ZW3OyZECs_YwMKw5fhs_g3b458cb4825_0_4.png" id="372" name="Picture"/>
                    <pic:cNvPicPr>
                      <a:picLocks noChangeArrowheads="1" noChangeAspect="1"/>
                    </pic:cNvPicPr>
                  </pic:nvPicPr>
                  <pic:blipFill>
                    <a:blip r:embed="rId3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counts as a figure:</w:t>
      </w:r>
      <w:r>
        <w:t xml:space="preserve"> </w:t>
      </w:r>
      <w:r>
        <w:t xml:space="preserve">Pretty much everything that isn’t a table that contains graphical information: Photographs, charts/graphs, and diagrams (digital and traditional) all count as figures! If it’s an image, it probably belongs as a figure!</w:t>
      </w:r>
    </w:p>
    <w:p>
      <w:pPr>
        <w:pStyle w:val="BodyText"/>
      </w:pPr>
      <w:r>
        <w:rPr>
          <w:bCs/>
          <w:b/>
        </w:rPr>
        <w:t xml:space="preserve">Cleaning a figure:</w:t>
      </w:r>
      <w:r>
        <w:t xml:space="preserve"> </w:t>
      </w:r>
      <w:r>
        <w:t xml:space="preserve">Prepare the figure in a program like Google Slides or Powerpoint that will allow you to change the text size and fonts; you can do this with a creative use of cropping and text boxes with a solid white background. Add notes and adjustments where they would make the figure more easily understandable (ex. ordering samples by group and labeling their groups). The most important thing is that your figure is at a high enough quality and resolution that the pictures and text are not blurry!</w:t>
      </w:r>
    </w:p>
    <w:p>
      <w:pPr>
        <w:pStyle w:val="BodyText"/>
      </w:pPr>
      <w:r>
        <w:drawing>
          <wp:inline>
            <wp:extent cx="5334000" cy="3000375"/>
            <wp:effectExtent b="0" l="0" r="0" t="0"/>
            <wp:docPr descr="" title="" id="374" name="Picture"/>
            <a:graphic>
              <a:graphicData uri="http://schemas.openxmlformats.org/drawingml/2006/picture">
                <pic:pic>
                  <pic:nvPicPr>
                    <pic:cNvPr descr="legends-tutorial_files/figure-docx//1dI8-_iVqbkzNMf11M4dK85E8ZW3OyZECs_YwMKw5fhs_g3b458cb4825_0_28.png" id="375" name="Picture"/>
                    <pic:cNvPicPr>
                      <a:picLocks noChangeArrowheads="1" noChangeAspect="1"/>
                    </pic:cNvPicPr>
                  </pic:nvPicPr>
                  <pic:blipFill>
                    <a:blip r:embed="rId3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Figure legends</w:t>
      </w:r>
      <w:r>
        <w:t xml:space="preserve">: Figure legends (also interchangably called figure captions) go underneath their figures. Figure legends should include the following (feel free to ask your peers or instructor to review your legends):</w:t>
      </w:r>
      <w:r>
        <w:t xml:space="preserve"> </w:t>
      </w:r>
      <w:r>
        <w:t xml:space="preserve">- A comprehensive title in bold that describes what the figure is about or the methods used to make the figure</w:t>
      </w:r>
      <w:r>
        <w:t xml:space="preserve"> </w:t>
      </w:r>
      <w:r>
        <w:t xml:space="preserve">- Text describing the main takeaway from the figure</w:t>
      </w:r>
      <w:r>
        <w:t xml:space="preserve"> </w:t>
      </w:r>
      <w:r>
        <w:t xml:space="preserve">- Text describing the methods used to generate the figure if needed</w:t>
      </w:r>
      <w:r>
        <w:t xml:space="preserve"> </w:t>
      </w:r>
      <w:r>
        <w:t xml:space="preserve">- Text detailing any other background information or methodology needed to understand the figure (ex. abbreviations, settings of a program, description of subsetted data)</w:t>
      </w:r>
      <w:r>
        <w:t xml:space="preserve"> </w:t>
      </w:r>
      <w:r>
        <w:t xml:space="preserve">- The legend/caption goes below the figure</w:t>
      </w:r>
    </w:p>
    <w:p>
      <w:pPr>
        <w:pStyle w:val="BodyText"/>
      </w:pPr>
      <w:r>
        <w:drawing>
          <wp:inline>
            <wp:extent cx="5334000" cy="3000375"/>
            <wp:effectExtent b="0" l="0" r="0" t="0"/>
            <wp:docPr descr="" title="" id="377" name="Picture"/>
            <a:graphic>
              <a:graphicData uri="http://schemas.openxmlformats.org/drawingml/2006/picture">
                <pic:pic>
                  <pic:nvPicPr>
                    <pic:cNvPr descr="legends-tutorial_files/figure-docx//1dI8-_iVqbkzNMf11M4dK85E8ZW3OyZECs_YwMKw5fhs_g3b458cb4825_0_85.png" id="378" name="Picture"/>
                    <pic:cNvPicPr>
                      <a:picLocks noChangeArrowheads="1" noChangeAspect="1"/>
                    </pic:cNvPicPr>
                  </pic:nvPicPr>
                  <pic:blipFill>
                    <a:blip r:embed="rId37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Multi-panel figures:</w:t>
      </w:r>
      <w:r>
        <w:t xml:space="preserve"> </w:t>
      </w:r>
      <w:r>
        <w:t xml:space="preserve">You may encounter or want to make a figure with multiple panels. These figures are a collection of figures that are denoted alphabetically (ex. A, B, C, D…etc.). Multi-panel figures often are used to save space or group related figures together. In most published work you will see only figures in panels; your instructor may allow or encourage you to use tables in panels for your project.</w:t>
      </w:r>
    </w:p>
    <w:p>
      <w:pPr>
        <w:numPr>
          <w:ilvl w:val="0"/>
          <w:numId w:val="1131"/>
        </w:numPr>
        <w:pStyle w:val="Compact"/>
      </w:pPr>
      <w:r>
        <w:t xml:space="preserve">Each panel is denoted by a different letter.</w:t>
      </w:r>
    </w:p>
    <w:p>
      <w:pPr>
        <w:numPr>
          <w:ilvl w:val="0"/>
          <w:numId w:val="1131"/>
        </w:numPr>
        <w:pStyle w:val="Compact"/>
      </w:pPr>
      <w:r>
        <w:t xml:space="preserve">The title is comprehensive of both panels.</w:t>
      </w:r>
    </w:p>
    <w:p>
      <w:pPr>
        <w:numPr>
          <w:ilvl w:val="0"/>
          <w:numId w:val="1131"/>
        </w:numPr>
        <w:pStyle w:val="Compact"/>
      </w:pPr>
      <w:r>
        <w:t xml:space="preserve">Bolded letters draw the reader to the part of the legend specific to each panel.</w:t>
      </w:r>
    </w:p>
    <w:p>
      <w:pPr>
        <w:numPr>
          <w:ilvl w:val="0"/>
          <w:numId w:val="1131"/>
        </w:numPr>
        <w:pStyle w:val="Compact"/>
      </w:pPr>
      <w:r>
        <w:t xml:space="preserve">The standard information for the legend is included for each panel.</w:t>
      </w:r>
    </w:p>
    <w:bookmarkEnd w:id="379"/>
    <w:bookmarkStart w:id="383" w:name="tables"/>
    <w:p>
      <w:pPr>
        <w:pStyle w:val="Heading3"/>
      </w:pPr>
      <w:r>
        <w:rPr>
          <w:rStyle w:val="SectionNumber"/>
        </w:rPr>
        <w:t xml:space="preserve">8.0.2</w:t>
      </w:r>
      <w:r>
        <w:tab/>
      </w:r>
      <w:r>
        <w:t xml:space="preserve">Tables</w:t>
      </w:r>
    </w:p>
    <w:p>
      <w:pPr>
        <w:pStyle w:val="FirstParagraph"/>
      </w:pPr>
      <w:r>
        <w:drawing>
          <wp:inline>
            <wp:extent cx="5334000" cy="3000375"/>
            <wp:effectExtent b="0" l="0" r="0" t="0"/>
            <wp:docPr descr="" title="" id="381" name="Picture"/>
            <a:graphic>
              <a:graphicData uri="http://schemas.openxmlformats.org/drawingml/2006/picture">
                <pic:pic>
                  <pic:nvPicPr>
                    <pic:cNvPr descr="legends-tutorial_files/figure-docx//1dI8-_iVqbkzNMf11M4dK85E8ZW3OyZECs_YwMKw5fhs_g3b458cb4825_0_60.png" id="382" name="Picture"/>
                    <pic:cNvPicPr>
                      <a:picLocks noChangeArrowheads="1" noChangeAspect="1"/>
                    </pic:cNvPicPr>
                  </pic:nvPicPr>
                  <pic:blipFill>
                    <a:blip r:embed="rId3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Tables contain information organized into rows and columns. Common examples of information that gets put in tables include: subject metadata (age, ethnicity, etc.) and sample sizes (how many samples of each condition) throughout the experiment. Tables generally stand alone and are not included in published multi-panel figures, though your instructor may allow or encourage you to do so for your project.</w:t>
      </w:r>
    </w:p>
    <w:p>
      <w:pPr>
        <w:pStyle w:val="BodyText"/>
      </w:pPr>
      <w:r>
        <w:rPr>
          <w:bCs/>
          <w:b/>
        </w:rPr>
        <w:t xml:space="preserve">Table legends</w:t>
      </w:r>
      <w:r>
        <w:t xml:space="preserve">:</w:t>
      </w:r>
      <w:r>
        <w:t xml:space="preserve"> </w:t>
      </w:r>
      <w:r>
        <w:t xml:space="preserve">- A title that describes the information contained in the table</w:t>
      </w:r>
      <w:r>
        <w:t xml:space="preserve"> </w:t>
      </w:r>
      <w:r>
        <w:t xml:space="preserve">- Any relevant background information including methods needed to understand the table. Examples: Abbreviations in the figure, settings used in a program, description of a subset of data used)</w:t>
      </w:r>
      <w:r>
        <w:t xml:space="preserve"> </w:t>
      </w:r>
      <w:r>
        <w:t xml:space="preserve">- Legend/caption goes above the table.</w:t>
      </w:r>
    </w:p>
    <w:bookmarkEnd w:id="383"/>
    <w:bookmarkEnd w:id="384"/>
    <w:bookmarkStart w:id="385" w:name="references-1"/>
    <w:p>
      <w:pPr>
        <w:pStyle w:val="Heading1"/>
      </w:pPr>
      <w:r>
        <w:t xml:space="preserve">References</w:t>
      </w:r>
    </w:p>
    <w:bookmarkEnd w:id="3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1"/>
  </w:num>
  <w:num w:numId="11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image" Id="rId165" Target="media/rId165.png" /><Relationship Type="http://schemas.openxmlformats.org/officeDocument/2006/relationships/image" Id="rId174" Target="media/rId174.png" /><Relationship Type="http://schemas.openxmlformats.org/officeDocument/2006/relationships/image" Id="rId125" Target="media/rId125.png" /><Relationship Type="http://schemas.openxmlformats.org/officeDocument/2006/relationships/image" Id="rId139" Target="media/rId139.png" /><Relationship Type="http://schemas.openxmlformats.org/officeDocument/2006/relationships/image" Id="rId156" Target="media/rId156.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117" Target="media/rId117.png" /><Relationship Type="http://schemas.openxmlformats.org/officeDocument/2006/relationships/image" Id="rId108" Target="media/rId108.png" /><Relationship Type="http://schemas.openxmlformats.org/officeDocument/2006/relationships/image" Id="rId113" Target="media/rId113.png" /><Relationship Type="http://schemas.openxmlformats.org/officeDocument/2006/relationships/image" Id="rId20" Target="media/rId20.png" /><Relationship Type="http://schemas.openxmlformats.org/officeDocument/2006/relationships/image" Id="rId244" Target="media/rId244.png" /><Relationship Type="http://schemas.openxmlformats.org/officeDocument/2006/relationships/image" Id="rId272" Target="media/rId272.png" /><Relationship Type="http://schemas.openxmlformats.org/officeDocument/2006/relationships/image" Id="rId307" Target="media/rId307.png" /><Relationship Type="http://schemas.openxmlformats.org/officeDocument/2006/relationships/image" Id="rId314" Target="media/rId314.png" /><Relationship Type="http://schemas.openxmlformats.org/officeDocument/2006/relationships/image" Id="rId298" Target="media/rId298.png" /><Relationship Type="http://schemas.openxmlformats.org/officeDocument/2006/relationships/image" Id="rId335" Target="media/rId335.png" /><Relationship Type="http://schemas.openxmlformats.org/officeDocument/2006/relationships/image" Id="rId326" Target="media/rId326.png" /><Relationship Type="http://schemas.openxmlformats.org/officeDocument/2006/relationships/image" Id="rId332" Target="media/rId332.png" /><Relationship Type="http://schemas.openxmlformats.org/officeDocument/2006/relationships/image" Id="rId329" Target="media/rId329.png" /><Relationship Type="http://schemas.openxmlformats.org/officeDocument/2006/relationships/image" Id="rId269" Target="media/rId269.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373" Target="media/rId373.png" /><Relationship Type="http://schemas.openxmlformats.org/officeDocument/2006/relationships/image" Id="rId370" Target="media/rId370.png" /><Relationship Type="http://schemas.openxmlformats.org/officeDocument/2006/relationships/image" Id="rId380" Target="media/rId380.png" /><Relationship Type="http://schemas.openxmlformats.org/officeDocument/2006/relationships/image" Id="rId376" Target="media/rId376.png" /><Relationship Type="http://schemas.openxmlformats.org/officeDocument/2006/relationships/image" Id="rId190" Target="media/rId190.png" /><Relationship Type="http://schemas.openxmlformats.org/officeDocument/2006/relationships/image" Id="rId206" Target="media/rId206.png" /><Relationship Type="http://schemas.openxmlformats.org/officeDocument/2006/relationships/image" Id="rId231" Target="media/rId231.png" /><Relationship Type="http://schemas.openxmlformats.org/officeDocument/2006/relationships/image" Id="rId221" Target="media/rId221.png" /><Relationship Type="http://schemas.openxmlformats.org/officeDocument/2006/relationships/image" Id="rId225" Target="media/rId225.png" /><Relationship Type="http://schemas.openxmlformats.org/officeDocument/2006/relationships/image" Id="rId202" Target="media/rId202.png" /><Relationship Type="http://schemas.openxmlformats.org/officeDocument/2006/relationships/image" Id="rId209" Target="media/rId209.png" /><Relationship Type="http://schemas.openxmlformats.org/officeDocument/2006/relationships/image" Id="rId217" Target="media/rId217.png" /><Relationship Type="http://schemas.openxmlformats.org/officeDocument/2006/relationships/image" Id="rId198" Target="media/rId198.png" /><Relationship Type="http://schemas.openxmlformats.org/officeDocument/2006/relationships/image" Id="rId213" Target="media/rId213.png" /><Relationship Type="http://schemas.openxmlformats.org/officeDocument/2006/relationships/image" Id="rId87" Target="media/rId87.png" /><Relationship Type="http://schemas.openxmlformats.org/officeDocument/2006/relationships/image" Id="rId97" Target="media/rId97.png" /><Relationship Type="http://schemas.openxmlformats.org/officeDocument/2006/relationships/image" Id="rId90" Target="media/rId90.png" /><Relationship Type="http://schemas.openxmlformats.org/officeDocument/2006/relationships/image" Id="rId67" Target="media/rId67.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5" Target="media/rId355.png" /><Relationship Type="http://schemas.openxmlformats.org/officeDocument/2006/relationships/image" Id="rId359" Target="media/rId359.png" /><Relationship Type="http://schemas.openxmlformats.org/officeDocument/2006/relationships/image" Id="rId340" Target="media/rId340.png" /><Relationship Type="http://schemas.openxmlformats.org/officeDocument/2006/relationships/image" Id="rId363" Target="media/rId363.png" /><Relationship Type="http://schemas.openxmlformats.org/officeDocument/2006/relationships/image" Id="rId344" Target="media/rId344.png" /><Relationship Type="http://schemas.openxmlformats.org/officeDocument/2006/relationships/hyperlink" Id="rId317" Target="biodigs.org" TargetMode="External" /><Relationship Type="http://schemas.openxmlformats.org/officeDocument/2006/relationships/hyperlink" Id="rId228" Target="doi:10.1261/rna.2000810" TargetMode="External" /><Relationship Type="http://schemas.openxmlformats.org/officeDocument/2006/relationships/hyperlink" Id="rId229" Target="doi:10.7554/eLife.00886" TargetMode="External" /><Relationship Type="http://schemas.openxmlformats.org/officeDocument/2006/relationships/hyperlink" Id="rId303" Target="help.c-moor.org" TargetMode="External" /><Relationship Type="http://schemas.openxmlformats.org/officeDocument/2006/relationships/hyperlink" Id="rId116" Target="https://anvil.terra.bio/" TargetMode="External" /><Relationship Type="http://schemas.openxmlformats.org/officeDocument/2006/relationships/hyperlink" Id="rId325" Target="https://biodigs.org/#home" TargetMode="External" /><Relationship Type="http://schemas.openxmlformats.org/officeDocument/2006/relationships/hyperlink" Id="rId288" Target="https://bsky.app/search?q=metagenomics" TargetMode="External" /><Relationship Type="http://schemas.openxmlformats.org/officeDocument/2006/relationships/hyperlink" Id="rId292" Target="https://docs.google.com/document/d/11gEndv8IaqVKuq53rMzltsUQSvyLNjczRTZAD_xt_do/edit?usp=sharing" TargetMode="External" /><Relationship Type="http://schemas.openxmlformats.org/officeDocument/2006/relationships/hyperlink" Id="rId238" Target="https://docs.google.com/document/d/13eB1fwHEB1I00JHBUQLZIJsi-iQZYaWaXThPqCTU17g/edit?usp=sharing" TargetMode="External" /><Relationship Type="http://schemas.openxmlformats.org/officeDocument/2006/relationships/hyperlink" Id="rId265" Target="https://docs.google.com/document/d/1OvMwNIsB019EVZukYG-8JXg7P4no4WmEc2w4ryvKz4k/edit?usp=sharing" TargetMode="External" /><Relationship Type="http://schemas.openxmlformats.org/officeDocument/2006/relationships/hyperlink" Id="rId304" Target="https://docs.google.com/forms/d/1GJDpfG28k2utCVVcRXQraE-1coLS_GCX83irUyio9KE/edit" TargetMode="External" /><Relationship Type="http://schemas.openxmlformats.org/officeDocument/2006/relationships/hyperlink" Id="rId301" Target="https://docs.google.com/forms/d/1GJDpfG28k2utCVVcRXQraE-1coLS_GCX83irUyio9KE/viewform?edit_requested=true" TargetMode="External" /><Relationship Type="http://schemas.openxmlformats.org/officeDocument/2006/relationships/hyperlink" Id="rId86" Target="https://docs.google.com/presentation/d/1Oaq8RzhaDANxkNh-tTKwme7e095pGgoiq5iZHbt7PLg" TargetMode="External" /><Relationship Type="http://schemas.openxmlformats.org/officeDocument/2006/relationships/hyperlink" Id="rId275" Target="https://docs.google.com/presentation/d/1cH7vm_lAxe_JUlr1H_M5Ujas-pTUY8qPBthTcSOiIXA/edit?usp=sharing" TargetMode="External" /><Relationship Type="http://schemas.openxmlformats.org/officeDocument/2006/relationships/hyperlink" Id="rId196" Target="https://docs.google.com/presentation/d/1chz02nzYklAEjOtHrPsJZccGy1sFUZvqdlfcUyfj3I4/edit?usp=sharing" TargetMode="External" /><Relationship Type="http://schemas.openxmlformats.org/officeDocument/2006/relationships/hyperlink" Id="rId247" Target="https://docs.google.com/presentation/d/1coAc4GY1CkpiBcamCYsEemjOsa6zTWiK6kd2C1iAaKA/edit?usp=sharing" TargetMode="External" /><Relationship Type="http://schemas.openxmlformats.org/officeDocument/2006/relationships/hyperlink" Id="rId76" Target="https://docs.google.com/presentation/d/1codot9UeUO7l0EDcEre7dJgyXurD_xyxpw6IJL_aEjM" TargetMode="External" /><Relationship Type="http://schemas.openxmlformats.org/officeDocument/2006/relationships/hyperlink" Id="rId65" Target="https://docs.google.com/presentation/d/1kxbnBLoRsdPW4ZkjwNsAHS1XFPuJpQZ8I1aVqyZISW0" TargetMode="External" /><Relationship Type="http://schemas.openxmlformats.org/officeDocument/2006/relationships/hyperlink" Id="rId168" Target="https://docs.google.com/presentation/d/1uCiZDAwgh1iM5XPlpbK5uz7oVBujmimUXVQaR8iGuho/edit?usp=sharing" TargetMode="External" /><Relationship Type="http://schemas.openxmlformats.org/officeDocument/2006/relationships/hyperlink" Id="rId112"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194" Target="https://drive.google.com/file/d/1kK6FBBLbHiAAsTUgxwzHRlK1qCo__eCy/view?usp=sharing" TargetMode="External" /><Relationship Type="http://schemas.openxmlformats.org/officeDocument/2006/relationships/hyperlink" Id="rId239"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1" Target="https://hbr.org/2012/10/data-scientist-the-sexiest-job-of-the-21st-century" TargetMode="External" /><Relationship Type="http://schemas.openxmlformats.org/officeDocument/2006/relationships/hyperlink" Id="rId324" Target="https://help.anvilproject.org" TargetMode="External" /><Relationship Type="http://schemas.openxmlformats.org/officeDocument/2006/relationships/hyperlink" Id="rId321" Target="https://help.c-moor.org" TargetMode="External" /><Relationship Type="http://schemas.openxmlformats.org/officeDocument/2006/relationships/hyperlink" Id="rId62" Target="https://help.c-moor.org/c/help/" TargetMode="External" /><Relationship Type="http://schemas.openxmlformats.org/officeDocument/2006/relationships/hyperlink" Id="rId193" Target="https://help.c-moor.org/c/look-at-this/" TargetMode="External" /><Relationship Type="http://schemas.openxmlformats.org/officeDocument/2006/relationships/hyperlink" Id="rId39" Target="https://help.c-moor.org/c/look-at-this/8" TargetMode="External" /><Relationship Type="http://schemas.openxmlformats.org/officeDocument/2006/relationships/hyperlink" Id="rId322" Target="https://help.galaxyproject.org" TargetMode="External" /><Relationship Type="http://schemas.openxmlformats.org/officeDocument/2006/relationships/hyperlink" Id="rId64" Target="https://link.c-moor.org/video-join-sciserver" TargetMode="External" /><Relationship Type="http://schemas.openxmlformats.org/officeDocument/2006/relationships/hyperlink" Id="rId75" Target="https://link.c-moor.org/video-join-sciserver-group" TargetMode="External" /><Relationship Type="http://schemas.openxmlformats.org/officeDocument/2006/relationships/hyperlink" Id="rId85" Target="https://link.c-moor.org/video-sciserver-create-learnr-container" TargetMode="External" /><Relationship Type="http://schemas.openxmlformats.org/officeDocument/2006/relationships/hyperlink" Id="rId240" Target="https://onlinelibrary.wiley.com/doi/10.1111/j.1475-6773.2006.00588.x" TargetMode="External" /><Relationship Type="http://schemas.openxmlformats.org/officeDocument/2006/relationships/hyperlink" Id="rId320"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7" Target="https://science.c-moor.org/miniCURE-RNA-seq/differential-gene-expression.html" TargetMode="External" /><Relationship Type="http://schemas.openxmlformats.org/officeDocument/2006/relationships/hyperlink" Id="rId59" Target="https://science.c-moor.org/miniCURE-RNA-seq/lab-activity-differential-gene-expression.html" TargetMode="External" /><Relationship Type="http://schemas.openxmlformats.org/officeDocument/2006/relationships/hyperlink" Id="rId58" Target="https://science.c-moor.org/miniCURE-RNA-seq/lab-slides-differential-gene-expression.html" TargetMode="External" /><Relationship Type="http://schemas.openxmlformats.org/officeDocument/2006/relationships/hyperlink" Id="rId323" Target="https://support.bioconductor.org" TargetMode="External" /><Relationship Type="http://schemas.openxmlformats.org/officeDocument/2006/relationships/hyperlink" Id="rId120" Target="https://support.google.com/chrome/answer/188842" TargetMode="External" /><Relationship Type="http://schemas.openxmlformats.org/officeDocument/2006/relationships/hyperlink" Id="rId121" Target="https://support.terra.bio/hc/en-us" TargetMode="External" /><Relationship Type="http://schemas.openxmlformats.org/officeDocument/2006/relationships/hyperlink" Id="rId172" Target="https://support.terra.bio/hc/en-us/articles/360042023952-Runaway-costs-How-to-cut-off-GCP-charges" TargetMode="External" /><Relationship Type="http://schemas.openxmlformats.org/officeDocument/2006/relationships/hyperlink" Id="rId171" Target="https://support.terra.bio/hc/en-us/articles/360048632271-Terra-costs-and-billing-GCP-details" TargetMode="External" /><Relationship Type="http://schemas.openxmlformats.org/officeDocument/2006/relationships/hyperlink" Id="rId250" Target="https://ur.umbc.edu/poster-presentation-examples" TargetMode="External" /><Relationship Type="http://schemas.openxmlformats.org/officeDocument/2006/relationships/hyperlink" Id="rId249"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5" Target="https://www.biostars.org" TargetMode="External" /><Relationship Type="http://schemas.openxmlformats.org/officeDocument/2006/relationships/hyperlink" Id="rId302"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10" Target="https://www.nsf.gov/funding/initiatives/reu" TargetMode="External" /><Relationship Type="http://schemas.openxmlformats.org/officeDocument/2006/relationships/hyperlink" Id="rId281" Target="https://www.nsf.gov/funding/initiatives/reu/search" TargetMode="External" /><Relationship Type="http://schemas.openxmlformats.org/officeDocument/2006/relationships/hyperlink" Id="rId280" Target="https://www.nsf.gov/funding/initiatives/reu/students" TargetMode="External" /><Relationship Type="http://schemas.openxmlformats.org/officeDocument/2006/relationships/hyperlink" Id="rId251" Target="https://www.pacb.com/wp-content/uploads/PAG-Portik.pdf" TargetMode="External" /><Relationship Type="http://schemas.openxmlformats.org/officeDocument/2006/relationships/hyperlink" Id="rId286" Target="https://www.reddit.com/r/metagenomics" TargetMode="External" /><Relationship Type="http://schemas.openxmlformats.org/officeDocument/2006/relationships/hyperlink" Id="rId71" Target="https://www.sciserver.org/" TargetMode="External" /><Relationship Type="http://schemas.openxmlformats.org/officeDocument/2006/relationships/hyperlink" Id="rId284" Target="https://www.seqanswers.com" TargetMode="External" /><Relationship Type="http://schemas.openxmlformats.org/officeDocument/2006/relationships/hyperlink" Id="rId287" Target="https://x.com/search?q=%23metagenomics" TargetMode="External" /></Relationships>
</file>

<file path=word/_rels/footnotes.xml.rels><?xml version="1.0" encoding="UTF-8"?><Relationships xmlns="http://schemas.openxmlformats.org/package/2006/relationships"><Relationship Type="http://schemas.openxmlformats.org/officeDocument/2006/relationships/hyperlink" Id="rId317" Target="biodigs.org" TargetMode="External" /><Relationship Type="http://schemas.openxmlformats.org/officeDocument/2006/relationships/hyperlink" Id="rId228" Target="doi:10.1261/rna.2000810" TargetMode="External" /><Relationship Type="http://schemas.openxmlformats.org/officeDocument/2006/relationships/hyperlink" Id="rId229" Target="doi:10.7554/eLife.00886" TargetMode="External" /><Relationship Type="http://schemas.openxmlformats.org/officeDocument/2006/relationships/hyperlink" Id="rId303" Target="help.c-moor.org" TargetMode="External" /><Relationship Type="http://schemas.openxmlformats.org/officeDocument/2006/relationships/hyperlink" Id="rId116" Target="https://anvil.terra.bio/" TargetMode="External" /><Relationship Type="http://schemas.openxmlformats.org/officeDocument/2006/relationships/hyperlink" Id="rId325" Target="https://biodigs.org/#home" TargetMode="External" /><Relationship Type="http://schemas.openxmlformats.org/officeDocument/2006/relationships/hyperlink" Id="rId288" Target="https://bsky.app/search?q=metagenomics" TargetMode="External" /><Relationship Type="http://schemas.openxmlformats.org/officeDocument/2006/relationships/hyperlink" Id="rId292" Target="https://docs.google.com/document/d/11gEndv8IaqVKuq53rMzltsUQSvyLNjczRTZAD_xt_do/edit?usp=sharing" TargetMode="External" /><Relationship Type="http://schemas.openxmlformats.org/officeDocument/2006/relationships/hyperlink" Id="rId238" Target="https://docs.google.com/document/d/13eB1fwHEB1I00JHBUQLZIJsi-iQZYaWaXThPqCTU17g/edit?usp=sharing" TargetMode="External" /><Relationship Type="http://schemas.openxmlformats.org/officeDocument/2006/relationships/hyperlink" Id="rId265" Target="https://docs.google.com/document/d/1OvMwNIsB019EVZukYG-8JXg7P4no4WmEc2w4ryvKz4k/edit?usp=sharing" TargetMode="External" /><Relationship Type="http://schemas.openxmlformats.org/officeDocument/2006/relationships/hyperlink" Id="rId304" Target="https://docs.google.com/forms/d/1GJDpfG28k2utCVVcRXQraE-1coLS_GCX83irUyio9KE/edit" TargetMode="External" /><Relationship Type="http://schemas.openxmlformats.org/officeDocument/2006/relationships/hyperlink" Id="rId301" Target="https://docs.google.com/forms/d/1GJDpfG28k2utCVVcRXQraE-1coLS_GCX83irUyio9KE/viewform?edit_requested=true" TargetMode="External" /><Relationship Type="http://schemas.openxmlformats.org/officeDocument/2006/relationships/hyperlink" Id="rId86" Target="https://docs.google.com/presentation/d/1Oaq8RzhaDANxkNh-tTKwme7e095pGgoiq5iZHbt7PLg" TargetMode="External" /><Relationship Type="http://schemas.openxmlformats.org/officeDocument/2006/relationships/hyperlink" Id="rId275" Target="https://docs.google.com/presentation/d/1cH7vm_lAxe_JUlr1H_M5Ujas-pTUY8qPBthTcSOiIXA/edit?usp=sharing" TargetMode="External" /><Relationship Type="http://schemas.openxmlformats.org/officeDocument/2006/relationships/hyperlink" Id="rId196" Target="https://docs.google.com/presentation/d/1chz02nzYklAEjOtHrPsJZccGy1sFUZvqdlfcUyfj3I4/edit?usp=sharing" TargetMode="External" /><Relationship Type="http://schemas.openxmlformats.org/officeDocument/2006/relationships/hyperlink" Id="rId247" Target="https://docs.google.com/presentation/d/1coAc4GY1CkpiBcamCYsEemjOsa6zTWiK6kd2C1iAaKA/edit?usp=sharing" TargetMode="External" /><Relationship Type="http://schemas.openxmlformats.org/officeDocument/2006/relationships/hyperlink" Id="rId76" Target="https://docs.google.com/presentation/d/1codot9UeUO7l0EDcEre7dJgyXurD_xyxpw6IJL_aEjM" TargetMode="External" /><Relationship Type="http://schemas.openxmlformats.org/officeDocument/2006/relationships/hyperlink" Id="rId65" Target="https://docs.google.com/presentation/d/1kxbnBLoRsdPW4ZkjwNsAHS1XFPuJpQZ8I1aVqyZISW0" TargetMode="External" /><Relationship Type="http://schemas.openxmlformats.org/officeDocument/2006/relationships/hyperlink" Id="rId168" Target="https://docs.google.com/presentation/d/1uCiZDAwgh1iM5XPlpbK5uz7oVBujmimUXVQaR8iGuho/edit?usp=sharing" TargetMode="External" /><Relationship Type="http://schemas.openxmlformats.org/officeDocument/2006/relationships/hyperlink" Id="rId112"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194" Target="https://drive.google.com/file/d/1kK6FBBLbHiAAsTUgxwzHRlK1qCo__eCy/view?usp=sharing" TargetMode="External" /><Relationship Type="http://schemas.openxmlformats.org/officeDocument/2006/relationships/hyperlink" Id="rId239"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1" Target="https://hbr.org/2012/10/data-scientist-the-sexiest-job-of-the-21st-century" TargetMode="External" /><Relationship Type="http://schemas.openxmlformats.org/officeDocument/2006/relationships/hyperlink" Id="rId324" Target="https://help.anvilproject.org" TargetMode="External" /><Relationship Type="http://schemas.openxmlformats.org/officeDocument/2006/relationships/hyperlink" Id="rId321" Target="https://help.c-moor.org" TargetMode="External" /><Relationship Type="http://schemas.openxmlformats.org/officeDocument/2006/relationships/hyperlink" Id="rId62" Target="https://help.c-moor.org/c/help/" TargetMode="External" /><Relationship Type="http://schemas.openxmlformats.org/officeDocument/2006/relationships/hyperlink" Id="rId193" Target="https://help.c-moor.org/c/look-at-this/" TargetMode="External" /><Relationship Type="http://schemas.openxmlformats.org/officeDocument/2006/relationships/hyperlink" Id="rId39" Target="https://help.c-moor.org/c/look-at-this/8" TargetMode="External" /><Relationship Type="http://schemas.openxmlformats.org/officeDocument/2006/relationships/hyperlink" Id="rId322" Target="https://help.galaxyproject.org" TargetMode="External" /><Relationship Type="http://schemas.openxmlformats.org/officeDocument/2006/relationships/hyperlink" Id="rId64" Target="https://link.c-moor.org/video-join-sciserver" TargetMode="External" /><Relationship Type="http://schemas.openxmlformats.org/officeDocument/2006/relationships/hyperlink" Id="rId75" Target="https://link.c-moor.org/video-join-sciserver-group" TargetMode="External" /><Relationship Type="http://schemas.openxmlformats.org/officeDocument/2006/relationships/hyperlink" Id="rId85" Target="https://link.c-moor.org/video-sciserver-create-learnr-container" TargetMode="External" /><Relationship Type="http://schemas.openxmlformats.org/officeDocument/2006/relationships/hyperlink" Id="rId240" Target="https://onlinelibrary.wiley.com/doi/10.1111/j.1475-6773.2006.00588.x" TargetMode="External" /><Relationship Type="http://schemas.openxmlformats.org/officeDocument/2006/relationships/hyperlink" Id="rId320"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7" Target="https://science.c-moor.org/miniCURE-RNA-seq/differential-gene-expression.html" TargetMode="External" /><Relationship Type="http://schemas.openxmlformats.org/officeDocument/2006/relationships/hyperlink" Id="rId59" Target="https://science.c-moor.org/miniCURE-RNA-seq/lab-activity-differential-gene-expression.html" TargetMode="External" /><Relationship Type="http://schemas.openxmlformats.org/officeDocument/2006/relationships/hyperlink" Id="rId58" Target="https://science.c-moor.org/miniCURE-RNA-seq/lab-slides-differential-gene-expression.html" TargetMode="External" /><Relationship Type="http://schemas.openxmlformats.org/officeDocument/2006/relationships/hyperlink" Id="rId323" Target="https://support.bioconductor.org" TargetMode="External" /><Relationship Type="http://schemas.openxmlformats.org/officeDocument/2006/relationships/hyperlink" Id="rId120" Target="https://support.google.com/chrome/answer/188842" TargetMode="External" /><Relationship Type="http://schemas.openxmlformats.org/officeDocument/2006/relationships/hyperlink" Id="rId121" Target="https://support.terra.bio/hc/en-us" TargetMode="External" /><Relationship Type="http://schemas.openxmlformats.org/officeDocument/2006/relationships/hyperlink" Id="rId172" Target="https://support.terra.bio/hc/en-us/articles/360042023952-Runaway-costs-How-to-cut-off-GCP-charges" TargetMode="External" /><Relationship Type="http://schemas.openxmlformats.org/officeDocument/2006/relationships/hyperlink" Id="rId171" Target="https://support.terra.bio/hc/en-us/articles/360048632271-Terra-costs-and-billing-GCP-details" TargetMode="External" /><Relationship Type="http://schemas.openxmlformats.org/officeDocument/2006/relationships/hyperlink" Id="rId250" Target="https://ur.umbc.edu/poster-presentation-examples" TargetMode="External" /><Relationship Type="http://schemas.openxmlformats.org/officeDocument/2006/relationships/hyperlink" Id="rId249"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5" Target="https://www.biostars.org" TargetMode="External" /><Relationship Type="http://schemas.openxmlformats.org/officeDocument/2006/relationships/hyperlink" Id="rId302"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10" Target="https://www.nsf.gov/funding/initiatives/reu" TargetMode="External" /><Relationship Type="http://schemas.openxmlformats.org/officeDocument/2006/relationships/hyperlink" Id="rId281" Target="https://www.nsf.gov/funding/initiatives/reu/search" TargetMode="External" /><Relationship Type="http://schemas.openxmlformats.org/officeDocument/2006/relationships/hyperlink" Id="rId280" Target="https://www.nsf.gov/funding/initiatives/reu/students" TargetMode="External" /><Relationship Type="http://schemas.openxmlformats.org/officeDocument/2006/relationships/hyperlink" Id="rId251" Target="https://www.pacb.com/wp-content/uploads/PAG-Portik.pdf" TargetMode="External" /><Relationship Type="http://schemas.openxmlformats.org/officeDocument/2006/relationships/hyperlink" Id="rId286" Target="https://www.reddit.com/r/metagenomics" TargetMode="External" /><Relationship Type="http://schemas.openxmlformats.org/officeDocument/2006/relationships/hyperlink" Id="rId71" Target="https://www.sciserver.org/" TargetMode="External" /><Relationship Type="http://schemas.openxmlformats.org/officeDocument/2006/relationships/hyperlink" Id="rId284" Target="https://www.seqanswers.com" TargetMode="External" /><Relationship Type="http://schemas.openxmlformats.org/officeDocument/2006/relationships/hyperlink" Id="rId287" Target="https://x.com/search?q=%23metagenom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2026-06-06T02:08:12Z</dcterms:created>
  <dcterms:modified xsi:type="dcterms:W3CDTF">2026-06-06T02:08:12Z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June 06,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