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124.png" ContentType="image/png"/>
  <Override PartName="/word/media/rId139.png" ContentType="image/png"/>
  <Override PartName="/word/media/rId130.png" ContentType="image/png"/>
  <Override PartName="/word/media/rId135.png" ContentType="image/png"/>
  <Override PartName="/word/media/rId119.png" ContentType="image/png"/>
  <Override PartName="/word/media/rId110.png" ContentType="image/png"/>
  <Override PartName="/word/media/rId116.png" ContentType="image/png"/>
  <Override PartName="/word/media/rId146.png" ContentType="image/png"/>
  <Override PartName="/word/media/rId153.png" ContentType="image/png"/>
  <Override PartName="/word/media/rId156.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175.png" ContentType="image/png"/>
  <Override PartName="/word/media/rId178.png" ContentType="image/png"/>
  <Override PartName="/word/media/rId183.png" ContentType="image/png"/>
  <Override PartName="/word/media/rId20.png" ContentType="image/png"/>
  <Override PartName="/word/media/rId243.png" ContentType="image/png"/>
  <Override PartName="/word/media/rId272.png" ContentType="image/png"/>
  <Override PartName="/word/media/rId324.png" ContentType="image/png"/>
  <Override PartName="/word/media/rId331.png" ContentType="image/png"/>
  <Override PartName="/word/media/rId315.png" ContentType="image/png"/>
  <Override PartName="/word/media/rId352.png" ContentType="image/png"/>
  <Override PartName="/word/media/rId343.png" ContentType="image/png"/>
  <Override PartName="/word/media/rId349.png" ContentType="image/png"/>
  <Override PartName="/word/media/rId346.png" ContentType="image/png"/>
  <Override PartName="/word/media/rId269.png" ContentType="image/png"/>
  <Override PartName="/word/media/rId297.png" ContentType="image/png"/>
  <Override PartName="/word/media/rId46.png" ContentType="image/png"/>
  <Override PartName="/word/media/rId50.png" ContentType="image/png"/>
  <Override PartName="/word/media/rId54.png" ContentType="image/png"/>
  <Override PartName="/word/media/rId189.png" ContentType="image/png"/>
  <Override PartName="/word/media/rId205.png" ContentType="image/png"/>
  <Override PartName="/word/media/rId230.png" ContentType="image/png"/>
  <Override PartName="/word/media/rId220.png" ContentType="image/png"/>
  <Override PartName="/word/media/rId224.png" ContentType="image/png"/>
  <Override PartName="/word/media/rId201.png" ContentType="image/png"/>
  <Override PartName="/word/media/rId208.png" ContentType="image/png"/>
  <Override PartName="/word/media/rId216.png" ContentType="image/png"/>
  <Override PartName="/word/media/rId197.png" ContentType="image/png"/>
  <Override PartName="/word/media/rId212.png" ContentType="image/png"/>
  <Override PartName="/word/media/rId75.png" ContentType="image/png"/>
  <Override PartName="/word/media/rId95.png" ContentType="image/png"/>
  <Override PartName="/word/media/rId103.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September</w:t>
      </w:r>
      <w:r>
        <w:t xml:space="preserve"> </w:t>
      </w:r>
      <w:r>
        <w:t xml:space="preserve">18,</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What is the essence/purpose of this course or module (2-3 sentences).</w:t>
      </w:r>
    </w:p>
    <w:p>
      <w:pPr>
        <w:pStyle w:val="CaptionedFigure"/>
      </w:pPr>
      <w:r>
        <w:drawing>
          <wp:inline>
            <wp:extent cx="4825830" cy="1107066"/>
            <wp:effectExtent b="0" l="0" r="0" t="0"/>
            <wp:docPr descr="Figure 0.1: C-MOOR logo" title="" id="21" name="Picture"/>
            <a:graphic>
              <a:graphicData uri="http://schemas.openxmlformats.org/drawingml/2006/picture">
                <pic:pic>
                  <pic:nvPicPr>
                    <pic:cNvPr descr="assets/C-MOOR_Template/c-moor-logo-horizontal.png" id="22" name="Picture"/>
                    <pic:cNvPicPr>
                      <a:picLocks noChangeArrowheads="1" noChangeAspect="1"/>
                    </pic:cNvPicPr>
                  </pic:nvPicPr>
                  <pic:blipFill>
                    <a:blip r:embed="rId20"/>
                    <a:stretch>
                      <a:fillRect/>
                    </a:stretch>
                  </pic:blipFill>
                  <pic:spPr bwMode="auto">
                    <a:xfrm>
                      <a:off x="0" y="0"/>
                      <a:ext cx="4825830" cy="1107066"/>
                    </a:xfrm>
                    <a:prstGeom prst="rect">
                      <a:avLst/>
                    </a:prstGeom>
                    <a:noFill/>
                    <a:ln w="9525">
                      <a:noFill/>
                      <a:headEnd/>
                      <a:tailEnd/>
                    </a:ln>
                  </pic:spPr>
                </pic:pic>
              </a:graphicData>
            </a:graphic>
          </wp:inline>
        </w:drawing>
      </w:r>
    </w:p>
    <w:p>
      <w:pPr>
        <w:pStyle w:val="ImageCaption"/>
      </w:pPr>
      <w:bookmarkStart w:id="23" w:name="fig:unnamed-chunk-1"/>
      <w:bookmarkEnd w:id="23"/>
      <w:r>
        <w:t xml:space="preserve">Figure 0.1: C-MOOR logo</w:t>
      </w:r>
    </w:p>
    <w:bookmarkStart w:id="24" w:name="audience-and-prerequisites"/>
    <w:p>
      <w:pPr>
        <w:pStyle w:val="Heading3"/>
      </w:pPr>
      <w:r>
        <w:t xml:space="preserve">Audience and Prerequisites</w:t>
      </w:r>
    </w:p>
    <w:p>
      <w:pPr>
        <w:pStyle w:val="FirstParagraph"/>
      </w:pPr>
      <w:r>
        <w:t xml:space="preserve">What is the target audience?</w:t>
      </w:r>
    </w:p>
    <w:p>
      <w:pPr>
        <w:pStyle w:val="BodyText"/>
      </w:pPr>
      <w:r>
        <w:rPr>
          <w:bCs/>
          <w:b/>
        </w:rPr>
        <w:t xml:space="preserve">Prerequisites</w:t>
      </w:r>
      <w:r>
        <w:t xml:space="preserve">:</w:t>
      </w:r>
    </w:p>
    <w:p>
      <w:pPr>
        <w:numPr>
          <w:ilvl w:val="0"/>
          <w:numId w:val="1001"/>
        </w:numPr>
        <w:pStyle w:val="Compact"/>
      </w:pPr>
      <w:r>
        <w:t xml:space="preserve">Prereq 1</w:t>
      </w:r>
    </w:p>
    <w:p>
      <w:pPr>
        <w:numPr>
          <w:ilvl w:val="0"/>
          <w:numId w:val="1001"/>
        </w:numPr>
        <w:pStyle w:val="Compact"/>
      </w:pPr>
      <w:r>
        <w:t xml:space="preserve">Prereq 2</w:t>
      </w:r>
    </w:p>
    <w:p>
      <w:pPr>
        <w:pStyle w:val="FirstParagraph"/>
      </w:pPr>
      <w:r>
        <w:t xml:space="preserve">Why are these needed? Provide a brief explanation that will help instructors decide whether it’s a good fit for their students.</w:t>
      </w:r>
    </w:p>
    <w:bookmarkEnd w:id="24"/>
    <w:bookmarkStart w:id="25" w:name="format"/>
    <w:p>
      <w:pPr>
        <w:pStyle w:val="Heading3"/>
      </w:pPr>
      <w:r>
        <w:t xml:space="preserve">Format</w:t>
      </w:r>
    </w:p>
    <w:p>
      <w:pPr>
        <w:numPr>
          <w:ilvl w:val="0"/>
          <w:numId w:val="1002"/>
        </w:numPr>
        <w:pStyle w:val="Compact"/>
      </w:pPr>
      <w:r>
        <w:rPr>
          <w:bCs/>
          <w:b/>
        </w:rPr>
        <w:t xml:space="preserve">Class Type:</w:t>
      </w:r>
    </w:p>
    <w:p>
      <w:pPr>
        <w:numPr>
          <w:ilvl w:val="0"/>
          <w:numId w:val="1002"/>
        </w:numPr>
        <w:pStyle w:val="Compact"/>
      </w:pPr>
      <w:r>
        <w:rPr>
          <w:bCs/>
          <w:b/>
        </w:rPr>
        <w:t xml:space="preserve">Lesson Length:</w:t>
      </w:r>
    </w:p>
    <w:bookmarkEnd w:id="25"/>
    <w:bookmarkStart w:id="26" w:name="learning-goals"/>
    <w:p>
      <w:pPr>
        <w:pStyle w:val="Heading3"/>
      </w:pPr>
      <w:r>
        <w:t xml:space="preserve">Learning Goals</w:t>
      </w:r>
    </w:p>
    <w:p>
      <w:pPr>
        <w:numPr>
          <w:ilvl w:val="0"/>
          <w:numId w:val="1003"/>
        </w:numPr>
        <w:pStyle w:val="Compact"/>
      </w:pPr>
      <w:r>
        <w:t xml:space="preserve">Goal 1</w:t>
      </w:r>
    </w:p>
    <w:p>
      <w:pPr>
        <w:numPr>
          <w:ilvl w:val="0"/>
          <w:numId w:val="1003"/>
        </w:numPr>
        <w:pStyle w:val="Compact"/>
      </w:pPr>
      <w:r>
        <w:t xml:space="preserve">Goal 2</w:t>
      </w:r>
    </w:p>
    <w:p>
      <w:pPr>
        <w:numPr>
          <w:ilvl w:val="0"/>
          <w:numId w:val="1003"/>
        </w:numPr>
        <w:pStyle w:val="Compact"/>
      </w:pPr>
      <w:r>
        <w:t xml:space="preserve">Goal 3</w:t>
      </w:r>
    </w:p>
    <w:bookmarkEnd w:id="26"/>
    <w:bookmarkStart w:id="32" w:name="core-competencies"/>
    <w:p>
      <w:pPr>
        <w:pStyle w:val="Heading3"/>
      </w:pPr>
      <w:r>
        <w:t xml:space="preserve">Core Competencies</w:t>
      </w:r>
    </w:p>
    <w:p>
      <w:pPr>
        <w:pStyle w:val="FirstParagraph"/>
      </w:pPr>
      <w:r>
        <w:t xml:space="preserve">This activity addresses the following core concepts and competencies:</w:t>
      </w:r>
    </w:p>
    <w:p>
      <w:pPr>
        <w:pStyle w:val="BodyText"/>
      </w:pPr>
      <w:r>
        <w:rPr>
          <w:bCs/>
          <w:b/>
        </w:rPr>
        <w:t xml:space="preserve">Vision and Change</w:t>
      </w:r>
    </w:p>
    <w:p>
      <w:pPr>
        <w:pStyle w:val="BodyText"/>
      </w:pPr>
      <w:r>
        <w:rPr>
          <w:bCs/>
          <w:b/>
        </w:rPr>
        <w:t xml:space="preserve">Genetics</w:t>
      </w:r>
    </w:p>
    <w:p>
      <w:pPr>
        <w:pStyle w:val="BodyText"/>
      </w:pPr>
      <w:r>
        <w:rPr>
          <w:bCs/>
          <w:b/>
        </w:rPr>
        <w:t xml:space="preserve">Bioinformatics</w:t>
      </w:r>
    </w:p>
    <w:p>
      <w:pPr>
        <w:pStyle w:val="BodyText"/>
      </w:pPr>
      <w:r>
        <w:t xml:space="preserve">Core concepts and competencies are taken from the following sources:</w:t>
      </w:r>
    </w:p>
    <w:p>
      <w:pPr>
        <w:numPr>
          <w:ilvl w:val="0"/>
          <w:numId w:val="1004"/>
        </w:numPr>
        <w:pStyle w:val="Compact"/>
      </w:pPr>
      <w:hyperlink r:id="rId27">
        <w:r>
          <w:rPr>
            <w:rStyle w:val="Hyperlink"/>
          </w:rPr>
          <w:t xml:space="preserve">Vision and Change in Undergraduate Biology Education</w:t>
        </w:r>
      </w:hyperlink>
      <w:r>
        <w:t xml:space="preserve"> </w:t>
      </w:r>
      <w:r>
        <w:t xml:space="preserve">AAAS report</w:t>
      </w:r>
    </w:p>
    <w:p>
      <w:pPr>
        <w:numPr>
          <w:ilvl w:val="0"/>
          <w:numId w:val="1004"/>
        </w:numPr>
        <w:pStyle w:val="Compact"/>
      </w:pPr>
      <w:hyperlink r:id="rId28">
        <w:r>
          <w:rPr>
            <w:rStyle w:val="Hyperlink"/>
          </w:rPr>
          <w:t xml:space="preserve">Genetics Core Competencies</w:t>
        </w:r>
      </w:hyperlink>
      <w:r>
        <w:t xml:space="preserve"> </w:t>
      </w:r>
      <w:r>
        <w:t xml:space="preserve">by</w:t>
      </w:r>
      <w:r>
        <w:t xml:space="preserve"> </w:t>
      </w:r>
      <w:hyperlink r:id="rId29">
        <w:r>
          <w:rPr>
            <w:rStyle w:val="Hyperlink"/>
          </w:rPr>
          <w:t xml:space="preserve">GSA</w:t>
        </w:r>
      </w:hyperlink>
    </w:p>
    <w:p>
      <w:pPr>
        <w:numPr>
          <w:ilvl w:val="0"/>
          <w:numId w:val="1004"/>
        </w:numPr>
        <w:pStyle w:val="Compact"/>
      </w:pPr>
      <w:hyperlink r:id="rId30">
        <w:r>
          <w:rPr>
            <w:rStyle w:val="Hyperlink"/>
          </w:rPr>
          <w:t xml:space="preserve">Bioinformatics core competencies for undergraduate life sciences education</w:t>
        </w:r>
      </w:hyperlink>
      <w:r>
        <w:t xml:space="preserve"> </w:t>
      </w:r>
      <w:r>
        <w:t xml:space="preserve">by</w:t>
      </w:r>
      <w:r>
        <w:t xml:space="preserve"> </w:t>
      </w:r>
      <w:hyperlink r:id="rId31">
        <w:r>
          <w:rPr>
            <w:rStyle w:val="Hyperlink"/>
          </w:rPr>
          <w:t xml:space="preserve">NIBLSE</w:t>
        </w:r>
      </w:hyperlink>
    </w:p>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p>
    <w:bookmarkEnd w:id="35"/>
    <w:bookmarkEnd w:id="36"/>
    <w:bookmarkStart w:id="45" w:name="c-moor-overview"/>
    <w:p>
      <w:pPr>
        <w:pStyle w:val="Heading1"/>
      </w:pPr>
      <w:r>
        <w:rPr>
          <w:rStyle w:val="SectionNumber"/>
        </w:rPr>
        <w:t xml:space="preserve">1</w:t>
      </w:r>
      <w:r>
        <w:tab/>
      </w:r>
      <w:r>
        <w:t xml:space="preserve">C-MOOR Overview</w:t>
      </w:r>
    </w:p>
    <w:bookmarkStart w:id="41" w:name="about-c-moor"/>
    <w:p>
      <w:pPr>
        <w:pStyle w:val="Heading3"/>
      </w:pPr>
      <w:r>
        <w:rPr>
          <w:rStyle w:val="SectionNumber"/>
        </w:rPr>
        <w:t xml:space="preserve">1.0.1</w:t>
      </w:r>
      <w:r>
        <w:tab/>
      </w:r>
      <w:r>
        <w:t xml:space="preserve">About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w:t>
      </w:r>
    </w:p>
    <w:p>
      <w:pPr>
        <w:pStyle w:val="BodyText"/>
      </w:pPr>
      <w:r>
        <w:drawing>
          <wp:inline>
            <wp:extent cx="5334000" cy="3000375"/>
            <wp:effectExtent b="0" l="0" r="0" t="0"/>
            <wp:docPr descr="" title="" id="38" name="Picture"/>
            <a:graphic>
              <a:graphicData uri="http://schemas.openxmlformats.org/drawingml/2006/picture">
                <pic:pic>
                  <pic:nvPicPr>
                    <pic:cNvPr descr="about-c-moor_files/figure-docx//1dI8-_iVqbkzNMf11M4dK85E8ZW3OyZECs_YwMKw5fhs_g365128907e6_0_158.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Over the years, C-MOOR has expanded its curricula to include RNA-seq, scRNA-seq, 16S amplicon sequencing, and WGS modules. Here’s some statistics about C-MOOR students:</w:t>
      </w:r>
    </w:p>
    <w:p>
      <w:pPr>
        <w:numPr>
          <w:ilvl w:val="0"/>
          <w:numId w:val="1005"/>
        </w:numPr>
        <w:pStyle w:val="Compact"/>
      </w:pPr>
      <w:r>
        <w:rPr>
          <w:bCs/>
          <w:b/>
        </w:rPr>
        <w:t xml:space="preserve">Students taught:</w:t>
      </w:r>
      <w:r>
        <w:t xml:space="preserve"> </w:t>
      </w:r>
      <w:r>
        <w:t xml:space="preserve">700+.</w:t>
      </w:r>
    </w:p>
    <w:p>
      <w:pPr>
        <w:numPr>
          <w:ilvl w:val="0"/>
          <w:numId w:val="1005"/>
        </w:numPr>
        <w:pStyle w:val="Compact"/>
      </w:pPr>
      <w:r>
        <w:rPr>
          <w:bCs/>
          <w:b/>
        </w:rPr>
        <w:t xml:space="preserve">90% of our students are first years:</w:t>
      </w:r>
      <w:r>
        <w:t xml:space="preserve"> </w:t>
      </w:r>
      <w:r>
        <w:t xml:space="preserve">We break the myth that only advanced-level students can perform and excel in real research.</w:t>
      </w:r>
    </w:p>
    <w:p>
      <w:pPr>
        <w:numPr>
          <w:ilvl w:val="0"/>
          <w:numId w:val="1005"/>
        </w:numPr>
        <w:pStyle w:val="Compact"/>
      </w:pPr>
      <w:r>
        <w:rPr>
          <w:bCs/>
          <w:b/>
        </w:rPr>
        <w:t xml:space="preserve">Student research posters:</w:t>
      </w:r>
      <w:r>
        <w:t xml:space="preserve"> </w:t>
      </w:r>
      <w:r>
        <w:t xml:space="preserve">100+. We choose a poster as our final deliverable to facilitate participation in research symposiums. Posters also allow us to evaluate the efficacy of our curricula over the years and make it easy for instructors to quickly and objectively grade student work. You can see a handful of posters</w:t>
      </w:r>
      <w:r>
        <w:t xml:space="preserve"> </w:t>
      </w:r>
      <w:hyperlink r:id="rId40">
        <w:r>
          <w:rPr>
            <w:rStyle w:val="Hyperlink"/>
          </w:rPr>
          <w:t xml:space="preserve">here</w:t>
        </w:r>
      </w:hyperlink>
      <w:r>
        <w:t xml:space="preserve">!</w:t>
      </w:r>
    </w:p>
    <w:p>
      <w:pPr>
        <w:numPr>
          <w:ilvl w:val="0"/>
          <w:numId w:val="1005"/>
        </w:numPr>
        <w:pStyle w:val="Compact"/>
      </w:pPr>
      <w:r>
        <w:rPr>
          <w:bCs/>
          <w:b/>
        </w:rPr>
        <w:t xml:space="preserve">50% + Students choose to present posters at optional symposiums:</w:t>
      </w:r>
      <w:r>
        <w:t xml:space="preserve"> </w:t>
      </w:r>
      <w:r>
        <w:t xml:space="preserve">C-MOOR posters have served as the impetus for establishing a new research symposium at Clovis Community College. Our students have attended and won awards at their institution’s research days and at conferences such as GRADS-4C and the ASM Maryland Branch Meeting.</w:t>
      </w:r>
    </w:p>
    <w:bookmarkEnd w:id="41"/>
    <w:bookmarkStart w:id="43" w:name="why-data-science"/>
    <w:p>
      <w:pPr>
        <w:pStyle w:val="Heading3"/>
      </w:pPr>
      <w:r>
        <w:rPr>
          <w:rStyle w:val="SectionNumber"/>
        </w:rPr>
        <w:t xml:space="preserve">1.0.2</w:t>
      </w:r>
      <w:r>
        <w:tab/>
      </w:r>
      <w:r>
        <w:t xml:space="preserve">Why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42">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the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43"/>
    <w:bookmarkStart w:id="44" w:name="learning-goals-1"/>
    <w:p>
      <w:pPr>
        <w:pStyle w:val="Heading3"/>
      </w:pPr>
      <w:r>
        <w:rPr>
          <w:rStyle w:val="SectionNumber"/>
        </w:rPr>
        <w:t xml:space="preserve">1.0.3</w:t>
      </w:r>
      <w:r>
        <w:tab/>
      </w:r>
      <w:r>
        <w:t xml:space="preserve">Learning Goals</w:t>
      </w:r>
    </w:p>
    <w:p>
      <w:pPr>
        <w:numPr>
          <w:ilvl w:val="0"/>
          <w:numId w:val="1006"/>
        </w:numPr>
        <w:pStyle w:val="Compact"/>
      </w:pPr>
      <w:r>
        <w:t xml:space="preserve">Engage with real and current scientific data</w:t>
      </w:r>
    </w:p>
    <w:p>
      <w:pPr>
        <w:numPr>
          <w:ilvl w:val="0"/>
          <w:numId w:val="1006"/>
        </w:numPr>
        <w:pStyle w:val="Compact"/>
      </w:pPr>
      <w:r>
        <w:t xml:space="preserve">Explore available research resources online</w:t>
      </w:r>
    </w:p>
    <w:p>
      <w:pPr>
        <w:numPr>
          <w:ilvl w:val="0"/>
          <w:numId w:val="1006"/>
        </w:numPr>
        <w:pStyle w:val="Compact"/>
      </w:pPr>
      <w:r>
        <w:t xml:space="preserve">Recognize the interdisciplinary nature of biological sciences</w:t>
      </w:r>
    </w:p>
    <w:p>
      <w:pPr>
        <w:numPr>
          <w:ilvl w:val="0"/>
          <w:numId w:val="1006"/>
        </w:numPr>
        <w:pStyle w:val="Compact"/>
      </w:pPr>
      <w:r>
        <w:t xml:space="preserve">Synthesize findings from scientific literature</w:t>
      </w:r>
    </w:p>
    <w:p>
      <w:pPr>
        <w:numPr>
          <w:ilvl w:val="0"/>
          <w:numId w:val="1006"/>
        </w:numPr>
        <w:pStyle w:val="Compact"/>
      </w:pPr>
      <w:r>
        <w:t xml:space="preserve">Summarize findings and discuss results with your peers</w:t>
      </w:r>
    </w:p>
    <w:p>
      <w:pPr>
        <w:numPr>
          <w:ilvl w:val="0"/>
          <w:numId w:val="1006"/>
        </w:numPr>
        <w:pStyle w:val="Compact"/>
      </w:pPr>
      <w:r>
        <w:t xml:space="preserve">Collaborate with peers on a data exploration activity</w:t>
      </w:r>
    </w:p>
    <w:bookmarkEnd w:id="44"/>
    <w:bookmarkEnd w:id="45"/>
    <w:bookmarkStart w:id="62" w:name="how-to-use-a-c-moor-curriculum"/>
    <w:p>
      <w:pPr>
        <w:pStyle w:val="Heading1"/>
      </w:pPr>
      <w:r>
        <w:rPr>
          <w:rStyle w:val="SectionNumber"/>
        </w:rPr>
        <w:t xml:space="preserve">2</w:t>
      </w:r>
      <w:r>
        <w:tab/>
      </w:r>
      <w:r>
        <w:t xml:space="preserve">How to use a C-MOOR curriculum</w:t>
      </w:r>
    </w:p>
    <w:p>
      <w:pPr>
        <w:pStyle w:val="FirstParagraph"/>
      </w:pPr>
      <w:r>
        <w:t xml:space="preserve">There are 3 major components of a C-MOOR curriculum:</w:t>
      </w:r>
    </w:p>
    <w:p>
      <w:pPr>
        <w:numPr>
          <w:ilvl w:val="0"/>
          <w:numId w:val="1007"/>
        </w:numPr>
        <w:pStyle w:val="Compact"/>
      </w:pPr>
      <w:r>
        <w:t xml:space="preserve">The OTTR book (what you’re reading right now)</w:t>
      </w:r>
    </w:p>
    <w:p>
      <w:pPr>
        <w:numPr>
          <w:ilvl w:val="0"/>
          <w:numId w:val="1007"/>
        </w:numPr>
        <w:pStyle w:val="Compact"/>
      </w:pPr>
      <w:r>
        <w:t xml:space="preserve">The interactive learn modules that are run a cloud platform</w:t>
      </w:r>
    </w:p>
    <w:p>
      <w:pPr>
        <w:numPr>
          <w:ilvl w:val="0"/>
          <w:numId w:val="1007"/>
        </w:numPr>
        <w:pStyle w:val="Compact"/>
      </w:pPr>
      <w:r>
        <w:t xml:space="preserve">The assignments that link the book to the modules</w:t>
      </w:r>
    </w:p>
    <w:p>
      <w:pPr>
        <w:pStyle w:val="FirstParagraph"/>
      </w:pPr>
      <w:r>
        <w:t xml:space="preserve">In this section, we’ll quickly cover what each component does, where it’s found, and how to use that resource.</w:t>
      </w:r>
    </w:p>
    <w:bookmarkStart w:id="49" w:name="ottr-books"/>
    <w:p>
      <w:pPr>
        <w:pStyle w:val="Heading3"/>
      </w:pPr>
      <w:r>
        <w:rPr>
          <w:rStyle w:val="SectionNumber"/>
        </w:rPr>
        <w:t xml:space="preserve">2.0.1</w:t>
      </w:r>
      <w:r>
        <w:tab/>
      </w:r>
      <w:r>
        <w:t xml:space="preserve">OTTR books</w:t>
      </w:r>
    </w:p>
    <w:p>
      <w:pPr>
        <w:pStyle w:val="FirstParagraph"/>
      </w:pPr>
      <w:r>
        <w:drawing>
          <wp:inline>
            <wp:extent cx="5334000" cy="3000375"/>
            <wp:effectExtent b="0" l="0" r="0" t="0"/>
            <wp:docPr descr="" title="" id="47" name="Picture"/>
            <a:graphic>
              <a:graphicData uri="http://schemas.openxmlformats.org/drawingml/2006/picture">
                <pic:pic>
                  <pic:nvPicPr>
                    <pic:cNvPr descr="how-to-use-this-book_files/figure-docx//1dI8-_iVqbkzNMf11M4dK85E8ZW3OyZECs_YwMKw5fhs_g3636f786a65_0_249.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OTTR book is essentially a coursebook for that particular curriculum. We have OTTR books for each major curricula and a separate book for our model organisms and biological databases unit. This is where you will find the following:</w:t>
      </w:r>
    </w:p>
    <w:p>
      <w:pPr>
        <w:numPr>
          <w:ilvl w:val="0"/>
          <w:numId w:val="1008"/>
        </w:numPr>
        <w:pStyle w:val="Compact"/>
      </w:pPr>
      <w:r>
        <w:rPr>
          <w:bCs/>
          <w:b/>
        </w:rPr>
        <w:t xml:space="preserve">Lectures:</w:t>
      </w:r>
      <w:r>
        <w:t xml:space="preserve"> </w:t>
      </w:r>
      <w:r>
        <w:t xml:space="preserve">In their own sections titled</w:t>
      </w:r>
      <w:r>
        <w:t xml:space="preserve"> </w:t>
      </w:r>
      <w:r>
        <w:t xml:space="preserve">‘</w:t>
      </w:r>
      <w:r>
        <w:t xml:space="preserve">Lab Slides</w:t>
      </w:r>
      <w:r>
        <w:t xml:space="preserve">’</w:t>
      </w:r>
      <w:r>
        <w:t xml:space="preserve"> </w:t>
      </w:r>
      <w:r>
        <w:t xml:space="preserve">or</w:t>
      </w:r>
      <w:r>
        <w:t xml:space="preserve"> </w:t>
      </w:r>
      <w:r>
        <w:t xml:space="preserve">‘</w:t>
      </w:r>
      <w:r>
        <w:t xml:space="preserve">Lecture</w:t>
      </w:r>
      <w:r>
        <w:t xml:space="preserve">’</w:t>
      </w:r>
    </w:p>
    <w:p>
      <w:pPr>
        <w:numPr>
          <w:ilvl w:val="0"/>
          <w:numId w:val="1008"/>
        </w:numPr>
        <w:pStyle w:val="Compact"/>
      </w:pPr>
      <w:r>
        <w:rPr>
          <w:bCs/>
          <w:b/>
        </w:rPr>
        <w:t xml:space="preserve">Assignments and Activities:</w:t>
      </w:r>
      <w:r>
        <w:t xml:space="preserve"> </w:t>
      </w:r>
      <w:r>
        <w:t xml:space="preserve">In the sections titled</w:t>
      </w:r>
      <w:r>
        <w:t xml:space="preserve"> </w:t>
      </w:r>
      <w:r>
        <w:t xml:space="preserve">‘</w:t>
      </w:r>
      <w:r>
        <w:t xml:space="preserve">Pre-labs</w:t>
      </w:r>
      <w:r>
        <w:t xml:space="preserve">’</w:t>
      </w:r>
      <w:r>
        <w:t xml:space="preserve">,</w:t>
      </w:r>
      <w:r>
        <w:t xml:space="preserve"> </w:t>
      </w:r>
      <w:r>
        <w:t xml:space="preserve">‘</w:t>
      </w:r>
      <w:r>
        <w:t xml:space="preserve">Activities</w:t>
      </w:r>
      <w:r>
        <w:t xml:space="preserve">’</w:t>
      </w:r>
      <w:r>
        <w:t xml:space="preserve">,</w:t>
      </w:r>
      <w:r>
        <w:t xml:space="preserve"> </w:t>
      </w:r>
      <w:r>
        <w:t xml:space="preserve">‘</w:t>
      </w:r>
      <w:r>
        <w:t xml:space="preserve">Discussions</w:t>
      </w:r>
      <w:r>
        <w:t xml:space="preserve">’</w:t>
      </w:r>
      <w:r>
        <w:t xml:space="preserve">, and</w:t>
      </w:r>
      <w:r>
        <w:t xml:space="preserve"> </w:t>
      </w:r>
      <w:r>
        <w:t xml:space="preserve">‘</w:t>
      </w:r>
      <w:r>
        <w:t xml:space="preserve">Presentations</w:t>
      </w:r>
      <w:r>
        <w:t xml:space="preserve">’</w:t>
      </w:r>
      <w:r>
        <w:t xml:space="preserve">. You can find the instructions, goals, and estimated time needed for each respective section. The main body of each will also contain the text (instructions, purpose, questions) for the Google Doc or other resources found at the bottom of the page. We create these Google Drive resources for you to copy, download, and edit as your class sees fit to do so. Our instructors have students download these resources locally, fill them out on their own computer or Google Drive and submit them through your school’s learning management system.</w:t>
      </w:r>
    </w:p>
    <w:p>
      <w:pPr>
        <w:numPr>
          <w:ilvl w:val="0"/>
          <w:numId w:val="1008"/>
        </w:numPr>
        <w:pStyle w:val="Compact"/>
      </w:pPr>
      <w:r>
        <w:rPr>
          <w:bCs/>
          <w:b/>
        </w:rPr>
        <w:t xml:space="preserve">Related resources</w:t>
      </w:r>
      <w:r>
        <w:t xml:space="preserve">: At the bottom of every page, we have a list of links to resources relating to that specific section. For example, we would link our blank assignments for all our assignments here. We also provide guides for students (currently only available for our RNA-seq offerings). We are working to make all of these resources also available in the appendix of each OTTR book.</w:t>
      </w:r>
    </w:p>
    <w:bookmarkEnd w:id="49"/>
    <w:bookmarkStart w:id="53" w:name="interactive-learnr-modules-on-the-cloud"/>
    <w:p>
      <w:pPr>
        <w:pStyle w:val="Heading3"/>
      </w:pPr>
      <w:r>
        <w:rPr>
          <w:rStyle w:val="SectionNumber"/>
        </w:rPr>
        <w:t xml:space="preserve">2.0.2</w:t>
      </w:r>
      <w:r>
        <w:tab/>
      </w:r>
      <w:r>
        <w:t xml:space="preserve">Interactive learnr modules on the cloud</w:t>
      </w:r>
    </w:p>
    <w:p>
      <w:pPr>
        <w:pStyle w:val="FirstParagraph"/>
      </w:pPr>
      <w:r>
        <w:drawing>
          <wp:inline>
            <wp:extent cx="5334000" cy="3000375"/>
            <wp:effectExtent b="0" l="0" r="0" t="0"/>
            <wp:docPr descr="" title="" id="51" name="Picture"/>
            <a:graphic>
              <a:graphicData uri="http://schemas.openxmlformats.org/drawingml/2006/picture">
                <pic:pic>
                  <pic:nvPicPr>
                    <pic:cNvPr descr="how-to-use-this-book_files/figure-docx//1dI8-_iVqbkzNMf11M4dK85E8ZW3OyZECs_YwMKw5fhs_g37285a4c239_0_1.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Our learnr modules contain self-paced lessons and all the resources students will need to complete their research projects. Through these modules students will generate plots using interactive code chunks and take non-graded try-as-many-times-as-you-want quizzes to better refine their understanding of how to work with their data and the underlying biological and statistical concepts.</w:t>
      </w:r>
    </w:p>
    <w:p>
      <w:pPr>
        <w:pStyle w:val="BodyText"/>
      </w:pPr>
      <w:r>
        <w:t xml:space="preserve">Please see the sections on setting up on a cloud platform for more details on how to run these modules.</w:t>
      </w:r>
    </w:p>
    <w:bookmarkEnd w:id="53"/>
    <w:bookmarkStart w:id="57" w:name="related-resources"/>
    <w:p>
      <w:pPr>
        <w:pStyle w:val="Heading3"/>
      </w:pPr>
      <w:r>
        <w:rPr>
          <w:rStyle w:val="SectionNumber"/>
        </w:rPr>
        <w:t xml:space="preserve">2.0.3</w:t>
      </w:r>
      <w:r>
        <w:tab/>
      </w:r>
      <w:r>
        <w:t xml:space="preserve">Related resources</w:t>
      </w:r>
    </w:p>
    <w:p>
      <w:pPr>
        <w:pStyle w:val="FirstParagraph"/>
      </w:pPr>
      <w:r>
        <w:drawing>
          <wp:inline>
            <wp:extent cx="5334000" cy="3000375"/>
            <wp:effectExtent b="0" l="0" r="0" t="0"/>
            <wp:docPr descr="" title="" id="55" name="Picture"/>
            <a:graphic>
              <a:graphicData uri="http://schemas.openxmlformats.org/drawingml/2006/picture">
                <pic:pic>
                  <pic:nvPicPr>
                    <pic:cNvPr descr="how-to-use-this-book_files/figure-docx//1dI8-_iVqbkzNMf11M4dK85E8ZW3OyZECs_YwMKw5fhs_g37285a4c239_0_82.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As mentioned above, at the bottom of each section of an OTTR book you can find links to resources such as assignments in Google Doc form. We’ve formatted these files to be easy for instructors and students to download, modify, and submit at their convenience. We also have guides for students to use as they work on their research projects; we are working to expand the number of guides for students to use across different curricula.</w:t>
      </w:r>
    </w:p>
    <w:bookmarkEnd w:id="57"/>
    <w:bookmarkStart w:id="61" w:name="example-lesson-how-to"/>
    <w:p>
      <w:pPr>
        <w:pStyle w:val="Heading3"/>
      </w:pPr>
      <w:r>
        <w:rPr>
          <w:rStyle w:val="SectionNumber"/>
        </w:rPr>
        <w:t xml:space="preserve">2.0.4</w:t>
      </w:r>
      <w:r>
        <w:tab/>
      </w:r>
      <w:r>
        <w:t xml:space="preserve">Example lesson how-to</w:t>
      </w:r>
    </w:p>
    <w:p>
      <w:pPr>
        <w:pStyle w:val="FirstParagraph"/>
      </w:pPr>
      <w:r>
        <w:t xml:space="preserve">Here’s an example of how to run a C-MOOR module using the</w:t>
      </w:r>
      <w:r>
        <w:t xml:space="preserve"> </w:t>
      </w:r>
      <w:hyperlink r:id="rId58">
        <w:r>
          <w:rPr>
            <w:rStyle w:val="Hyperlink"/>
          </w:rPr>
          <w:t xml:space="preserve">Differential Expression chapter of the RNA-seq miniCURE</w:t>
        </w:r>
      </w:hyperlink>
      <w:r>
        <w:t xml:space="preserve">. This chapter is chapter 5 of the OTTR book.</w:t>
      </w:r>
    </w:p>
    <w:p>
      <w:pPr>
        <w:numPr>
          <w:ilvl w:val="0"/>
          <w:numId w:val="1009"/>
        </w:numPr>
        <w:pStyle w:val="Compact"/>
      </w:pPr>
      <w:r>
        <w:t xml:space="preserve">Using the lab slides in</w:t>
      </w:r>
      <w:r>
        <w:t xml:space="preserve"> </w:t>
      </w:r>
      <w:hyperlink r:id="rId59">
        <w:r>
          <w:rPr>
            <w:rStyle w:val="Hyperlink"/>
          </w:rPr>
          <w:t xml:space="preserve">section 5.1 of the OTTR book</w:t>
        </w:r>
      </w:hyperlink>
      <w:r>
        <w:t xml:space="preserve">, the instructor guides students through what to expect in the lesson and what is in the dataset.</w:t>
      </w:r>
    </w:p>
    <w:p>
      <w:pPr>
        <w:numPr>
          <w:ilvl w:val="0"/>
          <w:numId w:val="1009"/>
        </w:numPr>
        <w:pStyle w:val="Compact"/>
      </w:pPr>
      <w:r>
        <w:t xml:space="preserve">Students launch the learnr module on the class’s chosen cloud platform.</w:t>
      </w:r>
    </w:p>
    <w:p>
      <w:pPr>
        <w:numPr>
          <w:ilvl w:val="0"/>
          <w:numId w:val="1009"/>
        </w:numPr>
        <w:pStyle w:val="Compact"/>
      </w:pPr>
      <w:r>
        <w:t xml:space="preserve">Refer to</w:t>
      </w:r>
      <w:r>
        <w:t xml:space="preserve"> </w:t>
      </w:r>
      <w:hyperlink r:id="rId60">
        <w:r>
          <w:rPr>
            <w:rStyle w:val="Hyperlink"/>
          </w:rPr>
          <w:t xml:space="preserve">section 5.2 of the OTTR book</w:t>
        </w:r>
      </w:hyperlink>
      <w:r>
        <w:t xml:space="preserve">, which directly follows the slides. Scroll to the bottom of the page and open the Google Doc in the resources section.</w:t>
      </w:r>
    </w:p>
    <w:p>
      <w:pPr>
        <w:numPr>
          <w:ilvl w:val="0"/>
          <w:numId w:val="1009"/>
        </w:numPr>
        <w:pStyle w:val="Compact"/>
      </w:pPr>
      <w:r>
        <w:t xml:space="preserve">Students download the assignment to their local computer and/or copy it to their Google Drive.</w:t>
      </w:r>
    </w:p>
    <w:p>
      <w:pPr>
        <w:numPr>
          <w:ilvl w:val="0"/>
          <w:numId w:val="1009"/>
        </w:numPr>
        <w:pStyle w:val="Compact"/>
      </w:pPr>
      <w:r>
        <w:t xml:space="preserve">Students complete the assignment following the instructions and use the learnr module to answer questions.</w:t>
      </w:r>
    </w:p>
    <w:p>
      <w:pPr>
        <w:numPr>
          <w:ilvl w:val="0"/>
          <w:numId w:val="1009"/>
        </w:numPr>
        <w:pStyle w:val="Compact"/>
      </w:pPr>
      <w:r>
        <w:t xml:space="preserve">Students turn in the assignment on their LMS or through their instructor’s chosen method.</w:t>
      </w:r>
    </w:p>
    <w:p>
      <w:pPr>
        <w:numPr>
          <w:ilvl w:val="0"/>
          <w:numId w:val="1009"/>
        </w:numPr>
        <w:pStyle w:val="Compact"/>
      </w:pPr>
      <w:r>
        <w:t xml:space="preserve">Students close their session on the cloud</w:t>
      </w:r>
    </w:p>
    <w:p>
      <w:pPr>
        <w:pStyle w:val="FirstParagraph"/>
      </w:pPr>
      <w:r>
        <w:t xml:space="preserve">Note that the majority of the text in section 5.2 of the OTTR book is identical to the downloadable assignment.</w:t>
      </w:r>
    </w:p>
    <w:bookmarkEnd w:id="61"/>
    <w:bookmarkEnd w:id="62"/>
    <w:bookmarkStart w:id="72" w:name="for-new-instructors"/>
    <w:p>
      <w:pPr>
        <w:pStyle w:val="Heading1"/>
      </w:pPr>
      <w:r>
        <w:rPr>
          <w:rStyle w:val="SectionNumber"/>
        </w:rPr>
        <w:t xml:space="preserve">3</w:t>
      </w:r>
      <w:r>
        <w:tab/>
      </w:r>
      <w:r>
        <w:t xml:space="preserve">For new instructors</w:t>
      </w:r>
    </w:p>
    <w:p>
      <w:pPr>
        <w:pStyle w:val="FirstParagraph"/>
      </w:pPr>
      <w:r>
        <w:t xml:space="preserve">Welcome to new and seasoned instructors alike! We are excited to have you use a C-MOOR module in your class. This section of our OTTR book is specifically for instructors and will help you prepare for teaching a C-MOOR offering as a part of your class.</w:t>
      </w:r>
    </w:p>
    <w:bookmarkStart w:id="63" w:name="X0ca3ccf04a3ad35877ab7bd63b3e5357f0f363c"/>
    <w:p>
      <w:pPr>
        <w:pStyle w:val="Heading3"/>
      </w:pPr>
      <w:r>
        <w:rPr>
          <w:rStyle w:val="SectionNumber"/>
        </w:rPr>
        <w:t xml:space="preserve">3.0.1</w:t>
      </w:r>
      <w:r>
        <w:tab/>
      </w:r>
      <w:r>
        <w:t xml:space="preserve">Course-based undergraduate research experiences</w:t>
      </w:r>
    </w:p>
    <w:p>
      <w:pPr>
        <w:pStyle w:val="FirstParagraph"/>
      </w:pPr>
      <w:r>
        <w:t xml:space="preserve">A</w:t>
      </w:r>
      <w:r>
        <w:t xml:space="preserve"> </w:t>
      </w:r>
      <w:r>
        <w:rPr>
          <w:bCs/>
          <w:b/>
        </w:rPr>
        <w:t xml:space="preserve">course-based undergraduate research experience (CURE)</w:t>
      </w:r>
      <w:r>
        <w:t xml:space="preserve"> </w:t>
      </w:r>
      <w:r>
        <w:t xml:space="preserve">is a high impact practice (HIP) where students learn through authentic research. In addition to the standard concepts of the material and the technical skills required to complete lab exercises students gain critical thinking skills troubleshooting their research projects. They don’t just learn about science; they practice it!</w:t>
      </w:r>
    </w:p>
    <w:bookmarkEnd w:id="63"/>
    <w:bookmarkStart w:id="65" w:name="how-c-moor-supports-you"/>
    <w:p>
      <w:pPr>
        <w:pStyle w:val="Heading3"/>
      </w:pPr>
      <w:r>
        <w:rPr>
          <w:rStyle w:val="SectionNumber"/>
        </w:rPr>
        <w:t xml:space="preserve">3.0.2</w:t>
      </w:r>
      <w:r>
        <w:tab/>
      </w:r>
      <w:r>
        <w:t xml:space="preserve">How C-MOOR supports you</w:t>
      </w:r>
    </w:p>
    <w:p>
      <w:pPr>
        <w:pStyle w:val="FirstParagraph"/>
      </w:pPr>
      <w:r>
        <w:t xml:space="preserve">Our curriculum is designed to be accessible for anyone to teach and aims to remove many of the barriers that prevent instructors from trying computational biology methods.</w:t>
      </w:r>
    </w:p>
    <w:p>
      <w:pPr>
        <w:numPr>
          <w:ilvl w:val="0"/>
          <w:numId w:val="1010"/>
        </w:numPr>
        <w:pStyle w:val="Compact"/>
      </w:pPr>
      <w:r>
        <w:rPr>
          <w:bCs/>
          <w:b/>
        </w:rPr>
        <w:t xml:space="preserve">No previous experience in bioinformatics required. We’ll help with the code:</w:t>
      </w:r>
      <w:r>
        <w:t xml:space="preserve"> </w:t>
      </w:r>
      <w:r>
        <w:t xml:space="preserve">We provide all code templates required to complete the analyses. You just bring your expertise as a researcher! For support with code and other technical issues reach out to us with a post on the</w:t>
      </w:r>
      <w:r>
        <w:t xml:space="preserve"> </w:t>
      </w:r>
      <w:hyperlink r:id="rId64">
        <w:r>
          <w:rPr>
            <w:rStyle w:val="Hyperlink"/>
          </w:rPr>
          <w:t xml:space="preserve">C-MOOR Academy Discussion Forum</w:t>
        </w:r>
      </w:hyperlink>
      <w:r>
        <w:t xml:space="preserve">. Someone will assist you as soon as you are available.</w:t>
      </w:r>
    </w:p>
    <w:p>
      <w:pPr>
        <w:numPr>
          <w:ilvl w:val="0"/>
          <w:numId w:val="1010"/>
        </w:numPr>
        <w:pStyle w:val="Compact"/>
      </w:pPr>
      <w:r>
        <w:rPr>
          <w:bCs/>
          <w:b/>
        </w:rPr>
        <w:t xml:space="preserve">Our curriculum comes with lectures, assignments, and rubrics for you to use</w:t>
      </w:r>
      <w:r>
        <w:t xml:space="preserve">: We do as much as possible to take the workload of creating these materials off your back. But you’re not beholden to use them; if you have materials you’ve used over the years and prefer to use or want to use only parts of ours you’re free to do so.</w:t>
      </w:r>
    </w:p>
    <w:p>
      <w:pPr>
        <w:numPr>
          <w:ilvl w:val="0"/>
          <w:numId w:val="1010"/>
        </w:numPr>
        <w:pStyle w:val="Compact"/>
      </w:pPr>
      <w:r>
        <w:rPr>
          <w:bCs/>
          <w:b/>
        </w:rPr>
        <w:t xml:space="preserve">We designed our miniCUREs to be modular to fit into your course</w:t>
      </w:r>
      <w:r>
        <w:t xml:space="preserve">: Our miniCURE curricula are designed to be compact, with just 6 main sessions followed by project work. We’ve taught our RNA-seq miniCURE in pre-established classes, such as introductory biology. You don’t have to design your entire course around them and the modules fit easily into your lessons about gene expression and microbiology.</w:t>
      </w:r>
    </w:p>
    <w:bookmarkEnd w:id="65"/>
    <w:bookmarkStart w:id="71" w:name="new-instructor-to-do-list"/>
    <w:p>
      <w:pPr>
        <w:pStyle w:val="Heading3"/>
      </w:pPr>
      <w:r>
        <w:rPr>
          <w:rStyle w:val="SectionNumber"/>
        </w:rPr>
        <w:t xml:space="preserve">3.0.3</w:t>
      </w:r>
      <w:r>
        <w:tab/>
      </w:r>
      <w:r>
        <w:t xml:space="preserve">New instructor to-do list</w:t>
      </w:r>
    </w:p>
    <w:p>
      <w:pPr>
        <w:pStyle w:val="FirstParagraph"/>
      </w:pPr>
      <w:r>
        <w:t xml:space="preserve">If you haven’t taught a C-MOOR curriculum in the past, here’s a list of tasks you should do, ideally before the semester begins:</w:t>
      </w:r>
    </w:p>
    <w:p>
      <w:pPr>
        <w:numPr>
          <w:ilvl w:val="0"/>
          <w:numId w:val="1011"/>
        </w:numPr>
        <w:pStyle w:val="Compact"/>
      </w:pPr>
      <w:r>
        <w:rPr>
          <w:bCs/>
          <w:b/>
        </w:rPr>
        <w:t xml:space="preserve">Make an introductory post on the</w:t>
      </w:r>
      <w:r>
        <w:rPr>
          <w:bCs/>
          <w:b/>
        </w:rPr>
        <w:t xml:space="preserve"> </w:t>
      </w:r>
      <w:hyperlink r:id="rId64">
        <w:r>
          <w:rPr>
            <w:rStyle w:val="Hyperlink"/>
            <w:bCs/>
            <w:b/>
          </w:rPr>
          <w:t xml:space="preserve">C-MOOR Academy Discussion Forum</w:t>
        </w:r>
      </w:hyperlink>
      <w:r>
        <w:t xml:space="preserve"> </w:t>
      </w:r>
      <w:r>
        <w:t xml:space="preserve">in the general category. We recommend including:</w:t>
      </w:r>
    </w:p>
    <w:p>
      <w:pPr>
        <w:numPr>
          <w:ilvl w:val="0"/>
          <w:numId w:val="1012"/>
        </w:numPr>
        <w:pStyle w:val="Compact"/>
      </w:pPr>
      <w:r>
        <w:t xml:space="preserve">Your name</w:t>
      </w:r>
    </w:p>
    <w:p>
      <w:pPr>
        <w:numPr>
          <w:ilvl w:val="0"/>
          <w:numId w:val="1012"/>
        </w:numPr>
        <w:pStyle w:val="Compact"/>
      </w:pPr>
      <w:r>
        <w:t xml:space="preserve">Your institution</w:t>
      </w:r>
    </w:p>
    <w:p>
      <w:pPr>
        <w:numPr>
          <w:ilvl w:val="0"/>
          <w:numId w:val="1012"/>
        </w:numPr>
        <w:pStyle w:val="Compact"/>
      </w:pPr>
      <w:r>
        <w:t xml:space="preserve">The class you’re teaching that uses C-MOOR modules</w:t>
      </w:r>
    </w:p>
    <w:p>
      <w:pPr>
        <w:numPr>
          <w:ilvl w:val="0"/>
          <w:numId w:val="1012"/>
        </w:numPr>
        <w:pStyle w:val="Compact"/>
      </w:pPr>
      <w:r>
        <w:t xml:space="preserve">Your area of research expertise</w:t>
      </w:r>
    </w:p>
    <w:p>
      <w:pPr>
        <w:numPr>
          <w:ilvl w:val="0"/>
          <w:numId w:val="1012"/>
        </w:numPr>
        <w:pStyle w:val="Compact"/>
      </w:pPr>
      <w:r>
        <w:t xml:space="preserve">Any previous experience with bioinformatics</w:t>
      </w:r>
    </w:p>
    <w:p>
      <w:pPr>
        <w:numPr>
          <w:ilvl w:val="0"/>
          <w:numId w:val="1012"/>
        </w:numPr>
        <w:pStyle w:val="Compact"/>
      </w:pPr>
      <w:r>
        <w:t xml:space="preserve">The cloud platform you will be using to teach (see next item)</w:t>
      </w:r>
    </w:p>
    <w:p>
      <w:pPr>
        <w:numPr>
          <w:ilvl w:val="0"/>
          <w:numId w:val="1013"/>
        </w:numPr>
      </w:pPr>
      <w:r>
        <w:rPr>
          <w:bCs/>
          <w:b/>
        </w:rPr>
        <w:t xml:space="preserve">Set up on a cloud platform</w:t>
      </w:r>
      <w:r>
        <w:t xml:space="preserve">: C-MOOR uses either</w:t>
      </w:r>
      <w:r>
        <w:t xml:space="preserve"> </w:t>
      </w:r>
      <w:hyperlink r:id="rId66">
        <w:r>
          <w:rPr>
            <w:rStyle w:val="Hyperlink"/>
          </w:rPr>
          <w:t xml:space="preserve">SciServer</w:t>
        </w:r>
      </w:hyperlink>
      <w:r>
        <w:t xml:space="preserve"> </w:t>
      </w:r>
      <w:r>
        <w:t xml:space="preserve">or</w:t>
      </w:r>
      <w:r>
        <w:t xml:space="preserve"> </w:t>
      </w:r>
      <w:hyperlink r:id="rId67">
        <w:r>
          <w:rPr>
            <w:rStyle w:val="Hyperlink"/>
          </w:rPr>
          <w:t xml:space="preserve">AnVIL</w:t>
        </w:r>
      </w:hyperlink>
      <w:r>
        <w:t xml:space="preserve"> </w:t>
      </w:r>
      <w:r>
        <w:t xml:space="preserve">for our cloud computing needs. If you’re not sure which is right for you, please mention this in your forum post so we can get you set up on whichever is more appropriate. Once you’ve chosen your cloud platform, follow the instructions in the respective section to access modules and learn how to grant your students the same access. While you can technically run the modules locally, running them on a cloud platform will prevent the need for students to download all the neccessary components and provides you easier access to updates.</w:t>
      </w:r>
    </w:p>
    <w:p>
      <w:pPr>
        <w:numPr>
          <w:ilvl w:val="0"/>
          <w:numId w:val="1013"/>
        </w:numPr>
      </w:pPr>
      <w:r>
        <w:rPr>
          <w:bCs/>
          <w:b/>
        </w:rPr>
        <w:t xml:space="preserve">Go through the modules yourself</w:t>
      </w:r>
      <w:r>
        <w:t xml:space="preserve">: Familiarize yourself the curriculum and how to use the cloud platform and our fill-in-the-blank code chunks. Look through our resources and see what support is currently available; for example, our</w:t>
      </w:r>
      <w:r>
        <w:t xml:space="preserve"> </w:t>
      </w:r>
      <w:hyperlink r:id="rId68">
        <w:r>
          <w:rPr>
            <w:rStyle w:val="Hyperlink"/>
          </w:rPr>
          <w:t xml:space="preserve">C-MOOR RNA-seq guide</w:t>
        </w:r>
      </w:hyperlink>
      <w:r>
        <w:t xml:space="preserve"> </w:t>
      </w:r>
      <w:r>
        <w:t xml:space="preserve">and our student made</w:t>
      </w:r>
      <w:r>
        <w:t xml:space="preserve"> </w:t>
      </w:r>
      <w:hyperlink r:id="rId69">
        <w:r>
          <w:rPr>
            <w:rStyle w:val="Hyperlink"/>
          </w:rPr>
          <w:t xml:space="preserve">How To Get Started With Your C-MOOR Project Guide</w:t>
        </w:r>
      </w:hyperlink>
      <w:r>
        <w:t xml:space="preserve">.</w:t>
      </w:r>
    </w:p>
    <w:p>
      <w:pPr>
        <w:numPr>
          <w:ilvl w:val="0"/>
          <w:numId w:val="1013"/>
        </w:numPr>
      </w:pPr>
      <w:r>
        <w:rPr>
          <w:bCs/>
          <w:b/>
        </w:rPr>
        <w:t xml:space="preserve">Look over our generic</w:t>
      </w:r>
      <w:r>
        <w:rPr>
          <w:bCs/>
          <w:b/>
        </w:rPr>
        <w:t xml:space="preserve"> </w:t>
      </w:r>
      <w:hyperlink r:id="rId70">
        <w:r>
          <w:rPr>
            <w:rStyle w:val="Hyperlink"/>
            <w:bCs/>
            <w:b/>
          </w:rPr>
          <w:t xml:space="preserve">C-MOOR Poster Rubric</w:t>
        </w:r>
      </w:hyperlink>
      <w:r>
        <w:t xml:space="preserve"> </w:t>
      </w:r>
      <w:r>
        <w:t xml:space="preserve">and alter it as neccessary. The rubric is designed so that you can choose what sections you want included in your students’ posters and what weight (point values) you want to give to each element. Students will use the rubric as a checklist as they create their posters. Some instructors share this rubric at the start of their class. Others may leave it until later. If you have a specific symposium or conference in mind, tailor the rubric to suit that venue (ex. if your school’s research day requires posters with abstracts and no introductions, change the rubric to reflect this requirement).</w:t>
      </w:r>
    </w:p>
    <w:p>
      <w:pPr>
        <w:numPr>
          <w:ilvl w:val="0"/>
          <w:numId w:val="1013"/>
        </w:numPr>
      </w:pPr>
      <w:r>
        <w:rPr>
          <w:bCs/>
          <w:b/>
        </w:rPr>
        <w:t xml:space="preserve">Consider your syllabus and where each module fits into your class schedule.</w:t>
      </w:r>
      <w:r>
        <w:t xml:space="preserve"> </w:t>
      </w:r>
      <w:r>
        <w:t xml:space="preserve">We provide estimated times for each module and the activities within as well as sample schedules from instructors who have taught the curriculum before. Some instructors teach a wet lab alongside the C-MOOR curriculum, using downtime (ex. waiting for the results of a gel electrophoresis lab) to do computational activities.</w:t>
      </w:r>
    </w:p>
    <w:p>
      <w:pPr>
        <w:numPr>
          <w:ilvl w:val="0"/>
          <w:numId w:val="1013"/>
        </w:numPr>
      </w:pPr>
      <w:r>
        <w:rPr>
          <w:bCs/>
          <w:b/>
        </w:rPr>
        <w:t xml:space="preserve">Have students create an account on your chosen cloud platform and provide the neccessary information to you:</w:t>
      </w:r>
      <w:r>
        <w:t xml:space="preserve"> </w:t>
      </w:r>
      <w:r>
        <w:t xml:space="preserve">Do this well in advance of the first day you’re using the C-MOOR curriculum to avoid technical issues on the day of (ex. students without Google associated email addresses on AnVIL, students who have unknown errors logging into SciServer). You will need to collect the students’ email addresses (AnVIL) or their usernames (SciServer). We recommend using tools in your LMS or a Google form to expedite this process.</w:t>
      </w:r>
    </w:p>
    <w:bookmarkEnd w:id="71"/>
    <w:bookmarkEnd w:id="72"/>
    <w:bookmarkStart w:id="74" w:name="cloud-platforms"/>
    <w:p>
      <w:pPr>
        <w:pStyle w:val="Heading1"/>
      </w:pPr>
      <w:r>
        <w:rPr>
          <w:rStyle w:val="SectionNumber"/>
        </w:rPr>
        <w:t xml:space="preserve">4</w:t>
      </w:r>
      <w:r>
        <w:tab/>
      </w:r>
      <w:r>
        <w:t xml:space="preserve">Cloud platforms</w:t>
      </w:r>
    </w:p>
    <w:p>
      <w:pPr>
        <w:pStyle w:val="FirstParagraph"/>
      </w:pPr>
      <w:r>
        <w:t xml:space="preserve">Although you can technically run C-MOOR modules locally, we strongly recommend you use a cloud platform. The benefits of using the cloud platform:</w:t>
      </w:r>
    </w:p>
    <w:p>
      <w:pPr>
        <w:numPr>
          <w:ilvl w:val="0"/>
          <w:numId w:val="1014"/>
        </w:numPr>
        <w:pStyle w:val="Compact"/>
      </w:pPr>
      <w:r>
        <w:t xml:space="preserve">Students do not have to go through a lengthy and complicated download and installation process</w:t>
      </w:r>
    </w:p>
    <w:p>
      <w:pPr>
        <w:numPr>
          <w:ilvl w:val="0"/>
          <w:numId w:val="1014"/>
        </w:numPr>
        <w:pStyle w:val="Compact"/>
      </w:pPr>
      <w:r>
        <w:t xml:space="preserve">Students will use identical containers (computational environments) on the cloud environment, which prevents troubleshooting that might occur from differences in individual computers</w:t>
      </w:r>
    </w:p>
    <w:p>
      <w:pPr>
        <w:numPr>
          <w:ilvl w:val="0"/>
          <w:numId w:val="1014"/>
        </w:numPr>
        <w:pStyle w:val="Compact"/>
      </w:pPr>
      <w:r>
        <w:t xml:space="preserve">It’s far easier to keep with the most current version of our curriculum on a cloud platform that it does on local laptops; every time you load a container on the cloud any new updates will be pulled directly from our GitHub.</w:t>
      </w:r>
    </w:p>
    <w:p>
      <w:pPr>
        <w:pStyle w:val="FirstParagraph"/>
      </w:pPr>
      <w:r>
        <w:t xml:space="preserve">We have two different cloud platforms on which to run our modules,</w:t>
      </w:r>
      <w:r>
        <w:t xml:space="preserve"> </w:t>
      </w:r>
      <w:r>
        <w:rPr>
          <w:bCs/>
          <w:b/>
        </w:rPr>
        <w:t xml:space="preserve">SciServer</w:t>
      </w:r>
      <w:r>
        <w:t xml:space="preserve"> </w:t>
      </w:r>
      <w:r>
        <w:t xml:space="preserve">and</w:t>
      </w:r>
      <w:r>
        <w:t xml:space="preserve"> </w:t>
      </w:r>
      <w:r>
        <w:rPr>
          <w:bCs/>
          <w:b/>
        </w:rPr>
        <w:t xml:space="preserve">AnVIL</w:t>
      </w:r>
      <w:r>
        <w:t xml:space="preserve">. Your choice will depend on a number of factors, such as the budget for your course and whether you will work with restricted-access datasets.</w:t>
      </w:r>
    </w:p>
    <w:p>
      <w:pPr>
        <w:pStyle w:val="BodyText"/>
      </w:pPr>
      <w:r>
        <w:t xml:space="preserve">At this time, we are still piloting our modules on AnVIL. New instructors should read out to us as the</w:t>
      </w:r>
      <w:r>
        <w:t xml:space="preserve"> </w:t>
      </w:r>
      <w:hyperlink r:id="rId73">
        <w:r>
          <w:rPr>
            <w:rStyle w:val="Hyperlink"/>
          </w:rPr>
          <w:t xml:space="preserve">C-MOOR Academy Discussion Forum</w:t>
        </w:r>
      </w:hyperlink>
      <w:r>
        <w:t xml:space="preserve"> </w:t>
      </w:r>
      <w:r>
        <w:t xml:space="preserve">to determine which cloud platform is more appropriate for you and help get you access to our materials.</w:t>
      </w:r>
    </w:p>
    <w:bookmarkEnd w:id="74"/>
    <w:bookmarkStart w:id="108" w:name="sciserver"/>
    <w:p>
      <w:pPr>
        <w:pStyle w:val="Heading1"/>
      </w:pPr>
      <w:r>
        <w:rPr>
          <w:rStyle w:val="SectionNumber"/>
        </w:rPr>
        <w:t xml:space="preserve">5</w:t>
      </w:r>
      <w:r>
        <w:tab/>
      </w:r>
      <w:r>
        <w:t xml:space="preserve">SciServer</w:t>
      </w:r>
    </w:p>
    <w:bookmarkStart w:id="78" w:name="about-sciserver"/>
    <w:p>
      <w:pPr>
        <w:pStyle w:val="Heading2"/>
      </w:pPr>
      <w:r>
        <w:rPr>
          <w:rStyle w:val="SectionNumber"/>
        </w:rPr>
        <w:t xml:space="preserve">5.1</w:t>
      </w:r>
      <w:r>
        <w:tab/>
      </w:r>
      <w:r>
        <w:t xml:space="preserve">About SciServer</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p>
      <w:pPr>
        <w:pStyle w:val="BodyText"/>
      </w:pPr>
      <w:r>
        <w:drawing>
          <wp:inline>
            <wp:extent cx="5334000" cy="3000375"/>
            <wp:effectExtent b="0" l="0" r="0" t="0"/>
            <wp:docPr descr="" title="" id="76" name="Picture"/>
            <a:graphic>
              <a:graphicData uri="http://schemas.openxmlformats.org/drawingml/2006/picture">
                <pic:pic>
                  <pic:nvPicPr>
                    <pic:cNvPr descr="sciserver-about_files/figure-docx//1Q_U1qCEqpwknpOUG4gcuN_-w7ytPCtyfwCF5CGe5bAM_g344f6de1efa_0_5.png" id="77" name="Picture"/>
                    <pic:cNvPicPr>
                      <a:picLocks noChangeArrowheads="1" noChangeAspect="1"/>
                    </pic:cNvPicPr>
                  </pic:nvPicPr>
                  <pic:blipFill>
                    <a:blip r:embed="rId75"/>
                    <a:stretch>
                      <a:fillRect/>
                    </a:stretch>
                  </pic:blipFill>
                  <pic:spPr bwMode="auto">
                    <a:xfrm>
                      <a:off x="0" y="0"/>
                      <a:ext cx="5334000" cy="3000375"/>
                    </a:xfrm>
                    <a:prstGeom prst="rect">
                      <a:avLst/>
                    </a:prstGeom>
                    <a:noFill/>
                    <a:ln w="9525">
                      <a:noFill/>
                      <a:headEnd/>
                      <a:tailEnd/>
                    </a:ln>
                  </pic:spPr>
                </pic:pic>
              </a:graphicData>
            </a:graphic>
          </wp:inline>
        </w:drawing>
      </w:r>
    </w:p>
    <w:bookmarkEnd w:id="78"/>
    <w:bookmarkStart w:id="90" w:name="setup-your-sciserver-account"/>
    <w:p>
      <w:pPr>
        <w:pStyle w:val="Heading2"/>
      </w:pPr>
      <w:r>
        <w:rPr>
          <w:rStyle w:val="SectionNumber"/>
        </w:rPr>
        <w:t xml:space="preserve">5.2</w:t>
      </w:r>
      <w:r>
        <w:tab/>
      </w:r>
      <w:r>
        <w:t xml:space="preserve">Setup your SciServer account</w:t>
      </w:r>
    </w:p>
    <w:bookmarkStart w:id="79" w:name="purpose"/>
    <w:p>
      <w:pPr>
        <w:pStyle w:val="Heading4"/>
      </w:pPr>
      <w:r>
        <w:rPr>
          <w:rStyle w:val="SectionNumber"/>
        </w:rPr>
        <w:t xml:space="preserve">5.2.0.1</w:t>
      </w:r>
      <w:r>
        <w:tab/>
      </w:r>
      <w:r>
        <w:t xml:space="preserve">Purpose</w:t>
      </w:r>
    </w:p>
    <w:p>
      <w:pPr>
        <w:pStyle w:val="FirstParagraph"/>
      </w:pPr>
      <w:r>
        <w:t xml:space="preserve">Students will create a SciServer account and be added to a SciServer by their instructor, which gives them access to the images and data needed to access learning modules and complete their research project.</w:t>
      </w:r>
      <w:r>
        <w:t xml:space="preserve"> </w:t>
      </w:r>
      <w:r>
        <w:rPr>
          <w:bCs/>
          <w:b/>
        </w:rPr>
        <w:t xml:space="preserve">The steps in this section only need to be completed once.</w:t>
      </w:r>
    </w:p>
    <w:bookmarkEnd w:id="79"/>
    <w:bookmarkStart w:id="82" w:name="learning-objectives"/>
    <w:p>
      <w:pPr>
        <w:pStyle w:val="Heading4"/>
      </w:pPr>
      <w:r>
        <w:rPr>
          <w:rStyle w:val="SectionNumber"/>
        </w:rPr>
        <w:t xml:space="preserve">5.2.0.2</w:t>
      </w:r>
      <w:r>
        <w:tab/>
      </w:r>
      <w:r>
        <w:t xml:space="preserve">Learning Objectives</w:t>
      </w:r>
    </w:p>
    <w:p>
      <w:pPr>
        <w:numPr>
          <w:ilvl w:val="0"/>
          <w:numId w:val="1015"/>
        </w:numPr>
        <w:pStyle w:val="Compact"/>
      </w:pPr>
      <w:r>
        <w:t xml:space="preserve">Create an account on SciServer</w:t>
      </w:r>
    </w:p>
    <w:p>
      <w:pPr>
        <w:numPr>
          <w:ilvl w:val="0"/>
          <w:numId w:val="1015"/>
        </w:numPr>
        <w:pStyle w:val="Compact"/>
      </w:pPr>
      <w:r>
        <w:t xml:space="preserve">Confirm your email address</w:t>
      </w:r>
    </w:p>
    <w:p>
      <w:pPr>
        <w:numPr>
          <w:ilvl w:val="0"/>
          <w:numId w:val="1015"/>
        </w:numPr>
        <w:pStyle w:val="Compact"/>
      </w:pPr>
      <w:r>
        <w:t xml:space="preserve">Share your username with your instructor</w:t>
      </w:r>
    </w:p>
    <w:p>
      <w:pPr>
        <w:numPr>
          <w:ilvl w:val="0"/>
          <w:numId w:val="1015"/>
        </w:numPr>
        <w:pStyle w:val="Compact"/>
      </w:pPr>
      <w:r>
        <w:t xml:space="preserve">Confirm your access to class materials on SciServer</w:t>
      </w:r>
    </w:p>
    <w:p>
      <w:pPr>
        <w:pStyle w:val="FirstParagraph"/>
      </w:pPr>
      <w:r>
        <w:t xml:space="preserve">This video (</w:t>
      </w:r>
      <w:hyperlink r:id="rId80">
        <w:r>
          <w:rPr>
            <w:rStyle w:val="Hyperlink"/>
          </w:rPr>
          <w:t xml:space="preserve">video</w:t>
        </w:r>
      </w:hyperlink>
      <w:r>
        <w:t xml:space="preserve">)(</w:t>
      </w:r>
      <w:hyperlink r:id="rId81">
        <w:r>
          <w:rPr>
            <w:rStyle w:val="Hyperlink"/>
          </w:rPr>
          <w:t xml:space="preserve">slides</w:t>
        </w:r>
      </w:hyperlink>
      <w:r>
        <w:t xml:space="preserve">) shows you how to create a SciServer account. You can follow along with the video, or follow the steps below.</w:t>
      </w:r>
    </w:p>
    <w:bookmarkEnd w:id="82"/>
    <w:bookmarkStart w:id="83" w:name="create-a-sciserver-account"/>
    <w:p>
      <w:pPr>
        <w:pStyle w:val="Heading3"/>
      </w:pPr>
      <w:r>
        <w:rPr>
          <w:rStyle w:val="SectionNumber"/>
        </w:rPr>
        <w:t xml:space="preserve">5.2.1</w:t>
      </w:r>
      <w:r>
        <w:tab/>
      </w:r>
      <w:r>
        <w:t xml:space="preserve">Create a SciServer account</w:t>
      </w:r>
    </w:p>
    <w:p>
      <w:pPr>
        <w:numPr>
          <w:ilvl w:val="0"/>
          <w:numId w:val="1016"/>
        </w:numPr>
        <w:pStyle w:val="Compact"/>
      </w:pPr>
      <w:r>
        <w:t xml:space="preserve">Open</w:t>
      </w:r>
      <w:r>
        <w:t xml:space="preserve"> </w:t>
      </w:r>
      <w:hyperlink r:id="rId66">
        <w:r>
          <w:rPr>
            <w:rStyle w:val="Hyperlink"/>
          </w:rPr>
          <w:t xml:space="preserve">sciserver.org</w:t>
        </w:r>
      </w:hyperlink>
      <w:r>
        <w:t xml:space="preserve"> </w:t>
      </w:r>
      <w:r>
        <w:t xml:space="preserve">in a web browser</w:t>
      </w:r>
    </w:p>
    <w:p>
      <w:pPr>
        <w:numPr>
          <w:ilvl w:val="1"/>
          <w:numId w:val="1017"/>
        </w:numPr>
        <w:pStyle w:val="Compact"/>
      </w:pPr>
      <w:r>
        <w:t xml:space="preserve">It is a good idea to bookmark this page so that you can easily access it throughout the course.</w:t>
      </w:r>
    </w:p>
    <w:p>
      <w:pPr>
        <w:numPr>
          <w:ilvl w:val="0"/>
          <w:numId w:val="1016"/>
        </w:numPr>
        <w:pStyle w:val="Compact"/>
      </w:pPr>
      <w:r>
        <w:t xml:space="preserve">Click</w:t>
      </w:r>
      <w:r>
        <w:t xml:space="preserve"> </w:t>
      </w:r>
      <w:r>
        <w:t xml:space="preserve">“</w:t>
      </w:r>
      <w:r>
        <w:t xml:space="preserve">Login to SciServer</w:t>
      </w:r>
      <w:r>
        <w:t xml:space="preserve">”</w:t>
      </w:r>
    </w:p>
    <w:p>
      <w:pPr>
        <w:numPr>
          <w:ilvl w:val="0"/>
          <w:numId w:val="1016"/>
        </w:numPr>
        <w:pStyle w:val="Compact"/>
      </w:pPr>
      <w:r>
        <w:t xml:space="preserve">Click</w:t>
      </w:r>
      <w:r>
        <w:t xml:space="preserve"> </w:t>
      </w:r>
      <w:r>
        <w:t xml:space="preserve">“</w:t>
      </w:r>
      <w:r>
        <w:t xml:space="preserve">Create a new account</w:t>
      </w:r>
      <w:r>
        <w:t xml:space="preserve">”</w:t>
      </w:r>
    </w:p>
    <w:p>
      <w:pPr>
        <w:numPr>
          <w:ilvl w:val="0"/>
          <w:numId w:val="1016"/>
        </w:numPr>
        <w:pStyle w:val="Compact"/>
      </w:pPr>
      <w:r>
        <w:t xml:space="preserve">Enter a User name, Email, etc. and click</w:t>
      </w:r>
      <w:r>
        <w:t xml:space="preserve"> </w:t>
      </w:r>
      <w:r>
        <w:t xml:space="preserve">“</w:t>
      </w:r>
      <w:r>
        <w:t xml:space="preserve">Create account</w:t>
      </w:r>
      <w:r>
        <w:t xml:space="preserve">”</w:t>
      </w:r>
    </w:p>
    <w:p>
      <w:pPr>
        <w:numPr>
          <w:ilvl w:val="1"/>
          <w:numId w:val="1018"/>
        </w:numPr>
        <w:pStyle w:val="Compact"/>
      </w:pPr>
      <w:r>
        <w:t xml:space="preserve">Note that you cannot change your username once you have made your account</w:t>
      </w:r>
    </w:p>
    <w:bookmarkEnd w:id="83"/>
    <w:bookmarkStart w:id="84" w:name="confirm-your-email-address"/>
    <w:p>
      <w:pPr>
        <w:pStyle w:val="Heading3"/>
      </w:pPr>
      <w:r>
        <w:rPr>
          <w:rStyle w:val="SectionNumber"/>
        </w:rPr>
        <w:t xml:space="preserve">5.2.2</w:t>
      </w:r>
      <w:r>
        <w:tab/>
      </w:r>
      <w:r>
        <w:t xml:space="preserve">Confirm your email address</w:t>
      </w:r>
    </w:p>
    <w:p>
      <w:pPr>
        <w:numPr>
          <w:ilvl w:val="0"/>
          <w:numId w:val="1019"/>
        </w:numPr>
        <w:pStyle w:val="Compact"/>
      </w:pPr>
      <w:r>
        <w:rPr>
          <w:bCs/>
          <w:b/>
        </w:rPr>
        <w:t xml:space="preserve">Important!</w:t>
      </w:r>
      <w:r>
        <w:t xml:space="preserve">: Click the verification link in your email inbox.</w:t>
      </w:r>
    </w:p>
    <w:p>
      <w:pPr>
        <w:numPr>
          <w:ilvl w:val="1"/>
          <w:numId w:val="1020"/>
        </w:numPr>
        <w:pStyle w:val="Compact"/>
      </w:pPr>
      <w:r>
        <w:t xml:space="preserve">If you do not verify your account you will get locked out and will need to contact your instructor to unlock your account.</w:t>
      </w:r>
    </w:p>
    <w:p>
      <w:pPr>
        <w:numPr>
          <w:ilvl w:val="1"/>
          <w:numId w:val="1020"/>
        </w:numPr>
        <w:pStyle w:val="Compact"/>
      </w:pPr>
      <w:r>
        <w:t xml:space="preserve">If you do not see an email, try checking your spam folder.</w:t>
      </w:r>
    </w:p>
    <w:p>
      <w:pPr>
        <w:numPr>
          <w:ilvl w:val="0"/>
          <w:numId w:val="1019"/>
        </w:numPr>
        <w:pStyle w:val="Compact"/>
      </w:pPr>
      <w:r>
        <w:t xml:space="preserve">After clicking the verification link, confirm that your username appears in the upper right hand corner.</w:t>
      </w:r>
    </w:p>
    <w:bookmarkEnd w:id="84"/>
    <w:bookmarkStart w:id="85" w:name="share-your-username-with-your-instructor"/>
    <w:p>
      <w:pPr>
        <w:pStyle w:val="Heading3"/>
      </w:pPr>
      <w:r>
        <w:rPr>
          <w:rStyle w:val="SectionNumber"/>
        </w:rPr>
        <w:t xml:space="preserve">5.2.3</w:t>
      </w:r>
      <w:r>
        <w:tab/>
      </w:r>
      <w:r>
        <w:t xml:space="preserve">Share your username with your instructor</w:t>
      </w:r>
    </w:p>
    <w:p>
      <w:pPr>
        <w:pStyle w:val="FirstParagraph"/>
      </w:pPr>
      <w:r>
        <w:t xml:space="preserve">Refer to your instructor on how to share your username with them. Your instructor will add you to a group that will give you access to all the necessary resources.</w:t>
      </w:r>
    </w:p>
    <w:p>
      <w:pPr>
        <w:numPr>
          <w:ilvl w:val="0"/>
          <w:numId w:val="1021"/>
        </w:numPr>
        <w:pStyle w:val="Compact"/>
      </w:pPr>
      <w:r>
        <w:t xml:space="preserve">Share your username with you instructor and await invitation to the SciServer group</w:t>
      </w:r>
    </w:p>
    <w:bookmarkEnd w:id="85"/>
    <w:bookmarkStart w:id="89" w:name="Xb75745869586f78d0bf3739617b7a53df90ecac"/>
    <w:p>
      <w:pPr>
        <w:pStyle w:val="Heading3"/>
      </w:pPr>
      <w:r>
        <w:rPr>
          <w:rStyle w:val="SectionNumber"/>
        </w:rPr>
        <w:t xml:space="preserve">5.2.4</w:t>
      </w:r>
      <w:r>
        <w:tab/>
      </w:r>
      <w:r>
        <w:t xml:space="preserve">Accept the invitation to join a SciServer group</w:t>
      </w:r>
    </w:p>
    <w:p>
      <w:pPr>
        <w:pStyle w:val="FirstParagraph"/>
      </w:pPr>
      <w:r>
        <w:t xml:space="preserve">This video (</w:t>
      </w:r>
      <w:hyperlink r:id="rId86">
        <w:r>
          <w:rPr>
            <w:rStyle w:val="Hyperlink"/>
          </w:rPr>
          <w:t xml:space="preserve">video</w:t>
        </w:r>
      </w:hyperlink>
      <w:r>
        <w:t xml:space="preserve">)(</w:t>
      </w:r>
      <w:hyperlink r:id="rId87">
        <w:r>
          <w:rPr>
            <w:rStyle w:val="Hyperlink"/>
          </w:rPr>
          <w:t xml:space="preserve">slides</w:t>
        </w:r>
      </w:hyperlink>
      <w:r>
        <w:t xml:space="preserve">) shows you how to join a SciServer group. You can follow along with the video, or follow the steps below.</w:t>
      </w:r>
    </w:p>
    <w:p>
      <w:pPr>
        <w:numPr>
          <w:ilvl w:val="0"/>
          <w:numId w:val="1022"/>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0"/>
          <w:numId w:val="1022"/>
        </w:numPr>
        <w:pStyle w:val="Compact"/>
      </w:pPr>
      <w:r>
        <w:t xml:space="preserve">Click</w:t>
      </w:r>
      <w:r>
        <w:t xml:space="preserve"> </w:t>
      </w:r>
      <w:r>
        <w:t xml:space="preserve">“</w:t>
      </w:r>
      <w:r>
        <w:t xml:space="preserve">Groups</w:t>
      </w:r>
      <w:r>
        <w:t xml:space="preserve">”</w:t>
      </w:r>
    </w:p>
    <w:p>
      <w:pPr>
        <w:numPr>
          <w:ilvl w:val="0"/>
          <w:numId w:val="1022"/>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23"/>
        </w:numPr>
        <w:pStyle w:val="Compact"/>
      </w:pPr>
      <w:r>
        <w:t xml:space="preserve">Your instructor must have your username to invite you to the group. If you do not see an invitation, contact your instructor with your SciServer username.</w:t>
      </w:r>
    </w:p>
    <w:p>
      <w:pPr>
        <w:numPr>
          <w:ilvl w:val="0"/>
          <w:numId w:val="1022"/>
        </w:numPr>
        <w:pStyle w:val="Compact"/>
      </w:pPr>
      <w:r>
        <w:t xml:space="preserve">Confirm that you can access course data</w:t>
      </w:r>
    </w:p>
    <w:p>
      <w:pPr>
        <w:numPr>
          <w:ilvl w:val="1"/>
          <w:numId w:val="1024"/>
        </w:numPr>
        <w:pStyle w:val="Compact"/>
      </w:pPr>
      <w:r>
        <w:t xml:space="preserve">On the top menu bar, click</w:t>
      </w:r>
      <w:r>
        <w:t xml:space="preserve"> </w:t>
      </w:r>
      <w:r>
        <w:t xml:space="preserve">“</w:t>
      </w:r>
      <w:r>
        <w:t xml:space="preserve">Files</w:t>
      </w:r>
      <w:r>
        <w:t xml:space="preserve">”</w:t>
      </w:r>
    </w:p>
    <w:p>
      <w:pPr>
        <w:numPr>
          <w:ilvl w:val="1"/>
          <w:numId w:val="1024"/>
        </w:numPr>
        <w:pStyle w:val="Compact"/>
      </w:pPr>
      <w:r>
        <w:t xml:space="preserve">On the left-hand menu, click</w:t>
      </w:r>
      <w:r>
        <w:t xml:space="preserve"> </w:t>
      </w:r>
      <w:r>
        <w:t xml:space="preserve">“</w:t>
      </w:r>
      <w:r>
        <w:t xml:space="preserve">Data Volumes</w:t>
      </w:r>
      <w:r>
        <w:t xml:space="preserve">”</w:t>
      </w:r>
    </w:p>
    <w:p>
      <w:pPr>
        <w:numPr>
          <w:ilvl w:val="1"/>
          <w:numId w:val="1024"/>
        </w:numPr>
        <w:pStyle w:val="Compact"/>
      </w:pPr>
      <w:r>
        <w:t xml:space="preserve">Confirm that you see</w:t>
      </w:r>
      <w:r>
        <w:t xml:space="preserve"> </w:t>
      </w:r>
      <w:r>
        <w:t xml:space="preserve">“</w:t>
      </w:r>
      <w:r>
        <w:t xml:space="preserve">C-MOOR-Data</w:t>
      </w:r>
      <w:r>
        <w:t xml:space="preserve">”</w:t>
      </w:r>
    </w:p>
    <w:p>
      <w:pPr>
        <w:numPr>
          <w:ilvl w:val="0"/>
          <w:numId w:val="1022"/>
        </w:numPr>
        <w:pStyle w:val="Compact"/>
      </w:pPr>
      <w:r>
        <w:t xml:space="preserve">Confirm that you can access course computing resources</w:t>
      </w:r>
    </w:p>
    <w:p>
      <w:pPr>
        <w:numPr>
          <w:ilvl w:val="1"/>
          <w:numId w:val="1025"/>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25"/>
        </w:numPr>
        <w:pStyle w:val="Compact"/>
      </w:pPr>
      <w:r>
        <w:t xml:space="preserve">Scroll down to the second set of boxes and click</w:t>
      </w:r>
      <w:r>
        <w:t xml:space="preserve"> </w:t>
      </w:r>
      <w:r>
        <w:t xml:space="preserve">“</w:t>
      </w:r>
      <w:r>
        <w:t xml:space="preserve">Compute</w:t>
      </w:r>
      <w:r>
        <w:t xml:space="preserve">”</w:t>
      </w:r>
    </w:p>
    <w:p>
      <w:pPr>
        <w:numPr>
          <w:ilvl w:val="1"/>
          <w:numId w:val="1025"/>
        </w:numPr>
        <w:pStyle w:val="Compact"/>
      </w:pPr>
      <w:r>
        <w:t xml:space="preserve">Click</w:t>
      </w:r>
      <w:r>
        <w:t xml:space="preserve"> </w:t>
      </w:r>
      <w:r>
        <w:t xml:space="preserve">“</w:t>
      </w:r>
      <w:r>
        <w:t xml:space="preserve">Create container</w:t>
      </w:r>
      <w:r>
        <w:t xml:space="preserve">”</w:t>
      </w:r>
    </w:p>
    <w:p>
      <w:pPr>
        <w:numPr>
          <w:ilvl w:val="1"/>
          <w:numId w:val="1025"/>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25"/>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25"/>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Start w:id="88" w:name="troubleshooting"/>
    <w:p>
      <w:pPr>
        <w:pStyle w:val="Heading4"/>
      </w:pPr>
      <w:r>
        <w:rPr>
          <w:rStyle w:val="SectionNumber"/>
        </w:rPr>
        <w:t xml:space="preserve">5.2.4.1</w:t>
      </w:r>
      <w:r>
        <w:tab/>
      </w:r>
      <w:r>
        <w:t xml:space="preserve">Troubleshooting</w:t>
      </w:r>
    </w:p>
    <w:p>
      <w:pPr>
        <w:numPr>
          <w:ilvl w:val="0"/>
          <w:numId w:val="1026"/>
        </w:numPr>
        <w:pStyle w:val="Compact"/>
      </w:pPr>
      <w:r>
        <w:t xml:space="preserve">Some students have had issues signing up or logging into SciServer but were successful at a later date/time. We suggest giving students time to sign up well in advance of their first module on SciServer in case of technical difficulties.</w:t>
      </w:r>
    </w:p>
    <w:bookmarkEnd w:id="88"/>
    <w:bookmarkEnd w:id="89"/>
    <w:bookmarkEnd w:id="90"/>
    <w:bookmarkStart w:id="107" w:name="running-modules-on-sciserver"/>
    <w:p>
      <w:pPr>
        <w:pStyle w:val="Heading2"/>
      </w:pPr>
      <w:r>
        <w:rPr>
          <w:rStyle w:val="SectionNumber"/>
        </w:rPr>
        <w:t xml:space="preserve">5.3</w:t>
      </w:r>
      <w:r>
        <w:tab/>
      </w:r>
      <w:r>
        <w:t xml:space="preserve">Running modules on SciServer</w:t>
      </w:r>
    </w:p>
    <w:bookmarkStart w:id="91" w:name="purpose-1"/>
    <w:p>
      <w:pPr>
        <w:pStyle w:val="Heading4"/>
      </w:pPr>
      <w:r>
        <w:rPr>
          <w:rStyle w:val="SectionNumber"/>
        </w:rPr>
        <w:t xml:space="preserve">5.3.0.1</w:t>
      </w:r>
      <w:r>
        <w:tab/>
      </w:r>
      <w:r>
        <w:t xml:space="preserve">Purpose</w:t>
      </w:r>
    </w:p>
    <w:p>
      <w:pPr>
        <w:pStyle w:val="FirstParagraph"/>
      </w:pPr>
      <w:r>
        <w:t xml:space="preserve">The purpose of this assignment is to learn how to access the modules for your course on SciServer and properly close out your session when finished.</w:t>
      </w:r>
    </w:p>
    <w:bookmarkEnd w:id="91"/>
    <w:bookmarkStart w:id="92" w:name="learning-objectives-1"/>
    <w:p>
      <w:pPr>
        <w:pStyle w:val="Heading4"/>
      </w:pPr>
      <w:r>
        <w:rPr>
          <w:rStyle w:val="SectionNumber"/>
        </w:rPr>
        <w:t xml:space="preserve">5.3.0.2</w:t>
      </w:r>
      <w:r>
        <w:tab/>
      </w:r>
      <w:r>
        <w:t xml:space="preserve">Learning Objectives</w:t>
      </w:r>
    </w:p>
    <w:p>
      <w:pPr>
        <w:numPr>
          <w:ilvl w:val="0"/>
          <w:numId w:val="1027"/>
        </w:numPr>
        <w:pStyle w:val="Compact"/>
      </w:pPr>
      <w:r>
        <w:t xml:space="preserve">Start up a C-MOOR LearnR compute container</w:t>
      </w:r>
    </w:p>
    <w:p>
      <w:pPr>
        <w:numPr>
          <w:ilvl w:val="0"/>
          <w:numId w:val="1027"/>
        </w:numPr>
        <w:pStyle w:val="Compact"/>
      </w:pPr>
      <w:r>
        <w:t xml:space="preserve">Access a C-MOOR module</w:t>
      </w:r>
    </w:p>
    <w:p>
      <w:pPr>
        <w:numPr>
          <w:ilvl w:val="0"/>
          <w:numId w:val="1027"/>
        </w:numPr>
        <w:pStyle w:val="Compact"/>
      </w:pPr>
      <w:r>
        <w:t xml:space="preserve">Delete your C-MOOR LearnR compute container when finished</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92"/>
    <w:bookmarkStart w:id="101" w:name="X2c7a087c35483d9d7d04a018181c967f1b49c2c"/>
    <w:p>
      <w:pPr>
        <w:pStyle w:val="Heading3"/>
      </w:pPr>
      <w:r>
        <w:rPr>
          <w:rStyle w:val="SectionNumber"/>
        </w:rPr>
        <w:t xml:space="preserve">5.3.1</w:t>
      </w:r>
      <w:r>
        <w:tab/>
      </w:r>
      <w:r>
        <w:t xml:space="preserve">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93">
        <w:r>
          <w:rPr>
            <w:rStyle w:val="Hyperlink"/>
          </w:rPr>
          <w:t xml:space="preserve">video</w:t>
        </w:r>
      </w:hyperlink>
      <w:r>
        <w:t xml:space="preserve">)(</w:t>
      </w:r>
      <w:hyperlink r:id="rId94">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29"/>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8"/>
        </w:numPr>
        <w:pStyle w:val="Compact"/>
      </w:pPr>
      <w:r>
        <w:t xml:space="preserve">Scroll down to the second set of boxes and click</w:t>
      </w:r>
      <w:r>
        <w:t xml:space="preserve"> </w:t>
      </w:r>
      <w:r>
        <w:t xml:space="preserve">“</w:t>
      </w:r>
      <w:r>
        <w:t xml:space="preserve">Compute</w:t>
      </w:r>
      <w:r>
        <w:t xml:space="preserve">”</w:t>
      </w:r>
    </w:p>
    <w:p>
      <w:pPr>
        <w:numPr>
          <w:ilvl w:val="0"/>
          <w:numId w:val="1028"/>
        </w:numPr>
        <w:pStyle w:val="Compact"/>
      </w:pPr>
      <w:r>
        <w:t xml:space="preserve">Click</w:t>
      </w:r>
      <w:r>
        <w:t xml:space="preserve"> </w:t>
      </w:r>
      <w:r>
        <w:t xml:space="preserve">“</w:t>
      </w:r>
      <w:r>
        <w:t xml:space="preserve">Create container</w:t>
      </w:r>
      <w:r>
        <w:t xml:space="preserve">”</w:t>
      </w:r>
    </w:p>
    <w:p>
      <w:pPr>
        <w:numPr>
          <w:ilvl w:val="1"/>
          <w:numId w:val="1030"/>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30"/>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 the</w:t>
      </w:r>
      <w:r>
        <w:t xml:space="preserve"> </w:t>
      </w:r>
      <w:r>
        <w:rPr>
          <w:bCs/>
          <w:b/>
        </w:rPr>
        <w:t xml:space="preserve">C-MOOR LearnR that your instructor chooses</w:t>
      </w:r>
    </w:p>
    <w:p>
      <w:pPr>
        <w:numPr>
          <w:ilvl w:val="1"/>
          <w:numId w:val="1030"/>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30"/>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8"/>
        </w:numPr>
        <w:pStyle w:val="Compact"/>
      </w:pPr>
      <w:r>
        <w:t xml:space="preserve">You should now see a new entry in your list of containers</w:t>
      </w:r>
    </w:p>
    <w:p>
      <w:pPr>
        <w:numPr>
          <w:ilvl w:val="1"/>
          <w:numId w:val="1031"/>
        </w:numPr>
        <w:pStyle w:val="Compact"/>
      </w:pPr>
      <w:r>
        <w:t xml:space="preserve">“</w:t>
      </w:r>
      <w:r>
        <w:t xml:space="preserve">Created At</w:t>
      </w:r>
      <w:r>
        <w:t xml:space="preserve">”</w:t>
      </w:r>
      <w:r>
        <w:t xml:space="preserve"> </w:t>
      </w:r>
      <w:r>
        <w:t xml:space="preserve">should be a few moments ago.</w:t>
      </w:r>
    </w:p>
    <w:p>
      <w:pPr>
        <w:numPr>
          <w:ilvl w:val="1"/>
          <w:numId w:val="1031"/>
        </w:numPr>
        <w:pStyle w:val="Compact"/>
      </w:pPr>
      <w:r>
        <w:t xml:space="preserve">“</w:t>
      </w:r>
      <w:r>
        <w:t xml:space="preserve">Name</w:t>
      </w:r>
      <w:r>
        <w:t xml:space="preserve">”</w:t>
      </w:r>
      <w:r>
        <w:t xml:space="preserve"> </w:t>
      </w:r>
      <w:r>
        <w:t xml:space="preserve">should be the name you chose</w:t>
      </w:r>
    </w:p>
    <w:p>
      <w:pPr>
        <w:numPr>
          <w:ilvl w:val="1"/>
          <w:numId w:val="1031"/>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8"/>
        </w:numPr>
        <w:pStyle w:val="Compact"/>
      </w:pPr>
      <w:r>
        <w:t xml:space="preserve">Start your C-MOOR LearnR container by clicking on its name (whatever name you chose when you created it). This will open in a new tab.</w:t>
      </w:r>
    </w:p>
    <w:p>
      <w:pPr>
        <w:numPr>
          <w:ilvl w:val="1"/>
          <w:numId w:val="1032"/>
        </w:numPr>
        <w:pStyle w:val="Compact"/>
      </w:pPr>
      <w:r>
        <w:t xml:space="preserve">You should see a list of tutorials, organized by topic.</w:t>
      </w:r>
    </w:p>
    <w:p>
      <w:pPr>
        <w:pStyle w:val="FirstParagraph"/>
      </w:pPr>
      <w:r>
        <w:drawing>
          <wp:inline>
            <wp:extent cx="5334000" cy="3000375"/>
            <wp:effectExtent b="0" l="0" r="0" t="0"/>
            <wp:docPr descr="" title="" id="96" name="Picture"/>
            <a:graphic>
              <a:graphicData uri="http://schemas.openxmlformats.org/drawingml/2006/picture">
                <pic:pic>
                  <pic:nvPicPr>
                    <pic:cNvPr descr="sciserver-run-module_files/figure-docx//1JxgfeibZU1HssPKzz_kItZImDA23ZNq1m2zpQDCx3Q4_g344f6de1efa_0_40.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3"/>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p>
    <w:p>
      <w:pPr>
        <w:pStyle w:val="FirstParagraph"/>
      </w:pPr>
      <w:r>
        <w:drawing>
          <wp:inline>
            <wp:extent cx="5334000" cy="3000375"/>
            <wp:effectExtent b="0" l="0" r="0" t="0"/>
            <wp:docPr descr="" title="" id="99" name="Picture"/>
            <a:graphic>
              <a:graphicData uri="http://schemas.openxmlformats.org/drawingml/2006/picture">
                <pic:pic>
                  <pic:nvPicPr>
                    <pic:cNvPr descr="sciserver-run-module_files/figure-docx//1JxgfeibZU1HssPKzz_kItZImDA23ZNq1m2zpQDCx3Q4_g344f6de1efa_0_5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34"/>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End w:id="101"/>
    <w:bookmarkStart w:id="102" w:name="opening-c-moor-modules"/>
    <w:p>
      <w:pPr>
        <w:pStyle w:val="Heading3"/>
      </w:pPr>
      <w:r>
        <w:rPr>
          <w:rStyle w:val="SectionNumber"/>
        </w:rPr>
        <w:t xml:space="preserve">5.3.2</w:t>
      </w:r>
      <w:r>
        <w:tab/>
      </w:r>
      <w:r>
        <w:t xml:space="preserve">Opening C-MOOR modules</w:t>
      </w:r>
    </w:p>
    <w:p>
      <w:pPr>
        <w:numPr>
          <w:ilvl w:val="0"/>
          <w:numId w:val="1035"/>
        </w:numPr>
        <w:pStyle w:val="Compact"/>
      </w:pPr>
      <w:r>
        <w:t xml:space="preserve">If you’re not there already, go to the SciServer compute page and start up the C-MOOR LearnR container.</w:t>
      </w:r>
    </w:p>
    <w:p>
      <w:pPr>
        <w:numPr>
          <w:ilvl w:val="1"/>
          <w:numId w:val="1036"/>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6"/>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6"/>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36"/>
        </w:numPr>
        <w:pStyle w:val="Compact"/>
      </w:pPr>
      <w:r>
        <w:t xml:space="preserve">Start your C-MOOR LearnR container by clicking on its name.</w:t>
      </w:r>
    </w:p>
    <w:p>
      <w:pPr>
        <w:numPr>
          <w:ilvl w:val="0"/>
          <w:numId w:val="1035"/>
        </w:numPr>
        <w:pStyle w:val="Compact"/>
      </w:pPr>
      <w:r>
        <w:t xml:space="preserve">Click on the module chosen by your instructor. The tutorial will open in a new tab.</w:t>
      </w:r>
    </w:p>
    <w:p>
      <w:pPr>
        <w:numPr>
          <w:ilvl w:val="0"/>
          <w:numId w:val="1035"/>
        </w:numPr>
        <w:pStyle w:val="Compact"/>
      </w:pPr>
      <w:r>
        <w:t xml:space="preserve">Complete the tutorial.</w:t>
      </w:r>
    </w:p>
    <w:bookmarkEnd w:id="102"/>
    <w:bookmarkStart w:id="106" w:name="Xe94b27ae2a879111c4fad30bea4fb2e46adfcd9"/>
    <w:p>
      <w:pPr>
        <w:pStyle w:val="Heading3"/>
      </w:pPr>
      <w:r>
        <w:rPr>
          <w:rStyle w:val="SectionNumber"/>
        </w:rPr>
        <w:t xml:space="preserve">5.3.3</w:t>
      </w:r>
      <w:r>
        <w:tab/>
      </w:r>
      <w:r>
        <w:t xml:space="preserve">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37"/>
        </w:numPr>
        <w:pStyle w:val="Compact"/>
      </w:pPr>
      <w:r>
        <w:t xml:space="preserve">If you’re not there already, go to the SciServer compute page.</w:t>
      </w:r>
    </w:p>
    <w:p>
      <w:pPr>
        <w:numPr>
          <w:ilvl w:val="1"/>
          <w:numId w:val="1038"/>
        </w:numPr>
        <w:pStyle w:val="Compact"/>
      </w:pPr>
      <w:r>
        <w:t xml:space="preserve">Open</w:t>
      </w:r>
      <w:r>
        <w:t xml:space="preserve"> </w:t>
      </w:r>
      <w:hyperlink r:id="rId66">
        <w:r>
          <w:rPr>
            <w:rStyle w:val="Hyperlink"/>
          </w:rPr>
          <w:t xml:space="preserve">sciserver.org</w:t>
        </w:r>
      </w:hyperlink>
      <w:r>
        <w:t xml:space="preserve"> </w:t>
      </w:r>
      <w:r>
        <w:t xml:space="preserve">in a web browser and log in to your account.</w:t>
      </w:r>
    </w:p>
    <w:p>
      <w:pPr>
        <w:numPr>
          <w:ilvl w:val="1"/>
          <w:numId w:val="1038"/>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8"/>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37"/>
        </w:numPr>
        <w:pStyle w:val="Compact"/>
      </w:pPr>
      <w:r>
        <w:t xml:space="preserve">Find the container you want to delete.</w:t>
      </w:r>
    </w:p>
    <w:p>
      <w:pPr>
        <w:numPr>
          <w:ilvl w:val="0"/>
          <w:numId w:val="1037"/>
        </w:numPr>
        <w:pStyle w:val="Compact"/>
      </w:pPr>
      <w:r>
        <w:t xml:space="preserve">Click on the red</w:t>
      </w:r>
      <w:r>
        <w:t xml:space="preserve"> </w:t>
      </w:r>
      <w:r>
        <w:t xml:space="preserve">“</w:t>
      </w:r>
      <w:r>
        <w:t xml:space="preserve">X</w:t>
      </w:r>
      <w:r>
        <w:t xml:space="preserve">”</w:t>
      </w:r>
      <w:r>
        <w:t xml:space="preserve"> </w:t>
      </w:r>
      <w:r>
        <w:t xml:space="preserve">in the last column.</w:t>
      </w:r>
    </w:p>
    <w:p>
      <w:pPr>
        <w:pStyle w:val="FirstParagraph"/>
      </w:pPr>
      <w:r>
        <w:drawing>
          <wp:inline>
            <wp:extent cx="5334000" cy="3000375"/>
            <wp:effectExtent b="0" l="0" r="0" t="0"/>
            <wp:docPr descr="" title="" id="104" name="Picture"/>
            <a:graphic>
              <a:graphicData uri="http://schemas.openxmlformats.org/drawingml/2006/picture">
                <pic:pic>
                  <pic:nvPicPr>
                    <pic:cNvPr descr="sciserver-run-module_files/figure-docx//1JxgfeibZU1HssPKzz_kItZImDA23ZNq1m2zpQDCx3Q4_g344f6de1efa_0_45.png" id="105" name="Picture"/>
                    <pic:cNvPicPr>
                      <a:picLocks noChangeArrowheads="1" noChangeAspect="1"/>
                    </pic:cNvPicPr>
                  </pic:nvPicPr>
                  <pic:blipFill>
                    <a:blip r:embed="rId103"/>
                    <a:stretch>
                      <a:fillRect/>
                    </a:stretch>
                  </pic:blipFill>
                  <pic:spPr bwMode="auto">
                    <a:xfrm>
                      <a:off x="0" y="0"/>
                      <a:ext cx="5334000" cy="3000375"/>
                    </a:xfrm>
                    <a:prstGeom prst="rect">
                      <a:avLst/>
                    </a:prstGeom>
                    <a:noFill/>
                    <a:ln w="9525">
                      <a:noFill/>
                      <a:headEnd/>
                      <a:tailEnd/>
                    </a:ln>
                  </pic:spPr>
                </pic:pic>
              </a:graphicData>
            </a:graphic>
          </wp:inline>
        </w:drawing>
      </w:r>
    </w:p>
    <w:bookmarkEnd w:id="106"/>
    <w:bookmarkEnd w:id="107"/>
    <w:bookmarkEnd w:id="108"/>
    <w:bookmarkStart w:id="188" w:name="anvil"/>
    <w:p>
      <w:pPr>
        <w:pStyle w:val="Heading1"/>
      </w:pPr>
      <w:r>
        <w:rPr>
          <w:rStyle w:val="SectionNumber"/>
        </w:rPr>
        <w:t xml:space="preserve">6</w:t>
      </w:r>
      <w:r>
        <w:tab/>
      </w:r>
      <w:r>
        <w:t xml:space="preserve">AnVIL</w:t>
      </w:r>
    </w:p>
    <w:bookmarkStart w:id="109" w:name="about-anvil"/>
    <w:p>
      <w:pPr>
        <w:pStyle w:val="Heading2"/>
      </w:pPr>
      <w:r>
        <w:rPr>
          <w:rStyle w:val="SectionNumber"/>
        </w:rPr>
        <w:t xml:space="preserve">6.1</w:t>
      </w:r>
      <w:r>
        <w:tab/>
      </w:r>
      <w:r>
        <w:t xml:space="preserve">About AnVIL</w:t>
      </w:r>
    </w:p>
    <w:p>
      <w:pPr>
        <w:pStyle w:val="FirstParagraph"/>
      </w:pPr>
      <w:r>
        <w:t xml:space="preserve">AnVIL (The Genomic Data Science</w:t>
      </w:r>
      <w:r>
        <w:t xml:space="preserve"> </w:t>
      </w:r>
      <w:r>
        <w:rPr>
          <w:bCs/>
          <w:b/>
        </w:rPr>
        <w:t xml:space="preserve">An</w:t>
      </w:r>
      <w:r>
        <w:t xml:space="preserve">alysis,</w:t>
      </w:r>
      <w:r>
        <w:t xml:space="preserve"> </w:t>
      </w:r>
      <w:r>
        <w:rPr>
          <w:bCs/>
          <w:b/>
        </w:rPr>
        <w:t xml:space="preserve">V</w:t>
      </w:r>
      <w:r>
        <w:t xml:space="preserve">isualization, and</w:t>
      </w:r>
      <w:r>
        <w:t xml:space="preserve"> </w:t>
      </w:r>
      <w:r>
        <w:rPr>
          <w:bCs/>
          <w:b/>
        </w:rPr>
        <w:t xml:space="preserve">I</w:t>
      </w:r>
      <w:r>
        <w:t xml:space="preserve">nformatics</w:t>
      </w:r>
      <w:r>
        <w:t xml:space="preserve"> </w:t>
      </w:r>
      <w:r>
        <w:rPr>
          <w:bCs/>
          <w:b/>
        </w:rPr>
        <w:t xml:space="preserve">L</w:t>
      </w:r>
      <w:r>
        <w:t xml:space="preserve">ab-space) is a platform created by the National Human Genome Research Institute (NHGRI) in collaboration with cloud computing platform providers like Google and Microsoft. Using AnVIL we you can access computing resources on the cloud through your browser without need for any fancy physical equipment. Through AnVIL you will also have access to all the software and data necessary to complete your research project.</w:t>
      </w:r>
    </w:p>
    <w:p>
      <w:pPr>
        <w:pStyle w:val="BodyText"/>
      </w:pPr>
      <w:r>
        <w:t xml:space="preserve">In this section, we will set up our accounts on AnVIL and go through the entire lifecycle of an RStudio environment from creation to deletion. You will repeat this process throughout the semester; feel free to refer back to this section if you need a refresher on how to use AnVIL.</w:t>
      </w:r>
    </w:p>
    <w:bookmarkEnd w:id="109"/>
    <w:bookmarkStart w:id="123" w:name="sign-up-for-an-anvil-account"/>
    <w:p>
      <w:pPr>
        <w:pStyle w:val="Heading2"/>
      </w:pPr>
      <w:r>
        <w:rPr>
          <w:rStyle w:val="SectionNumber"/>
        </w:rPr>
        <w:t xml:space="preserve">6.2</w:t>
      </w:r>
      <w:r>
        <w:tab/>
      </w:r>
      <w:r>
        <w:t xml:space="preserve">Sign up for an AnVIL account</w:t>
      </w:r>
    </w:p>
    <w:p>
      <w:pPr>
        <w:pStyle w:val="FirstParagraph"/>
      </w:pPr>
      <w:r>
        <w:drawing>
          <wp:inline>
            <wp:extent cx="5334000" cy="3000375"/>
            <wp:effectExtent b="0" l="0" r="0" t="0"/>
            <wp:docPr descr="" title="" id="111" name="Picture"/>
            <a:graphic>
              <a:graphicData uri="http://schemas.openxmlformats.org/drawingml/2006/picture">
                <pic:pic>
                  <pic:nvPicPr>
                    <pic:cNvPr descr="anvil-make-account_files/figure-docx//1uwlG7uaTOnItdpd4Ll6nNQiBJKBivsvR-erupicAwJM_g3709d9ac459_0_250.png" id="112" name="Picture"/>
                    <pic:cNvPicPr>
                      <a:picLocks noChangeArrowheads="1" noChangeAspect="1"/>
                    </pic:cNvPicPr>
                  </pic:nvPicPr>
                  <pic:blipFill>
                    <a:blip r:embed="rId110"/>
                    <a:stretch>
                      <a:fillRect/>
                    </a:stretch>
                  </pic:blipFill>
                  <pic:spPr bwMode="auto">
                    <a:xfrm>
                      <a:off x="0" y="0"/>
                      <a:ext cx="5334000" cy="3000375"/>
                    </a:xfrm>
                    <a:prstGeom prst="rect">
                      <a:avLst/>
                    </a:prstGeom>
                    <a:noFill/>
                    <a:ln w="9525">
                      <a:noFill/>
                      <a:headEnd/>
                      <a:tailEnd/>
                    </a:ln>
                  </pic:spPr>
                </pic:pic>
              </a:graphicData>
            </a:graphic>
          </wp:inline>
        </w:drawing>
      </w:r>
    </w:p>
    <w:bookmarkStart w:id="113" w:name="purpose-2"/>
    <w:p>
      <w:pPr>
        <w:pStyle w:val="Heading4"/>
      </w:pPr>
      <w:r>
        <w:rPr>
          <w:rStyle w:val="SectionNumber"/>
        </w:rPr>
        <w:t xml:space="preserve">6.2.0.1</w:t>
      </w:r>
      <w:r>
        <w:tab/>
      </w:r>
      <w:r>
        <w:t xml:space="preserve">Purpose</w:t>
      </w:r>
    </w:p>
    <w:p>
      <w:pPr>
        <w:pStyle w:val="FirstParagraph"/>
      </w:pPr>
      <w:r>
        <w:t xml:space="preserve">You will need an account on AnVIL in order to use the platform. In this section we’ll go over the specifics of account creation.</w:t>
      </w:r>
    </w:p>
    <w:bookmarkEnd w:id="113"/>
    <w:bookmarkStart w:id="114" w:name="learning-objectives-2"/>
    <w:p>
      <w:pPr>
        <w:pStyle w:val="Heading4"/>
      </w:pPr>
      <w:r>
        <w:rPr>
          <w:rStyle w:val="SectionNumber"/>
        </w:rPr>
        <w:t xml:space="preserve">6.2.0.2</w:t>
      </w:r>
      <w:r>
        <w:tab/>
      </w:r>
      <w:r>
        <w:t xml:space="preserve">Learning Objectives</w:t>
      </w:r>
    </w:p>
    <w:p>
      <w:pPr>
        <w:numPr>
          <w:ilvl w:val="0"/>
          <w:numId w:val="1039"/>
        </w:numPr>
        <w:pStyle w:val="Compact"/>
      </w:pPr>
      <w:r>
        <w:t xml:space="preserve">Create an account on AnVIL</w:t>
      </w:r>
    </w:p>
    <w:p>
      <w:pPr>
        <w:numPr>
          <w:ilvl w:val="0"/>
          <w:numId w:val="1039"/>
        </w:numPr>
        <w:pStyle w:val="Compact"/>
      </w:pPr>
      <w:r>
        <w:t xml:space="preserve">Login to AnVIL</w:t>
      </w:r>
    </w:p>
    <w:p>
      <w:pPr>
        <w:numPr>
          <w:ilvl w:val="0"/>
          <w:numId w:val="1039"/>
        </w:numPr>
        <w:pStyle w:val="Compact"/>
      </w:pPr>
      <w:r>
        <w:t xml:space="preserve">Share the email you used to sign up for AnVIL with your instructor (if applicable)</w:t>
      </w:r>
    </w:p>
    <w:bookmarkEnd w:id="114"/>
    <w:bookmarkStart w:id="122" w:name="create-an-anvil-account"/>
    <w:p>
      <w:pPr>
        <w:pStyle w:val="Heading3"/>
      </w:pPr>
      <w:r>
        <w:rPr>
          <w:rStyle w:val="SectionNumber"/>
        </w:rPr>
        <w:t xml:space="preserve">6.2.1</w:t>
      </w:r>
      <w:r>
        <w:tab/>
      </w:r>
      <w:r>
        <w:t xml:space="preserve">Create an AnVIL account</w:t>
      </w:r>
    </w:p>
    <w:p>
      <w:pPr>
        <w:pStyle w:val="FirstParagraph"/>
      </w:pPr>
      <w:r>
        <w:t xml:space="preserve">Follow the written steps below or refer to the</w:t>
      </w:r>
      <w:r>
        <w:t xml:space="preserve"> </w:t>
      </w:r>
      <w:hyperlink r:id="rId115">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17" name="Picture"/>
            <a:graphic>
              <a:graphicData uri="http://schemas.openxmlformats.org/drawingml/2006/picture">
                <pic:pic>
                  <pic:nvPicPr>
                    <pic:cNvPr descr="anvil-make-account_files/figure-docx//1uwlG7uaTOnItdpd4Ll6nNQiBJKBivsvR-erupicAwJM_g3709d9ac459_0_299.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0"/>
        </w:numPr>
        <w:pStyle w:val="Compact"/>
      </w:pPr>
      <w:r>
        <w:t xml:space="preserve">Open</w:t>
      </w:r>
      <w:r>
        <w:t xml:space="preserve"> </w:t>
      </w:r>
      <w:hyperlink r:id="rId67">
        <w:r>
          <w:rPr>
            <w:rStyle w:val="Hyperlink"/>
          </w:rPr>
          <w:t xml:space="preserve">anvil.terra.bio</w:t>
        </w:r>
      </w:hyperlink>
      <w:r>
        <w:t xml:space="preserve"> </w:t>
      </w:r>
      <w:r>
        <w:t xml:space="preserve">in</w:t>
      </w:r>
      <w:r>
        <w:t xml:space="preserve"> </w:t>
      </w:r>
      <w:r>
        <w:t xml:space="preserve"> </w:t>
      </w:r>
      <w:r>
        <w:rPr>
          <w:bCs/>
          <w:b/>
        </w:rPr>
        <w:t xml:space="preserve">Google Chrome</w:t>
      </w:r>
      <w:r>
        <w:t xml:space="preserve"> </w:t>
      </w:r>
      <w:r>
        <w:t xml:space="preserve">. Google Chrome is the only officially supported web browser for AnIVL. Because of this, while you can run AnVIL in other browsers you strongly suggest using Chrome.</w:t>
      </w:r>
    </w:p>
    <w:p>
      <w:pPr>
        <w:numPr>
          <w:ilvl w:val="1"/>
          <w:numId w:val="1041"/>
        </w:numPr>
        <w:pStyle w:val="Compact"/>
      </w:pPr>
      <w:r>
        <w:t xml:space="preserve">It is a good idea to bookmark this page so that you can easily access it throughout the course.</w:t>
      </w:r>
    </w:p>
    <w:p>
      <w:pPr>
        <w:numPr>
          <w:ilvl w:val="0"/>
          <w:numId w:val="1040"/>
        </w:numPr>
        <w:pStyle w:val="Compact"/>
      </w:pPr>
      <w:r>
        <w:t xml:space="preserve">Click the hamburger icon (3 lines) in the top left corner of the screen</w:t>
      </w:r>
    </w:p>
    <w:p>
      <w:pPr>
        <w:numPr>
          <w:ilvl w:val="0"/>
          <w:numId w:val="1040"/>
        </w:numPr>
        <w:pStyle w:val="Compact"/>
      </w:pPr>
      <w:r>
        <w:t xml:space="preserve">Click</w:t>
      </w:r>
      <w:r>
        <w:t xml:space="preserve"> </w:t>
      </w:r>
      <w:r>
        <w:t xml:space="preserve">“</w:t>
      </w:r>
      <w:r>
        <w:t xml:space="preserve">Sign in</w:t>
      </w:r>
      <w:r>
        <w:t xml:space="preserve">”</w:t>
      </w:r>
    </w:p>
    <w:p>
      <w:pPr>
        <w:pStyle w:val="FirstParagraph"/>
      </w:pPr>
      <w:r>
        <w:drawing>
          <wp:inline>
            <wp:extent cx="5334000" cy="3000375"/>
            <wp:effectExtent b="0" l="0" r="0" t="0"/>
            <wp:docPr descr="" title="" id="120" name="Picture"/>
            <a:graphic>
              <a:graphicData uri="http://schemas.openxmlformats.org/drawingml/2006/picture">
                <pic:pic>
                  <pic:nvPicPr>
                    <pic:cNvPr descr="anvil-make-account_files/figure-docx//1uwlG7uaTOnItdpd4Ll6nNQiBJKBivsvR-erupicAwJM_g36368ab83bf_0_2.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2"/>
        </w:numPr>
        <w:pStyle w:val="Compact"/>
      </w:pPr>
      <w:r>
        <w:t xml:space="preserve">Click</w:t>
      </w:r>
      <w:r>
        <w:t xml:space="preserve"> </w:t>
      </w:r>
      <w:r>
        <w:t xml:space="preserve">“</w:t>
      </w:r>
      <w:r>
        <w:t xml:space="preserve">Sign in with Google</w:t>
      </w:r>
      <w:r>
        <w:t xml:space="preserve">”</w:t>
      </w:r>
      <w:r>
        <w:t xml:space="preserve">.</w:t>
      </w:r>
    </w:p>
    <w:p>
      <w:pPr>
        <w:numPr>
          <w:ilvl w:val="0"/>
          <w:numId w:val="1042"/>
        </w:numPr>
        <w:pStyle w:val="Compact"/>
      </w:pPr>
      <w:r>
        <w:t xml:space="preserve">Sign in with a</w:t>
      </w:r>
      <w:r>
        <w:t xml:space="preserve"> </w:t>
      </w:r>
      <w:r>
        <w:rPr>
          <w:bCs/>
          <w:b/>
        </w:rPr>
        <w:t xml:space="preserve">Google associated email address</w:t>
      </w:r>
      <w:r>
        <w:t xml:space="preserve"> </w:t>
      </w:r>
      <w:r>
        <w:t xml:space="preserve">such as an institutional email that uses Gmail or a personal Gmail account. You must use a Google associated email address to gain access to Google Cloud computing resources.</w:t>
      </w:r>
    </w:p>
    <w:p>
      <w:pPr>
        <w:numPr>
          <w:ilvl w:val="0"/>
          <w:numId w:val="1042"/>
        </w:numPr>
        <w:pStyle w:val="Compact"/>
      </w:pPr>
      <w:r>
        <w:t xml:space="preserve">If you are a student, share the email you used to sign up for AnVIL with your instructor following their instructions. If you are an instructor on a C-MOOR billing project, share the email you used to sign up with someone from C-MOOR.</w:t>
      </w:r>
    </w:p>
    <w:p>
      <w:pPr>
        <w:pStyle w:val="FirstParagraph"/>
      </w:pPr>
      <w:r>
        <w:rPr>
          <w:bCs/>
          <w:b/>
        </w:rPr>
        <w:t xml:space="preserve">Until your account is associated with a billing project you will be unable to use computational resources on AnVIL.</w:t>
      </w:r>
    </w:p>
    <w:bookmarkEnd w:id="122"/>
    <w:bookmarkEnd w:id="123"/>
    <w:bookmarkStart w:id="145" w:name="set-up-billing-in-anvil"/>
    <w:p>
      <w:pPr>
        <w:pStyle w:val="Heading2"/>
      </w:pPr>
      <w:r>
        <w:rPr>
          <w:rStyle w:val="SectionNumber"/>
        </w:rPr>
        <w:t xml:space="preserve">6.3</w:t>
      </w:r>
      <w:r>
        <w:tab/>
      </w:r>
      <w:r>
        <w:t xml:space="preserve">Set up billing in AnVIL</w:t>
      </w:r>
    </w:p>
    <w:p>
      <w:pPr>
        <w:pStyle w:val="FirstParagraph"/>
      </w:pPr>
      <w:r>
        <w:rPr>
          <w:bCs/>
          <w:b/>
        </w:rPr>
        <w:t xml:space="preserve">This section is only for instructors. Students do NOT have to set up billing</w:t>
      </w:r>
    </w:p>
    <w:p>
      <w:pPr>
        <w:pStyle w:val="BodyText"/>
      </w:pPr>
      <w:r>
        <w:drawing>
          <wp:inline>
            <wp:extent cx="5334000" cy="3000375"/>
            <wp:effectExtent b="0" l="0" r="0" t="0"/>
            <wp:docPr descr="" title="" id="125" name="Picture"/>
            <a:graphic>
              <a:graphicData uri="http://schemas.openxmlformats.org/drawingml/2006/picture">
                <pic:pic>
                  <pic:nvPicPr>
                    <pic:cNvPr descr="anvil-billing-projects_files/figure-docx//1yyH3DZb8Et19galJhNPiUnCevrFRC1acvMG2PB52FCo_g3709d9ac459_0_25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AnVIL will charge you for computing costs; as of the writing of this guide, the cost for running RStudio with the default settings is $0.06 per hour. RStudio will also cost $0.01 per hour while paused and not in use. Additionally, the persistent storage the environment comes with (50GB) costs $2.00 per month if not deleted.</w:t>
      </w:r>
    </w:p>
    <w:p>
      <w:pPr>
        <w:pStyle w:val="BodyText"/>
      </w:pPr>
      <w:r>
        <w:t xml:space="preserve">To minimize costs, we ask students to delete their RStudio Environment and persistent disk at the end of every session. While you can also reduce the amount of CPUs and memory allotted per session this will also slow down your computation.</w:t>
      </w:r>
    </w:p>
    <w:p>
      <w:pPr>
        <w:pStyle w:val="BodyText"/>
      </w:pPr>
      <w:r>
        <w:t xml:space="preserve">We will not go over setting up a Google billing account which you will need to setting up a billing project on AnVIL. For assistance with setting up your billing account we suggest refering to the Terra (the platform on which AnVIL runs)</w:t>
      </w:r>
      <w:r>
        <w:t xml:space="preserve"> </w:t>
      </w:r>
      <w:hyperlink r:id="rId127">
        <w:r>
          <w:rPr>
            <w:rStyle w:val="Hyperlink"/>
          </w:rPr>
          <w:t xml:space="preserve">guide to billing</w:t>
        </w:r>
      </w:hyperlink>
      <w:r>
        <w:t xml:space="preserve"> </w:t>
      </w:r>
      <w:r>
        <w:t xml:space="preserve">and speaking with your institution’s information technology and finance departments.</w:t>
      </w:r>
    </w:p>
    <w:bookmarkStart w:id="128" w:name="purpose-3"/>
    <w:p>
      <w:pPr>
        <w:pStyle w:val="Heading4"/>
      </w:pPr>
      <w:r>
        <w:rPr>
          <w:rStyle w:val="SectionNumber"/>
        </w:rPr>
        <w:t xml:space="preserve">6.3.0.1</w:t>
      </w:r>
      <w:r>
        <w:tab/>
      </w:r>
      <w:r>
        <w:t xml:space="preserve">Purpose</w:t>
      </w:r>
    </w:p>
    <w:p>
      <w:pPr>
        <w:pStyle w:val="FirstParagraph"/>
      </w:pPr>
      <w:r>
        <w:t xml:space="preserve">We will learn about the billing structure of AnVIL and how to attach users to billing projects. We will then cover how to create groups on AnVIL which you may find helpful in organizing billing.</w:t>
      </w:r>
    </w:p>
    <w:bookmarkEnd w:id="128"/>
    <w:bookmarkStart w:id="129" w:name="learning-objectives-3"/>
    <w:p>
      <w:pPr>
        <w:pStyle w:val="Heading4"/>
      </w:pPr>
      <w:r>
        <w:rPr>
          <w:rStyle w:val="SectionNumber"/>
        </w:rPr>
        <w:t xml:space="preserve">6.3.0.2</w:t>
      </w:r>
      <w:r>
        <w:tab/>
      </w:r>
      <w:r>
        <w:t xml:space="preserve">Learning Objectives</w:t>
      </w:r>
    </w:p>
    <w:p>
      <w:pPr>
        <w:numPr>
          <w:ilvl w:val="0"/>
          <w:numId w:val="1043"/>
        </w:numPr>
        <w:pStyle w:val="Compact"/>
      </w:pPr>
      <w:r>
        <w:t xml:space="preserve">Distinguish between a billing account and a billing project</w:t>
      </w:r>
    </w:p>
    <w:p>
      <w:pPr>
        <w:numPr>
          <w:ilvl w:val="0"/>
          <w:numId w:val="1043"/>
        </w:numPr>
        <w:pStyle w:val="Compact"/>
      </w:pPr>
      <w:r>
        <w:t xml:space="preserve">Understand how billing projects are connected to workspaces</w:t>
      </w:r>
    </w:p>
    <w:p>
      <w:pPr>
        <w:numPr>
          <w:ilvl w:val="0"/>
          <w:numId w:val="1043"/>
        </w:numPr>
        <w:pStyle w:val="Compact"/>
      </w:pPr>
      <w:r>
        <w:t xml:space="preserve">Add users to a billing project</w:t>
      </w:r>
    </w:p>
    <w:p>
      <w:pPr>
        <w:numPr>
          <w:ilvl w:val="0"/>
          <w:numId w:val="1043"/>
        </w:numPr>
        <w:pStyle w:val="Compact"/>
      </w:pPr>
      <w:r>
        <w:t xml:space="preserve">Learn how to create groups that can be used to control users’ access</w:t>
      </w:r>
    </w:p>
    <w:bookmarkEnd w:id="129"/>
    <w:bookmarkStart w:id="133" w:name="what-is-a-billing-project"/>
    <w:p>
      <w:pPr>
        <w:pStyle w:val="Heading3"/>
      </w:pPr>
      <w:r>
        <w:rPr>
          <w:rStyle w:val="SectionNumber"/>
        </w:rPr>
        <w:t xml:space="preserve">6.3.1</w:t>
      </w:r>
      <w:r>
        <w:tab/>
      </w:r>
      <w:r>
        <w:t xml:space="preserve">What is a billing project?</w:t>
      </w:r>
    </w:p>
    <w:p>
      <w:pPr>
        <w:pStyle w:val="FirstParagraph"/>
      </w:pPr>
      <w:r>
        <w:drawing>
          <wp:inline>
            <wp:extent cx="5334000" cy="3000375"/>
            <wp:effectExtent b="0" l="0" r="0" t="0"/>
            <wp:docPr descr="" title="" id="131" name="Picture"/>
            <a:graphic>
              <a:graphicData uri="http://schemas.openxmlformats.org/drawingml/2006/picture">
                <pic:pic>
                  <pic:nvPicPr>
                    <pic:cNvPr descr="anvil-billing-projects_files/figure-docx//1yyH3DZb8Et19galJhNPiUnCevrFRC1acvMG2PB52FCo_g37166799c0e_0_6.png" id="132" name="Picture"/>
                    <pic:cNvPicPr>
                      <a:picLocks noChangeArrowheads="1" noChangeAspect="1"/>
                    </pic:cNvPicPr>
                  </pic:nvPicPr>
                  <pic:blipFill>
                    <a:blip r:embed="rId1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 billing project is used to connect a workspace - where students will be executing code - to a billing account, which is where your actual payment information is stored. As you can see in the above diagram, a billing account can have multiple billing projects, and each billing project can be used by multiple workspaces.</w:t>
      </w:r>
    </w:p>
    <w:p>
      <w:pPr>
        <w:pStyle w:val="BodyText"/>
      </w:pPr>
      <w:r>
        <w:t xml:space="preserve">We suggest each student uses their own workspace and attaching all those workspaces to a billing project for the class. Currently, AnVIL only allow you to monitor costs from billing projects, not workspaces. But having different billing projects shown above for each class can help you learn how much computational resources reach class is using.</w:t>
      </w:r>
    </w:p>
    <w:bookmarkEnd w:id="133"/>
    <w:bookmarkStart w:id="138" w:name="adding-students-to-a-billing-account"/>
    <w:p>
      <w:pPr>
        <w:pStyle w:val="Heading3"/>
      </w:pPr>
      <w:r>
        <w:rPr>
          <w:rStyle w:val="SectionNumber"/>
        </w:rPr>
        <w:t xml:space="preserve">6.3.2</w:t>
      </w:r>
      <w:r>
        <w:tab/>
      </w:r>
      <w:r>
        <w:t xml:space="preserve">Adding students to a billing account</w:t>
      </w:r>
    </w:p>
    <w:p>
      <w:pPr>
        <w:pStyle w:val="FirstParagraph"/>
      </w:pPr>
      <w:r>
        <w:t xml:space="preserve">Follow the written steps below or refer to the</w:t>
      </w:r>
      <w:r>
        <w:t xml:space="preserve"> </w:t>
      </w:r>
      <w:hyperlink r:id="rId134">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36" name="Picture"/>
            <a:graphic>
              <a:graphicData uri="http://schemas.openxmlformats.org/drawingml/2006/picture">
                <pic:pic>
                  <pic:nvPicPr>
                    <pic:cNvPr descr="anvil-billing-projects_files/figure-docx//1yyH3DZb8Et19galJhNPiUnCevrFRC1acvMG2PB52FCo_g37166799c0e_0_90.png" id="137" name="Picture"/>
                    <pic:cNvPicPr>
                      <a:picLocks noChangeArrowheads="1" noChangeAspect="1"/>
                    </pic:cNvPicPr>
                  </pic:nvPicPr>
                  <pic:blipFill>
                    <a:blip r:embed="rId13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4"/>
        </w:numPr>
        <w:pStyle w:val="Compact"/>
      </w:pPr>
      <w:r>
        <w:t xml:space="preserve">Access billing by clicking on the hamburger icon in the top left corner of the window, click on your name, and select billing. That brings you to your billing projects page.</w:t>
      </w:r>
    </w:p>
    <w:p>
      <w:pPr>
        <w:numPr>
          <w:ilvl w:val="0"/>
          <w:numId w:val="1044"/>
        </w:numPr>
        <w:pStyle w:val="Compact"/>
      </w:pPr>
      <w:r>
        <w:t xml:space="preserve">On the billing project you’d like to use, click on the Members tab.</w:t>
      </w:r>
    </w:p>
    <w:p>
      <w:pPr>
        <w:numPr>
          <w:ilvl w:val="0"/>
          <w:numId w:val="1044"/>
        </w:numPr>
        <w:pStyle w:val="Compact"/>
      </w:pPr>
      <w:r>
        <w:t xml:space="preserve">Click Add users. A new window will open. You are then able to add students to the billing project with the same email they used to sign up for their AnVIL account.</w:t>
      </w:r>
    </w:p>
    <w:bookmarkEnd w:id="138"/>
    <w:bookmarkStart w:id="142" w:name="using-groups-to-manage-classes"/>
    <w:p>
      <w:pPr>
        <w:pStyle w:val="Heading3"/>
      </w:pPr>
      <w:r>
        <w:rPr>
          <w:rStyle w:val="SectionNumber"/>
        </w:rPr>
        <w:t xml:space="preserve">6.3.3</w:t>
      </w:r>
      <w:r>
        <w:tab/>
      </w:r>
      <w:r>
        <w:t xml:space="preserve">Using groups to manage classes</w:t>
      </w:r>
    </w:p>
    <w:p>
      <w:pPr>
        <w:pStyle w:val="FirstParagraph"/>
      </w:pPr>
      <w:r>
        <w:drawing>
          <wp:inline>
            <wp:extent cx="5334000" cy="3000375"/>
            <wp:effectExtent b="0" l="0" r="0" t="0"/>
            <wp:docPr descr="" title="" id="140" name="Picture"/>
            <a:graphic>
              <a:graphicData uri="http://schemas.openxmlformats.org/drawingml/2006/picture">
                <pic:pic>
                  <pic:nvPicPr>
                    <pic:cNvPr descr="anvil-billing-projects_files/figure-docx//1yyH3DZb8Et19galJhNPiUnCevrFRC1acvMG2PB52FCo_g37166799c0e_0_17.png" id="141" name="Picture"/>
                    <pic:cNvPicPr>
                      <a:picLocks noChangeArrowheads="1" noChangeAspect="1"/>
                    </pic:cNvPicPr>
                  </pic:nvPicPr>
                  <pic:blipFill>
                    <a:blip r:embed="rId1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If you have a lot of students and classes, you may find it helpful to organize your students with groups. Everyone in the group is controlled by a single email address.</w:t>
      </w:r>
    </w:p>
    <w:p>
      <w:pPr>
        <w:numPr>
          <w:ilvl w:val="0"/>
          <w:numId w:val="1045"/>
        </w:numPr>
        <w:pStyle w:val="Compact"/>
      </w:pPr>
      <w:r>
        <w:t xml:space="preserve">Access billing by clicking on the hamburger icon in the top left corner of the window, click on your name, and select groups. This will take you to this groups page.</w:t>
      </w:r>
    </w:p>
    <w:p>
      <w:pPr>
        <w:numPr>
          <w:ilvl w:val="0"/>
          <w:numId w:val="1045"/>
        </w:numPr>
        <w:pStyle w:val="Compact"/>
      </w:pPr>
      <w:r>
        <w:t xml:space="preserve">Click Create New group. You will be prompted to give your group a unique name.</w:t>
      </w:r>
    </w:p>
    <w:p>
      <w:pPr>
        <w:numPr>
          <w:ilvl w:val="0"/>
          <w:numId w:val="1045"/>
        </w:numPr>
        <w:pStyle w:val="Compact"/>
      </w:pPr>
      <w:r>
        <w:t xml:space="preserve">Click on the name of the newly created group to enter it.</w:t>
      </w:r>
    </w:p>
    <w:p>
      <w:pPr>
        <w:numPr>
          <w:ilvl w:val="0"/>
          <w:numId w:val="1045"/>
        </w:numPr>
        <w:pStyle w:val="Compact"/>
      </w:pPr>
      <w:r>
        <w:t xml:space="preserve">Click add users. Add users to the group using the same email they used to sign up for AnVIL.</w:t>
      </w:r>
    </w:p>
    <w:p>
      <w:pPr>
        <w:numPr>
          <w:ilvl w:val="0"/>
          <w:numId w:val="1045"/>
        </w:numPr>
        <w:pStyle w:val="Compact"/>
      </w:pPr>
      <w:r>
        <w:t xml:space="preserve">You can use the group email created for the group seen on the group management page to manage everyone in that group. For example, you can add everyone in the group to a billing project by adding this group email to the billing project.</w:t>
      </w:r>
    </w:p>
    <w:bookmarkEnd w:id="142"/>
    <w:bookmarkStart w:id="144" w:name="preventing-runaway-costs"/>
    <w:p>
      <w:pPr>
        <w:pStyle w:val="Heading3"/>
      </w:pPr>
      <w:r>
        <w:rPr>
          <w:rStyle w:val="SectionNumber"/>
        </w:rPr>
        <w:t xml:space="preserve">6.3.4</w:t>
      </w:r>
      <w:r>
        <w:tab/>
      </w:r>
      <w:r>
        <w:t xml:space="preserve">Preventing runaway costs</w:t>
      </w:r>
    </w:p>
    <w:p>
      <w:pPr>
        <w:pStyle w:val="FirstParagraph"/>
      </w:pPr>
      <w:r>
        <w:t xml:space="preserve">Our team at C-MOOR is still piloting our curriculum on AnVIL. As such, we don’t have much information on the approximate cost per student. We hope to provide this data in the future.</w:t>
      </w:r>
    </w:p>
    <w:p>
      <w:pPr>
        <w:pStyle w:val="BodyText"/>
      </w:pPr>
      <w:r>
        <w:t xml:space="preserve">The best way to conserve costs is to</w:t>
      </w:r>
      <w:r>
        <w:t xml:space="preserve"> </w:t>
      </w:r>
      <w:r>
        <w:t xml:space="preserve">make sure that students close out their session on AnVIL properly, including the deletion of the persistent disk</w:t>
      </w:r>
      <w:r>
        <w:t xml:space="preserve"> </w:t>
      </w:r>
      <w:r>
        <w:t xml:space="preserve">after they are done working. AnVIL will continue to bill the billing project even if the environment is not in active use.</w:t>
      </w:r>
    </w:p>
    <w:p>
      <w:pPr>
        <w:pStyle w:val="BodyText"/>
      </w:pPr>
      <w:r>
        <w:t xml:space="preserve">For more information on how to control computing charges, please see the Terra guide:</w:t>
      </w:r>
      <w:r>
        <w:t xml:space="preserve"> </w:t>
      </w:r>
      <w:hyperlink r:id="rId143">
        <w:r>
          <w:rPr>
            <w:rStyle w:val="Hyperlink"/>
          </w:rPr>
          <w:t xml:space="preserve">How to cut off GCP charges</w:t>
        </w:r>
      </w:hyperlink>
      <w:r>
        <w:t xml:space="preserve">.</w:t>
      </w:r>
    </w:p>
    <w:bookmarkEnd w:id="144"/>
    <w:bookmarkEnd w:id="145"/>
    <w:bookmarkStart w:id="187" w:name="running-a-module-on-anvil"/>
    <w:p>
      <w:pPr>
        <w:pStyle w:val="Heading2"/>
      </w:pPr>
      <w:r>
        <w:rPr>
          <w:rStyle w:val="SectionNumber"/>
        </w:rPr>
        <w:t xml:space="preserve">6.4</w:t>
      </w:r>
      <w:r>
        <w:tab/>
      </w:r>
      <w:r>
        <w:t xml:space="preserve">Running a module on AnVIL</w:t>
      </w:r>
    </w:p>
    <w:p>
      <w:pPr>
        <w:pStyle w:val="FirstParagraph"/>
      </w:pPr>
      <w:r>
        <w:drawing>
          <wp:inline>
            <wp:extent cx="5334000" cy="3000375"/>
            <wp:effectExtent b="0" l="0" r="0" t="0"/>
            <wp:docPr descr="" title="" id="147" name="Picture"/>
            <a:graphic>
              <a:graphicData uri="http://schemas.openxmlformats.org/drawingml/2006/picture">
                <pic:pic>
                  <pic:nvPicPr>
                    <pic:cNvPr descr="anvil-run-module_files/figure-docx//11wb3b7i9SwrDX_WO3mWNAycd2mbY4Moy8SuT0X3XvXo_g3709d9ac459_0_250.png" id="148" name="Picture"/>
                    <pic:cNvPicPr>
                      <a:picLocks noChangeArrowheads="1" noChangeAspect="1"/>
                    </pic:cNvPicPr>
                  </pic:nvPicPr>
                  <pic:blipFill>
                    <a:blip r:embed="rId146"/>
                    <a:stretch>
                      <a:fillRect/>
                    </a:stretch>
                  </pic:blipFill>
                  <pic:spPr bwMode="auto">
                    <a:xfrm>
                      <a:off x="0" y="0"/>
                      <a:ext cx="5334000" cy="3000375"/>
                    </a:xfrm>
                    <a:prstGeom prst="rect">
                      <a:avLst/>
                    </a:prstGeom>
                    <a:noFill/>
                    <a:ln w="9525">
                      <a:noFill/>
                      <a:headEnd/>
                      <a:tailEnd/>
                    </a:ln>
                  </pic:spPr>
                </pic:pic>
              </a:graphicData>
            </a:graphic>
          </wp:inline>
        </w:drawing>
      </w:r>
    </w:p>
    <w:bookmarkStart w:id="149" w:name="purpose-4"/>
    <w:p>
      <w:pPr>
        <w:pStyle w:val="Heading4"/>
      </w:pPr>
      <w:r>
        <w:rPr>
          <w:rStyle w:val="SectionNumber"/>
        </w:rPr>
        <w:t xml:space="preserve">6.4.0.1</w:t>
      </w:r>
      <w:r>
        <w:tab/>
      </w:r>
      <w:r>
        <w:t xml:space="preserve">Purpose</w:t>
      </w:r>
    </w:p>
    <w:p>
      <w:pPr>
        <w:pStyle w:val="FirstParagraph"/>
      </w:pPr>
      <w:r>
        <w:t xml:space="preserve">In this section we will go over how to run C-MOOR modules on AnVIL. First we will need to clone the workspace that correlates to the research project we want to do (RNA-seq or 16S). We will only need to do this step once. Then we will go over how to create an RStudio environment in that workspace to run the module and properly end a session on AnVIL to prevent runaway costs.</w:t>
      </w:r>
    </w:p>
    <w:bookmarkEnd w:id="149"/>
    <w:bookmarkStart w:id="150" w:name="learning-objectives-4"/>
    <w:p>
      <w:pPr>
        <w:pStyle w:val="Heading4"/>
      </w:pPr>
      <w:r>
        <w:rPr>
          <w:rStyle w:val="SectionNumber"/>
        </w:rPr>
        <w:t xml:space="preserve">6.4.0.2</w:t>
      </w:r>
      <w:r>
        <w:tab/>
      </w:r>
      <w:r>
        <w:t xml:space="preserve">Learning Objectives</w:t>
      </w:r>
    </w:p>
    <w:p>
      <w:pPr>
        <w:numPr>
          <w:ilvl w:val="0"/>
          <w:numId w:val="1046"/>
        </w:numPr>
        <w:pStyle w:val="Compact"/>
      </w:pPr>
      <w:r>
        <w:t xml:space="preserve">Clone a public workspace for the research project you want to do (RNA-seq or 16S)</w:t>
      </w:r>
    </w:p>
    <w:p>
      <w:pPr>
        <w:numPr>
          <w:ilvl w:val="0"/>
          <w:numId w:val="1046"/>
        </w:numPr>
        <w:pStyle w:val="Compact"/>
      </w:pPr>
      <w:r>
        <w:t xml:space="preserve">Launch a module through the cloned workspace</w:t>
      </w:r>
    </w:p>
    <w:p>
      <w:pPr>
        <w:numPr>
          <w:ilvl w:val="0"/>
          <w:numId w:val="1046"/>
        </w:numPr>
        <w:pStyle w:val="Compact"/>
      </w:pPr>
      <w:r>
        <w:t xml:space="preserve">Close out a session on AnVIL properly to prevent runaway costs</w:t>
      </w:r>
    </w:p>
    <w:bookmarkEnd w:id="150"/>
    <w:bookmarkStart w:id="151" w:name="what-is-a-workspace"/>
    <w:p>
      <w:pPr>
        <w:pStyle w:val="Heading3"/>
      </w:pPr>
      <w:r>
        <w:rPr>
          <w:rStyle w:val="SectionNumber"/>
        </w:rPr>
        <w:t xml:space="preserve">6.4.1</w:t>
      </w:r>
      <w:r>
        <w:tab/>
      </w:r>
      <w:r>
        <w:t xml:space="preserve">What is a workspace?</w:t>
      </w:r>
    </w:p>
    <w:p>
      <w:pPr>
        <w:pStyle w:val="FirstParagraph"/>
      </w:pPr>
      <w:r>
        <w:t xml:space="preserve">The workspace is the heart of AnVIL. Here are some key points about workspaces:</w:t>
      </w:r>
    </w:p>
    <w:p>
      <w:pPr>
        <w:numPr>
          <w:ilvl w:val="0"/>
          <w:numId w:val="1047"/>
        </w:numPr>
        <w:pStyle w:val="Compact"/>
      </w:pPr>
      <w:r>
        <w:t xml:space="preserve">Every workspace comes with its own Google Bucket (our cloud storage). Your bucket will be empty.</w:t>
      </w:r>
    </w:p>
    <w:p>
      <w:pPr>
        <w:numPr>
          <w:ilvl w:val="0"/>
          <w:numId w:val="1047"/>
        </w:numPr>
        <w:pStyle w:val="Compact"/>
      </w:pPr>
      <w:r>
        <w:t xml:space="preserve">Every workspace has its own billing project. Students who are not yet associated with a billing project will not be able to compute on their workspace.</w:t>
      </w:r>
    </w:p>
    <w:p>
      <w:pPr>
        <w:numPr>
          <w:ilvl w:val="0"/>
          <w:numId w:val="1047"/>
        </w:numPr>
        <w:pStyle w:val="Compact"/>
      </w:pPr>
      <w:r>
        <w:t xml:space="preserve">We can control access levels of users and set them either as owners, writers, or readers. Students will be writers with compute access.</w:t>
      </w:r>
    </w:p>
    <w:bookmarkEnd w:id="151"/>
    <w:bookmarkStart w:id="159" w:name="clone-a-workspace-on-anvil"/>
    <w:p>
      <w:pPr>
        <w:pStyle w:val="Heading3"/>
      </w:pPr>
      <w:r>
        <w:rPr>
          <w:rStyle w:val="SectionNumber"/>
        </w:rPr>
        <w:t xml:space="preserve">6.4.2</w:t>
      </w:r>
      <w:r>
        <w:tab/>
      </w:r>
      <w:r>
        <w:t xml:space="preserve">Clone a workspace on AnVIL</w:t>
      </w:r>
    </w:p>
    <w:p>
      <w:pPr>
        <w:pStyle w:val="FirstParagraph"/>
      </w:pPr>
      <w:r>
        <w:rPr>
          <w:bCs/>
          <w:b/>
        </w:rPr>
        <w:t xml:space="preserve">We only have to do this once.</w:t>
      </w:r>
    </w:p>
    <w:p>
      <w:pPr>
        <w:pStyle w:val="BodyText"/>
      </w:pPr>
      <w:r>
        <w:t xml:space="preserve">Follow the written steps below or refer to the</w:t>
      </w:r>
      <w:r>
        <w:t xml:space="preserve"> </w:t>
      </w:r>
      <w:hyperlink r:id="rId152">
        <w:r>
          <w:rPr>
            <w:rStyle w:val="Hyperlink"/>
          </w:rPr>
          <w:t xml:space="preserve">slides</w:t>
        </w:r>
      </w:hyperlink>
      <w:r>
        <w:t xml:space="preserve"> </w:t>
      </w:r>
      <w:r>
        <w:t xml:space="preserve">or video guide.</w:t>
      </w:r>
    </w:p>
    <w:p>
      <w:pPr>
        <w:pStyle w:val="BodyText"/>
      </w:pPr>
      <w:r>
        <w:drawing>
          <wp:inline>
            <wp:extent cx="5334000" cy="3000375"/>
            <wp:effectExtent b="0" l="0" r="0" t="0"/>
            <wp:docPr descr="" title="" id="154" name="Picture"/>
            <a:graphic>
              <a:graphicData uri="http://schemas.openxmlformats.org/drawingml/2006/picture">
                <pic:pic>
                  <pic:nvPicPr>
                    <pic:cNvPr descr="anvil-run-module_files/figure-docx//11wb3b7i9SwrDX_WO3mWNAycd2mbY4Moy8SuT0X3XvXo_g3709d9ac459_0_263.png" id="155" name="Picture"/>
                    <pic:cNvPicPr>
                      <a:picLocks noChangeArrowheads="1" noChangeAspect="1"/>
                    </pic:cNvPicPr>
                  </pic:nvPicPr>
                  <pic:blipFill>
                    <a:blip r:embed="rId15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8"/>
        </w:numPr>
        <w:pStyle w:val="Compact"/>
      </w:pPr>
      <w:r>
        <w:t xml:space="preserve">While logged into AnVIL, using the hamburger icon in the top left corner of the screen, navigate to the workspaces page</w:t>
      </w:r>
    </w:p>
    <w:p>
      <w:pPr>
        <w:numPr>
          <w:ilvl w:val="0"/>
          <w:numId w:val="1048"/>
        </w:numPr>
        <w:pStyle w:val="Compact"/>
      </w:pPr>
      <w:r>
        <w:t xml:space="preserve">Select the public tab</w:t>
      </w:r>
    </w:p>
    <w:p>
      <w:pPr>
        <w:numPr>
          <w:ilvl w:val="0"/>
          <w:numId w:val="1048"/>
        </w:numPr>
        <w:pStyle w:val="Compact"/>
      </w:pPr>
      <w:r>
        <w:t xml:space="preserve">Search for the desired workspace. Your instructor will tell you which workspace to look for (miniCURE-RNA-seq or miniCURE-16S-microbiome).</w:t>
      </w:r>
    </w:p>
    <w:p>
      <w:pPr>
        <w:numPr>
          <w:ilvl w:val="0"/>
          <w:numId w:val="1048"/>
        </w:numPr>
        <w:pStyle w:val="Compact"/>
      </w:pPr>
      <w:r>
        <w:t xml:space="preserve">Click on the more options icon on the right side of the desired workspace and click clone</w:t>
      </w:r>
    </w:p>
    <w:p>
      <w:pPr>
        <w:pStyle w:val="FirstParagraph"/>
      </w:pPr>
      <w:r>
        <w:drawing>
          <wp:inline>
            <wp:extent cx="5334000" cy="3000375"/>
            <wp:effectExtent b="0" l="0" r="0" t="0"/>
            <wp:docPr descr="" title="" id="157" name="Picture"/>
            <a:graphic>
              <a:graphicData uri="http://schemas.openxmlformats.org/drawingml/2006/picture">
                <pic:pic>
                  <pic:nvPicPr>
                    <pic:cNvPr descr="anvil-run-module_files/figure-docx//11wb3b7i9SwrDX_WO3mWNAycd2mbY4Moy8SuT0X3XvXo_g3709d9ac459_0_267.png" id="158" name="Picture"/>
                    <pic:cNvPicPr>
                      <a:picLocks noChangeArrowheads="1" noChangeAspect="1"/>
                    </pic:cNvPicPr>
                  </pic:nvPicPr>
                  <pic:blipFill>
                    <a:blip r:embed="rId15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49"/>
        </w:numPr>
        <w:pStyle w:val="Compact"/>
      </w:pPr>
      <w:r>
        <w:t xml:space="preserve">Give the cloned workspace a unique name, such as by adding your initials or last name. All workspaces must have unique names; if someone has already taken the workspace name you initially wanted, please try a different name.</w:t>
      </w:r>
    </w:p>
    <w:p>
      <w:pPr>
        <w:numPr>
          <w:ilvl w:val="0"/>
          <w:numId w:val="1049"/>
        </w:numPr>
        <w:pStyle w:val="Compact"/>
      </w:pPr>
      <w:r>
        <w:t xml:space="preserve">Confirm the billing project is the one your instructor has chosen.</w:t>
      </w:r>
    </w:p>
    <w:p>
      <w:pPr>
        <w:numPr>
          <w:ilvl w:val="0"/>
          <w:numId w:val="1049"/>
        </w:numPr>
        <w:pStyle w:val="Compact"/>
      </w:pPr>
      <w:r>
        <w:t xml:space="preserve">The rest of the options should be left as is. Clone the workspace. It may take a few minutes to clone.</w:t>
      </w:r>
    </w:p>
    <w:p>
      <w:pPr>
        <w:pStyle w:val="FirstParagraph"/>
      </w:pPr>
      <w:r>
        <w:rPr>
          <w:bCs/>
          <w:b/>
        </w:rPr>
        <w:t xml:space="preserve">You only have to clone the workspace once. From now on, use your cloned workspace.</w:t>
      </w:r>
      <w:r>
        <w:t xml:space="preserve"> </w:t>
      </w:r>
      <w:r>
        <w:t xml:space="preserve">After you clone the workspace you will automatically be directed to it. For all other times, your workspaces can be found using the hamburger icon in the top left.</w:t>
      </w:r>
    </w:p>
    <w:bookmarkEnd w:id="159"/>
    <w:bookmarkStart w:id="182" w:name="running-modules-on-anvil"/>
    <w:p>
      <w:pPr>
        <w:pStyle w:val="Heading3"/>
      </w:pPr>
      <w:r>
        <w:rPr>
          <w:rStyle w:val="SectionNumber"/>
        </w:rPr>
        <w:t xml:space="preserve">6.4.3</w:t>
      </w:r>
      <w:r>
        <w:tab/>
      </w:r>
      <w:r>
        <w:t xml:space="preserve">Running modules on AnVIL</w:t>
      </w:r>
    </w:p>
    <w:bookmarkStart w:id="181" w:name="starting-a-module-on-anvil"/>
    <w:p>
      <w:pPr>
        <w:pStyle w:val="Heading4"/>
      </w:pPr>
      <w:r>
        <w:rPr>
          <w:rStyle w:val="SectionNumber"/>
        </w:rPr>
        <w:t xml:space="preserve">6.4.3.1</w:t>
      </w:r>
      <w:r>
        <w:tab/>
      </w:r>
      <w:r>
        <w:t xml:space="preserve">Starting a module on AnVIL</w:t>
      </w:r>
    </w:p>
    <w:p>
      <w:pPr>
        <w:pStyle w:val="FirstParagraph"/>
      </w:pPr>
      <w:r>
        <w:t xml:space="preserve">When you open the workspace, you will be on the dashboard tab by default. The dashboard contains the instructions on how to use the workspace, links to C-MOOR websites, and the startup script. Let’s try running a module.</w:t>
      </w:r>
    </w:p>
    <w:p>
      <w:pPr>
        <w:pStyle w:val="BodyText"/>
      </w:pPr>
      <w:r>
        <w:drawing>
          <wp:inline>
            <wp:extent cx="5334000" cy="3000375"/>
            <wp:effectExtent b="0" l="0" r="0" t="0"/>
            <wp:docPr descr="" title="" id="161" name="Picture"/>
            <a:graphic>
              <a:graphicData uri="http://schemas.openxmlformats.org/drawingml/2006/picture">
                <pic:pic>
                  <pic:nvPicPr>
                    <pic:cNvPr descr="anvil-run-module_files/figure-docx//11wb3b7i9SwrDX_WO3mWNAycd2mbY4Moy8SuT0X3XvXo_g3709d9ac459_0_271.png" id="162" name="Picture"/>
                    <pic:cNvPicPr>
                      <a:picLocks noChangeArrowheads="1" noChangeAspect="1"/>
                    </pic:cNvPicPr>
                  </pic:nvPicPr>
                  <pic:blipFill>
                    <a:blip r:embed="rId16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0"/>
        </w:numPr>
      </w:pPr>
      <w:r>
        <w:t xml:space="preserve">Take note of the container image for the custom environment. We recommend copying this to a word document or notepad. Make sure there are no spaces before or after what you copy. You will need to input this URL soon.</w:t>
      </w:r>
    </w:p>
    <w:p>
      <w:pPr>
        <w:numPr>
          <w:ilvl w:val="0"/>
          <w:numId w:val="1050"/>
        </w:numPr>
      </w:pPr>
      <w:r>
        <w:t xml:space="preserve">Take note of the startup script. Make sure there are no spaces before or after what you copy. This script is held in the original workspace everyone cloned. It does not have to be in your own workspace for it to work. You will need to input this URL soon.</w:t>
      </w:r>
    </w:p>
    <w:p>
      <w:pPr>
        <w:numPr>
          <w:ilvl w:val="0"/>
          <w:numId w:val="1050"/>
        </w:numPr>
      </w:pPr>
      <w:r>
        <w:t xml:space="preserve">Click on the Environment Configuration button , the cloud with a thunderbolt.</w:t>
      </w:r>
    </w:p>
    <w:p>
      <w:pPr>
        <w:pStyle w:val="FirstParagraph"/>
      </w:pPr>
      <w:r>
        <w:drawing>
          <wp:inline>
            <wp:extent cx="5334000" cy="3000375"/>
            <wp:effectExtent b="0" l="0" r="0" t="0"/>
            <wp:docPr descr="" title="" id="164" name="Picture"/>
            <a:graphic>
              <a:graphicData uri="http://schemas.openxmlformats.org/drawingml/2006/picture">
                <pic:pic>
                  <pic:nvPicPr>
                    <pic:cNvPr descr="anvil-run-module_files/figure-docx//11wb3b7i9SwrDX_WO3mWNAycd2mbY4Moy8SuT0X3XvXo_g3709d9ac459_0_275.png" id="165" name="Picture"/>
                    <pic:cNvPicPr>
                      <a:picLocks noChangeArrowheads="1" noChangeAspect="1"/>
                    </pic:cNvPicPr>
                  </pic:nvPicPr>
                  <pic:blipFill>
                    <a:blip r:embed="rId16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1"/>
        </w:numPr>
      </w:pPr>
      <w:r>
        <w:t xml:space="preserve">In the RStudio section, click Settings.</w:t>
      </w:r>
    </w:p>
    <w:p>
      <w:pPr>
        <w:numPr>
          <w:ilvl w:val="0"/>
          <w:numId w:val="1051"/>
        </w:numPr>
      </w:pPr>
      <w:r>
        <w:t xml:space="preserve">Make sure you have the following settings matching these instructions. Under Application configuration, choose</w:t>
      </w:r>
      <w:r>
        <w:t xml:space="preserve"> </w:t>
      </w:r>
      <w:r>
        <w:t xml:space="preserve">“</w:t>
      </w:r>
      <w:r>
        <w:t xml:space="preserve">Custom environment</w:t>
      </w:r>
      <w:r>
        <w:t xml:space="preserve">”</w:t>
      </w:r>
      <w:r>
        <w:t xml:space="preserve">. In the container image field that appears, paste the container image URL that we copied earlier from the workspace. The URL should end with Bioconductor 3.19.1. In the startup script field, paste the URL for the startup script. This URL contains the words C-MOOR Startup Script.</w:t>
      </w:r>
      <w:r>
        <w:t xml:space="preserve"> </w:t>
      </w:r>
    </w:p>
    <w:p>
      <w:pPr>
        <w:numPr>
          <w:ilvl w:val="0"/>
          <w:numId w:val="1051"/>
        </w:numPr>
      </w:pPr>
      <w:r>
        <w:t xml:space="preserve">Select 4 CPUs and 15 gigabytes of memory.</w:t>
      </w:r>
    </w:p>
    <w:p>
      <w:pPr>
        <w:numPr>
          <w:ilvl w:val="0"/>
          <w:numId w:val="1051"/>
        </w:numPr>
      </w:pPr>
      <w:r>
        <w:t xml:space="preserve">Confirm that the cloud compute cost is 20 cents per hour. If it is not 20 cents per hour, reselect CPUs and memory allocation in part 6. This is a known bug in AnVIL at the writing of this guide.</w:t>
      </w:r>
    </w:p>
    <w:p>
      <w:pPr>
        <w:numPr>
          <w:ilvl w:val="0"/>
          <w:numId w:val="1051"/>
        </w:numPr>
      </w:pPr>
      <w:r>
        <w:t xml:space="preserve">Scroll to the bottom of the window and click</w:t>
      </w:r>
      <w:r>
        <w:t xml:space="preserve"> </w:t>
      </w:r>
      <w:r>
        <w:t xml:space="preserve">“</w:t>
      </w:r>
      <w:r>
        <w:t xml:space="preserve">Create</w:t>
      </w:r>
      <w:r>
        <w:t xml:space="preserve">”</w:t>
      </w:r>
      <w:r>
        <w:t xml:space="preserve">.</w:t>
      </w:r>
    </w:p>
    <w:p>
      <w:pPr>
        <w:pStyle w:val="FirstParagraph"/>
      </w:pPr>
      <w:r>
        <w:drawing>
          <wp:inline>
            <wp:extent cx="5334000" cy="3000375"/>
            <wp:effectExtent b="0" l="0" r="0" t="0"/>
            <wp:docPr descr="" title="" id="167" name="Picture"/>
            <a:graphic>
              <a:graphicData uri="http://schemas.openxmlformats.org/drawingml/2006/picture">
                <pic:pic>
                  <pic:nvPicPr>
                    <pic:cNvPr descr="anvil-run-module_files/figure-docx//11wb3b7i9SwrDX_WO3mWNAycd2mbY4Moy8SuT0X3XvXo_g3709d9ac459_0_279.png" id="168" name="Picture"/>
                    <pic:cNvPicPr>
                      <a:picLocks noChangeArrowheads="1" noChangeAspect="1"/>
                    </pic:cNvPicPr>
                  </pic:nvPicPr>
                  <pic:blipFill>
                    <a:blip r:embed="rId1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It will take some time for the RStudio Environment to be created. You can keep track of the status of the environment based on the colored dot next to the RStudio icon. The dot will turn green when the environment is ready. While it is loading (blue), you cannot interact with it.</w:t>
      </w:r>
    </w:p>
    <w:p>
      <w:pPr>
        <w:pStyle w:val="BodyText"/>
      </w:pPr>
      <w:r>
        <w:drawing>
          <wp:inline>
            <wp:extent cx="5334000" cy="3000375"/>
            <wp:effectExtent b="0" l="0" r="0" t="0"/>
            <wp:docPr descr="" title="" id="170" name="Picture"/>
            <a:graphic>
              <a:graphicData uri="http://schemas.openxmlformats.org/drawingml/2006/picture">
                <pic:pic>
                  <pic:nvPicPr>
                    <pic:cNvPr descr="anvil-run-module_files/figure-docx//11wb3b7i9SwrDX_WO3mWNAycd2mbY4Moy8SuT0X3XvXo_g3709d9ac459_0_283.png" id="171" name="Picture"/>
                    <pic:cNvPicPr>
                      <a:picLocks noChangeArrowheads="1" noChangeAspect="1"/>
                    </pic:cNvPicPr>
                  </pic:nvPicPr>
                  <pic:blipFill>
                    <a:blip r:embed="rId16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2"/>
        </w:numPr>
        <w:pStyle w:val="Compact"/>
      </w:pPr>
      <w:r>
        <w:t xml:space="preserve">When the environment is ready, use the Open RStudio button that will pop up. You can also access RStudio through the Analyses tab. If you hold down Ctrl as you click, you can open RStudio in a new window.</w:t>
      </w:r>
    </w:p>
    <w:p>
      <w:pPr>
        <w:pStyle w:val="FirstParagraph"/>
      </w:pPr>
      <w:r>
        <w:drawing>
          <wp:inline>
            <wp:extent cx="5334000" cy="3000375"/>
            <wp:effectExtent b="0" l="0" r="0" t="0"/>
            <wp:docPr descr="" title="" id="173" name="Picture"/>
            <a:graphic>
              <a:graphicData uri="http://schemas.openxmlformats.org/drawingml/2006/picture">
                <pic:pic>
                  <pic:nvPicPr>
                    <pic:cNvPr descr="anvil-run-module_files/figure-docx//11wb3b7i9SwrDX_WO3mWNAycd2mbY4Moy8SuT0X3XvXo_g3709d9ac459_0_287.png" id="174" name="Picture"/>
                    <pic:cNvPicPr>
                      <a:picLocks noChangeArrowheads="1" noChangeAspect="1"/>
                    </pic:cNvPicPr>
                  </pic:nvPicPr>
                  <pic:blipFill>
                    <a:blip r:embed="rId17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3"/>
        </w:numPr>
        <w:pStyle w:val="Compact"/>
      </w:pPr>
      <w:r>
        <w:t xml:space="preserve">Use the file explorer in RStudio to navigate to your module of choice. From the folder called cure-rnaseq, go to tutorials, and then the folder of the module you want.</w:t>
      </w:r>
    </w:p>
    <w:p>
      <w:pPr>
        <w:pStyle w:val="FirstParagraph"/>
      </w:pPr>
      <w:r>
        <w:drawing>
          <wp:inline>
            <wp:extent cx="5334000" cy="3000375"/>
            <wp:effectExtent b="0" l="0" r="0" t="0"/>
            <wp:docPr descr="" title="" id="176" name="Picture"/>
            <a:graphic>
              <a:graphicData uri="http://schemas.openxmlformats.org/drawingml/2006/picture">
                <pic:pic>
                  <pic:nvPicPr>
                    <pic:cNvPr descr="anvil-run-module_files/figure-docx//11wb3b7i9SwrDX_WO3mWNAycd2mbY4Moy8SuT0X3XvXo_g3709d9ac459_0_291.png" id="177" name="Picture"/>
                    <pic:cNvPicPr>
                      <a:picLocks noChangeArrowheads="1" noChangeAspect="1"/>
                    </pic:cNvPicPr>
                  </pic:nvPicPr>
                  <pic:blipFill>
                    <a:blip r:embed="rId17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4"/>
        </w:numPr>
        <w:pStyle w:val="Compact"/>
      </w:pPr>
      <w:r>
        <w:t xml:space="preserve">In the module’s directory, open the .Rmd file by double clicking its name.</w:t>
      </w:r>
    </w:p>
    <w:p>
      <w:pPr>
        <w:pStyle w:val="FirstParagraph"/>
      </w:pPr>
      <w:r>
        <w:drawing>
          <wp:inline>
            <wp:extent cx="5334000" cy="3000375"/>
            <wp:effectExtent b="0" l="0" r="0" t="0"/>
            <wp:docPr descr="" title="" id="179" name="Picture"/>
            <a:graphic>
              <a:graphicData uri="http://schemas.openxmlformats.org/drawingml/2006/picture">
                <pic:pic>
                  <pic:nvPicPr>
                    <pic:cNvPr descr="anvil-run-module_files/figure-docx//11wb3b7i9SwrDX_WO3mWNAycd2mbY4Moy8SuT0X3XvXo_g3709d9ac459_0_295.png" id="180" name="Picture"/>
                    <pic:cNvPicPr>
                      <a:picLocks noChangeArrowheads="1" noChangeAspect="1"/>
                    </pic:cNvPicPr>
                  </pic:nvPicPr>
                  <pic:blipFill>
                    <a:blip r:embed="rId17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5"/>
        </w:numPr>
        <w:pStyle w:val="Compact"/>
      </w:pPr>
      <w:r>
        <w:t xml:space="preserve">Click Run Document in the open .Rmd file</w:t>
      </w:r>
    </w:p>
    <w:p>
      <w:pPr>
        <w:pStyle w:val="FirstParagraph"/>
      </w:pPr>
      <w:r>
        <w:rPr>
          <w:bCs/>
          <w:b/>
        </w:rPr>
        <w:t xml:space="preserve">When you are finished, make sure you close out your session properly to prevent runaway costs!</w:t>
      </w:r>
      <w:r>
        <w:t xml:space="preserve">.</w:t>
      </w:r>
    </w:p>
    <w:bookmarkEnd w:id="181"/>
    <w:bookmarkEnd w:id="182"/>
    <w:bookmarkStart w:id="186" w:name="closing-out-a-session-on-anvil"/>
    <w:p>
      <w:pPr>
        <w:pStyle w:val="Heading3"/>
      </w:pPr>
      <w:r>
        <w:rPr>
          <w:rStyle w:val="SectionNumber"/>
        </w:rPr>
        <w:t xml:space="preserve">6.4.4</w:t>
      </w:r>
      <w:r>
        <w:tab/>
      </w:r>
      <w:r>
        <w:t xml:space="preserve">Closing out a session on AnVIL</w:t>
      </w:r>
    </w:p>
    <w:p>
      <w:pPr>
        <w:pStyle w:val="FirstParagraph"/>
      </w:pPr>
      <w:r>
        <w:drawing>
          <wp:inline>
            <wp:extent cx="5334000" cy="3000375"/>
            <wp:effectExtent b="0" l="0" r="0" t="0"/>
            <wp:docPr descr="" title="" id="184" name="Picture"/>
            <a:graphic>
              <a:graphicData uri="http://schemas.openxmlformats.org/drawingml/2006/picture">
                <pic:pic>
                  <pic:nvPicPr>
                    <pic:cNvPr descr="anvil-run-module_files/figure-docx//11wb3b7i9SwrDX_WO3mWNAycd2mbY4Moy8SuT0X3XvXo_g3709d9ac459_0_299.png" id="185" name="Picture"/>
                    <pic:cNvPicPr>
                      <a:picLocks noChangeArrowheads="1" noChangeAspect="1"/>
                    </pic:cNvPicPr>
                  </pic:nvPicPr>
                  <pic:blipFill>
                    <a:blip r:embed="rId18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6"/>
        </w:numPr>
        <w:pStyle w:val="Compact"/>
      </w:pPr>
      <w:r>
        <w:t xml:space="preserve">On the right side of the screen, click the Cloud Environment button. This is the Cloud with the lighting symbol.</w:t>
      </w:r>
    </w:p>
    <w:p>
      <w:pPr>
        <w:numPr>
          <w:ilvl w:val="0"/>
          <w:numId w:val="1056"/>
        </w:numPr>
        <w:pStyle w:val="Compact"/>
      </w:pPr>
      <w:r>
        <w:t xml:space="preserve">Under the RStudio section, click settings.</w:t>
      </w:r>
    </w:p>
    <w:p>
      <w:pPr>
        <w:numPr>
          <w:ilvl w:val="0"/>
          <w:numId w:val="1056"/>
        </w:numPr>
        <w:pStyle w:val="Compact"/>
      </w:pPr>
      <w:r>
        <w:t xml:space="preserve">Scroll to the bottom of the new window and click delete environment.</w:t>
      </w:r>
    </w:p>
    <w:p>
      <w:pPr>
        <w:numPr>
          <w:ilvl w:val="0"/>
          <w:numId w:val="1056"/>
        </w:numPr>
        <w:pStyle w:val="Compact"/>
      </w:pPr>
      <w:r>
        <w:t xml:space="preserve">Check</w:t>
      </w:r>
      <w:r>
        <w:t xml:space="preserve"> </w:t>
      </w:r>
      <w:r>
        <w:rPr>
          <w:bCs/>
          <w:b/>
        </w:rPr>
        <w:t xml:space="preserve">Delete everything, including the persistent disk or your instructor’s billing account will incur costs for storage</w:t>
      </w:r>
      <w:r>
        <w:t xml:space="preserve">.</w:t>
      </w:r>
    </w:p>
    <w:bookmarkEnd w:id="186"/>
    <w:bookmarkEnd w:id="187"/>
    <w:bookmarkEnd w:id="188"/>
    <w:bookmarkStart w:id="268" w:name="scientific-posters"/>
    <w:p>
      <w:pPr>
        <w:pStyle w:val="Heading1"/>
      </w:pPr>
      <w:r>
        <w:rPr>
          <w:rStyle w:val="SectionNumber"/>
        </w:rPr>
        <w:t xml:space="preserve">7</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057"/>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058"/>
        </w:numPr>
        <w:pStyle w:val="Compact"/>
      </w:pPr>
      <w:r>
        <w:t xml:space="preserve">The Clovis Community College Research Day</w:t>
      </w:r>
    </w:p>
    <w:p>
      <w:pPr>
        <w:numPr>
          <w:ilvl w:val="1"/>
          <w:numId w:val="1058"/>
        </w:numPr>
        <w:pStyle w:val="Compact"/>
      </w:pPr>
      <w:r>
        <w:t xml:space="preserve">The Notre Dame of Maryland University Research Day</w:t>
      </w:r>
    </w:p>
    <w:p>
      <w:pPr>
        <w:numPr>
          <w:ilvl w:val="1"/>
          <w:numId w:val="1058"/>
        </w:numPr>
        <w:pStyle w:val="Compact"/>
      </w:pPr>
      <w:r>
        <w:t xml:space="preserve">The GRADS-4C Conference (2025)</w:t>
      </w:r>
    </w:p>
    <w:p>
      <w:pPr>
        <w:pStyle w:val="FirstParagraph"/>
      </w:pPr>
      <w:r>
        <w:drawing>
          <wp:inline>
            <wp:extent cx="5334000" cy="3000375"/>
            <wp:effectExtent b="0" l="0" r="0" t="0"/>
            <wp:docPr descr="" title="" id="190" name="Picture"/>
            <a:graphic>
              <a:graphicData uri="http://schemas.openxmlformats.org/drawingml/2006/picture">
                <pic:pic>
                  <pic:nvPicPr>
                    <pic:cNvPr descr="making-group-poster_files/figure-docx//1dI8-_iVqbkzNMf11M4dK85E8ZW3OyZECs_YwMKw5fhs_g362974128df_0_0.png" id="191" name="Picture"/>
                    <pic:cNvPicPr>
                      <a:picLocks noChangeArrowheads="1" noChangeAspect="1"/>
                    </pic:cNvPicPr>
                  </pic:nvPicPr>
                  <pic:blipFill>
                    <a:blip r:embed="rId18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59"/>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059"/>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192">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059"/>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193">
        <w:r>
          <w:rPr>
            <w:rStyle w:val="Hyperlink"/>
          </w:rPr>
          <w:t xml:space="preserve">poster on posters!</w:t>
        </w:r>
      </w:hyperlink>
    </w:p>
    <w:bookmarkStart w:id="242" w:name="making-group-poster"/>
    <w:p>
      <w:pPr>
        <w:pStyle w:val="Heading2"/>
      </w:pPr>
      <w:r>
        <w:rPr>
          <w:rStyle w:val="SectionNumber"/>
        </w:rPr>
        <w:t xml:space="preserve">7.1</w:t>
      </w:r>
      <w:r>
        <w:tab/>
      </w:r>
      <w:r>
        <w:t xml:space="preserve">Making Group Poster</w:t>
      </w:r>
    </w:p>
    <w:bookmarkStart w:id="194" w:name="preparing-to-make-a-poster"/>
    <w:p>
      <w:pPr>
        <w:pStyle w:val="Heading3"/>
      </w:pPr>
      <w:r>
        <w:rPr>
          <w:rStyle w:val="SectionNumber"/>
        </w:rPr>
        <w:t xml:space="preserve">7.1.1</w:t>
      </w:r>
      <w:r>
        <w:tab/>
      </w:r>
      <w:r>
        <w:t xml:space="preserve">Preparing to make a poster</w:t>
      </w:r>
    </w:p>
    <w:p>
      <w:pPr>
        <w:pStyle w:val="FirstParagraph"/>
      </w:pPr>
      <w:r>
        <w:t xml:space="preserve">An important part of scientific research is presenting your findings.</w:t>
      </w:r>
      <w:r>
        <w:t xml:space="preserve"> </w:t>
      </w:r>
      <w:r>
        <w:t xml:space="preserve">Poster is a powerful visual way to communicate new and exciting findings, share ideas and get feedback.</w:t>
      </w:r>
      <w:r>
        <w:t xml:space="preserve"> </w:t>
      </w:r>
      <w:r>
        <w:t xml:space="preserve">No wonder Poster sessions are an integral part of any conference or symposium.</w:t>
      </w:r>
      <w:r>
        <w:t xml:space="preserve"> </w:t>
      </w:r>
      <w:r>
        <w:t xml:space="preserve">Throughout research project work, students will work with their groups to put together a scientific research poster.</w:t>
      </w:r>
    </w:p>
    <w:bookmarkEnd w:id="194"/>
    <w:bookmarkStart w:id="196" w:name="part-1---choose-a-template"/>
    <w:p>
      <w:pPr>
        <w:pStyle w:val="Heading3"/>
      </w:pPr>
      <w:r>
        <w:rPr>
          <w:rStyle w:val="SectionNumber"/>
        </w:rPr>
        <w:t xml:space="preserve">7.1.2</w:t>
      </w:r>
      <w:r>
        <w:tab/>
      </w:r>
      <w:r>
        <w:t xml:space="preserve">Part 1 - Choose a Template</w:t>
      </w:r>
    </w:p>
    <w:p>
      <w:pPr>
        <w:pStyle w:val="FirstParagraph"/>
      </w:pPr>
      <w:r>
        <w:rPr>
          <w:iCs/>
          <w:i/>
        </w:rPr>
        <w:t xml:space="preserve">Estimated time: 5 minutes</w:t>
      </w:r>
    </w:p>
    <w:p>
      <w:pPr>
        <w:numPr>
          <w:ilvl w:val="0"/>
          <w:numId w:val="1060"/>
        </w:numPr>
        <w:pStyle w:val="Compact"/>
      </w:pPr>
      <w:r>
        <w:t xml:space="preserve">With your group, open a suggested</w:t>
      </w:r>
      <w:r>
        <w:t xml:space="preserve"> </w:t>
      </w:r>
      <w:hyperlink r:id="rId195">
        <w:r>
          <w:rPr>
            <w:rStyle w:val="Hyperlink"/>
          </w:rPr>
          <w:t xml:space="preserve">poster template</w:t>
        </w:r>
      </w:hyperlink>
      <w:r>
        <w:t xml:space="preserve"> </w:t>
      </w:r>
      <w:r>
        <w:t xml:space="preserve">to use for your poster.</w:t>
      </w:r>
    </w:p>
    <w:p>
      <w:pPr>
        <w:numPr>
          <w:ilvl w:val="0"/>
          <w:numId w:val="1060"/>
        </w:numPr>
        <w:pStyle w:val="Compact"/>
      </w:pPr>
      <w:r>
        <w:t xml:space="preserve">Discuss with your group how you will divide up the work and exchange important information (e.g. phone numbers, email). Consider the following sections:</w:t>
      </w:r>
    </w:p>
    <w:p>
      <w:pPr>
        <w:numPr>
          <w:ilvl w:val="0"/>
          <w:numId w:val="1061"/>
        </w:numPr>
        <w:pStyle w:val="Compact"/>
      </w:pPr>
      <w:r>
        <w:t xml:space="preserve">Abstract/Introduction</w:t>
      </w:r>
    </w:p>
    <w:p>
      <w:pPr>
        <w:numPr>
          <w:ilvl w:val="0"/>
          <w:numId w:val="1061"/>
        </w:numPr>
        <w:pStyle w:val="Compact"/>
      </w:pPr>
      <w:r>
        <w:t xml:space="preserve">Methods</w:t>
      </w:r>
    </w:p>
    <w:p>
      <w:pPr>
        <w:numPr>
          <w:ilvl w:val="0"/>
          <w:numId w:val="1061"/>
        </w:numPr>
        <w:pStyle w:val="Compact"/>
      </w:pPr>
      <w:r>
        <w:t xml:space="preserve">Results</w:t>
      </w:r>
    </w:p>
    <w:p>
      <w:pPr>
        <w:numPr>
          <w:ilvl w:val="0"/>
          <w:numId w:val="1061"/>
        </w:numPr>
        <w:pStyle w:val="Compact"/>
      </w:pPr>
      <w:r>
        <w:t xml:space="preserve">Conclusions/Discussion</w:t>
      </w:r>
    </w:p>
    <w:p>
      <w:pPr>
        <w:numPr>
          <w:ilvl w:val="0"/>
          <w:numId w:val="1061"/>
        </w:numPr>
        <w:pStyle w:val="Compact"/>
      </w:pPr>
      <w:r>
        <w:t xml:space="preserve">References</w:t>
      </w:r>
    </w:p>
    <w:p>
      <w:pPr>
        <w:numPr>
          <w:ilvl w:val="0"/>
          <w:numId w:val="1061"/>
        </w:numPr>
        <w:pStyle w:val="Compact"/>
      </w:pPr>
      <w:r>
        <w:t xml:space="preserve">Acknowledgments</w:t>
      </w:r>
    </w:p>
    <w:p>
      <w:pPr>
        <w:pStyle w:val="FirstParagraph"/>
      </w:pPr>
      <w:r>
        <w:t xml:space="preserve">Notice these posters are sized at 36 x 42 inches, but there are many other commonly used sizes.</w:t>
      </w:r>
      <w:r>
        <w:t xml:space="preserve"> </w:t>
      </w:r>
      <w:r>
        <w:t xml:space="preserve">Refer to your instructor on what poster size to use; not every poster will fit every stand when printed (if applicable).</w:t>
      </w:r>
      <w:r>
        <w:t xml:space="preserve"> </w:t>
      </w:r>
      <w:r>
        <w:t xml:space="preserve">Notice that the posters in this slidedeck come in two-column, three-column, and mixed formats.</w:t>
      </w:r>
      <w:r>
        <w:t xml:space="preserve"> </w:t>
      </w:r>
      <w:r>
        <w:t xml:space="preserve">Think about your figures and tables and select a format that makes the most sense for them.</w:t>
      </w:r>
      <w:r>
        <w:t xml:space="preserve"> </w:t>
      </w:r>
      <w:r>
        <w:t xml:space="preserve">There are also some example posters in the last two slides that we will use to examine the anatomy of a research poster further in the next part.</w:t>
      </w:r>
    </w:p>
    <w:bookmarkEnd w:id="196"/>
    <w:bookmarkStart w:id="234" w:name="X9dd2b8024e6c3fdd878c8e33fa6eaacd3888b94"/>
    <w:p>
      <w:pPr>
        <w:pStyle w:val="Heading3"/>
      </w:pPr>
      <w:r>
        <w:rPr>
          <w:rStyle w:val="SectionNumber"/>
        </w:rPr>
        <w:t xml:space="preserve">7.1.3</w:t>
      </w:r>
      <w:r>
        <w:tab/>
      </w:r>
      <w:r>
        <w:t xml:space="preserve">Part 2 - Make an Academic Research Poster</w:t>
      </w:r>
    </w:p>
    <w:p>
      <w:pPr>
        <w:pStyle w:val="FirstParagraph"/>
      </w:pPr>
      <w:r>
        <w:rPr>
          <w:iCs/>
          <w:i/>
        </w:rPr>
        <w:t xml:space="preserve">Estimated time: —</w:t>
      </w:r>
    </w:p>
    <w:p>
      <w:pPr>
        <w:pStyle w:val="BodyTex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200" w:name="X617250bed78d561e84c31c5ecdd196317cafb67"/>
    <w:p>
      <w:pPr>
        <w:pStyle w:val="Heading4"/>
      </w:pPr>
      <w:r>
        <w:rPr>
          <w:rStyle w:val="SectionNumber"/>
        </w:rPr>
        <w:t xml:space="preserve">7.1.3.1</w:t>
      </w:r>
      <w:r>
        <w:tab/>
      </w:r>
      <w:r>
        <w:t xml:space="preserve">The header: title, authors, and affiliations</w:t>
      </w:r>
    </w:p>
    <w:p>
      <w:pPr>
        <w:pStyle w:val="FirstParagraph"/>
      </w:pPr>
      <w:r>
        <w:drawing>
          <wp:inline>
            <wp:extent cx="5334000" cy="3000375"/>
            <wp:effectExtent b="0" l="0" r="0" t="0"/>
            <wp:docPr descr="" title="" id="198" name="Picture"/>
            <a:graphic>
              <a:graphicData uri="http://schemas.openxmlformats.org/drawingml/2006/picture">
                <pic:pic>
                  <pic:nvPicPr>
                    <pic:cNvPr descr="making-group-poster_files/figure-docx//1hYKF7Ss3vJ8rrUIH7ByNh1BUlRa2fhsJhq8MXzEowCc_g33d6e3b928f_0_67.png" id="199" name="Picture"/>
                    <pic:cNvPicPr>
                      <a:picLocks noChangeArrowheads="1" noChangeAspect="1"/>
                    </pic:cNvPicPr>
                  </pic:nvPicPr>
                  <pic:blipFill>
                    <a:blip r:embed="rId1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06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062"/>
        </w:numPr>
        <w:pStyle w:val="Compact"/>
      </w:pPr>
      <w:r>
        <w:t xml:space="preserve">If multiple institutions exist, you will need to use superscript to denote who has what affiliation (see the example poster).</w:t>
      </w:r>
    </w:p>
    <w:p>
      <w:pPr>
        <w:pStyle w:val="FirstParagraph"/>
      </w:pPr>
      <w:r>
        <w:t xml:space="preserve">Include the C-MOOR logo, the logo of your institution(s), and the most immediately relevant funding source (if applicable) in the header.</w:t>
      </w:r>
    </w:p>
    <w:p>
      <w:pPr>
        <w:pStyle w:val="BodyText"/>
      </w:pPr>
      <w:r>
        <w:rPr>
          <w:bCs/>
          <w:b/>
        </w:rPr>
        <w:t xml:space="preserve">Check the header of your poster:</w:t>
      </w:r>
    </w:p>
    <w:p>
      <w:pPr>
        <w:pStyle w:val="SourceCode"/>
      </w:pPr>
      <w:r>
        <w:rPr>
          <w:rStyle w:val="VerbatimChar"/>
        </w:rPr>
        <w:t xml:space="preserve">- All authors are listed</w:t>
      </w:r>
      <w:r>
        <w:br/>
      </w:r>
      <w:r>
        <w:rPr>
          <w:rStyle w:val="VerbatimChar"/>
        </w:rPr>
        <w:t xml:space="preserve">- All authors’ home institutions are referenced</w:t>
      </w:r>
      <w:r>
        <w:br/>
      </w:r>
      <w:r>
        <w:rPr>
          <w:rStyle w:val="VerbatimChar"/>
        </w:rPr>
        <w:t xml:space="preserve">- The title of the poster is short and focused on your specific project topic</w:t>
      </w:r>
      <w:r>
        <w:br/>
      </w:r>
      <w:r>
        <w:rPr>
          <w:rStyle w:val="VerbatimChar"/>
        </w:rPr>
        <w:t xml:space="preserve">- Appropriate logos are included: E.g. the C-MOOR logo, the logo of your institution</w:t>
      </w:r>
      <w:r>
        <w:br/>
      </w:r>
      <w:r>
        <w:rPr>
          <w:rStyle w:val="VerbatimChar"/>
        </w:rPr>
        <w:t xml:space="preserve">- Relevant funding source (if applicable) is listed</w:t>
      </w:r>
    </w:p>
    <w:p>
      <w:pPr>
        <w:pStyle w:val="FirstParagraph"/>
      </w:pPr>
      <w:r>
        <w:t xml:space="preserve">A note on the title:</w:t>
      </w:r>
    </w:p>
    <w:p>
      <w:pPr>
        <w:numPr>
          <w:ilvl w:val="0"/>
          <w:numId w:val="1063"/>
        </w:numPr>
        <w:pStyle w:val="Compact"/>
      </w:pPr>
      <w:r>
        <w:t xml:space="preserve">The title of the poster describes the main result of your research</w:t>
      </w:r>
    </w:p>
    <w:p>
      <w:pPr>
        <w:numPr>
          <w:ilvl w:val="0"/>
          <w:numId w:val="1063"/>
        </w:numPr>
        <w:pStyle w:val="Compact"/>
      </w:pPr>
      <w:r>
        <w:t xml:space="preserve">The title of the poster does not overstate the findings or significance of your research</w:t>
      </w:r>
    </w:p>
    <w:bookmarkEnd w:id="200"/>
    <w:bookmarkStart w:id="204" w:name="abstract"/>
    <w:p>
      <w:pPr>
        <w:pStyle w:val="Heading4"/>
      </w:pPr>
      <w:r>
        <w:rPr>
          <w:rStyle w:val="SectionNumber"/>
        </w:rPr>
        <w:t xml:space="preserve">7.1.3.2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202" name="Picture"/>
            <a:graphic>
              <a:graphicData uri="http://schemas.openxmlformats.org/drawingml/2006/picture">
                <pic:pic>
                  <pic:nvPicPr>
                    <pic:cNvPr descr="making-group-poster_files/figure-docx//1dI8-_iVqbkzNMf11M4dK85E8ZW3OyZECs_YwMKw5fhs_g36d8202a6d3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be well designed and communicated, and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w:t>
      </w:r>
    </w:p>
    <w:p>
      <w:pPr>
        <w:pStyle w:val="BodyText"/>
      </w:pPr>
      <w:r>
        <w:rPr>
          <w:bCs/>
          <w:b/>
        </w:rPr>
        <w:t xml:space="preserve">Your abstract should do the following:</w:t>
      </w:r>
    </w:p>
    <w:p>
      <w:pPr>
        <w:numPr>
          <w:ilvl w:val="0"/>
          <w:numId w:val="1064"/>
        </w:numPr>
        <w:pStyle w:val="Compact"/>
      </w:pPr>
      <w:r>
        <w:rPr>
          <w:bCs/>
          <w:b/>
        </w:rPr>
        <w:t xml:space="preserve">Clearly and briefly</w:t>
      </w:r>
      <w:r>
        <w:t xml:space="preserve"> </w:t>
      </w:r>
      <w:r>
        <w:t xml:space="preserve">state purpose,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065"/>
        </w:numPr>
        <w:pStyle w:val="Compact"/>
      </w:pPr>
      <w:r>
        <w:rPr>
          <w:bCs/>
          <w:b/>
        </w:rPr>
        <w:t xml:space="preserve">Clearly and briefly</w:t>
      </w:r>
      <w:r>
        <w:t xml:space="preserve"> </w:t>
      </w:r>
      <w:r>
        <w:t xml:space="preserve">summarize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066"/>
        </w:numPr>
        <w:pStyle w:val="Compact"/>
      </w:pPr>
      <w:r>
        <w:rPr>
          <w:bCs/>
          <w:b/>
        </w:rPr>
        <w:t xml:space="preserve">Clearly and briefly</w:t>
      </w:r>
      <w:r>
        <w:t xml:space="preserve"> </w:t>
      </w: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p>
      <w:pPr>
        <w:numPr>
          <w:ilvl w:val="0"/>
          <w:numId w:val="1067"/>
        </w:numPr>
        <w:pStyle w:val="Compact"/>
      </w:pPr>
      <w:r>
        <w:rPr>
          <w:bCs/>
          <w:b/>
        </w:rPr>
        <w:t xml:space="preserve">Clearly and briefly</w:t>
      </w:r>
      <w:r>
        <w:t xml:space="preserve"> </w:t>
      </w:r>
      <w:r>
        <w:t xml:space="preserve">summarize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pStyle w:val="FirstParagraph"/>
      </w:pPr>
      <w:r>
        <w:rPr>
          <w:iCs/>
          <w:i/>
          <w:bCs/>
          <w:b/>
        </w:rPr>
        <w:t xml:space="preserve">Overall, the Abstract is heavy on summary aspect of things, and lean on details aspect of things</w:t>
      </w:r>
      <w:r>
        <w:t xml:space="preserve">.</w:t>
      </w:r>
    </w:p>
    <w:bookmarkEnd w:id="204"/>
    <w:bookmarkStart w:id="211" w:name="introduction"/>
    <w:p>
      <w:pPr>
        <w:pStyle w:val="Heading4"/>
      </w:pPr>
      <w:r>
        <w:rPr>
          <w:rStyle w:val="SectionNumber"/>
        </w:rPr>
        <w:t xml:space="preserve">7.1.3.3</w:t>
      </w:r>
      <w:r>
        <w:tab/>
      </w:r>
      <w:r>
        <w:t xml:space="preserve">Introduction</w:t>
      </w:r>
    </w:p>
    <w:p>
      <w:pPr>
        <w:pStyle w:val="FirstParagraph"/>
      </w:pPr>
      <w:r>
        <w:drawing>
          <wp:inline>
            <wp:extent cx="5334000" cy="3000375"/>
            <wp:effectExtent b="0" l="0" r="0" t="0"/>
            <wp:docPr descr="" title="" id="206" name="Picture"/>
            <a:graphic>
              <a:graphicData uri="http://schemas.openxmlformats.org/drawingml/2006/picture">
                <pic:pic>
                  <pic:nvPicPr>
                    <pic:cNvPr descr="making-group-poster_files/figure-docx//1dI8-_iVqbkzNMf11M4dK85E8ZW3OyZECs_YwMKw5fhs_g362974128df_0_18.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introduction typically appears immediately after the Abstract section, and while abstract is very brief and consise, Introduction provides more context and background information to your research.</w:t>
      </w:r>
      <w:r>
        <w:t xml:space="preserve"> </w:t>
      </w:r>
      <w:r>
        <w:t xml:space="preserve">Indeed, the main goal of the Introduction is to</w:t>
      </w:r>
      <w:r>
        <w:t xml:space="preserve"> </w:t>
      </w:r>
      <w:r>
        <w:rPr>
          <w:bCs/>
          <w:b/>
        </w:rPr>
        <w:t xml:space="preserve">clearly elaborate on relevant background information and provide context for research gap and hypothesis</w:t>
      </w:r>
      <w:r>
        <w:t xml:space="preserve">.</w:t>
      </w:r>
    </w:p>
    <w:p>
      <w:pPr>
        <w:pStyle w:val="BodyText"/>
      </w:pPr>
      <w:r>
        <w:rPr>
          <w:iCs/>
          <w:i/>
          <w:bCs/>
          <w:b/>
        </w:rPr>
        <w:t xml:space="preserve">Overall, the Introduction is longer than the Abstract, heavier on providing research context and background, and leaner on result summary and conclusions.</w:t>
      </w:r>
      <w:r>
        <w:t xml:space="preserve">.</w:t>
      </w:r>
    </w:p>
    <w:p>
      <w:pPr>
        <w:numPr>
          <w:ilvl w:val="0"/>
          <w:numId w:val="1068"/>
        </w:numPr>
        <w:pStyle w:val="Compact"/>
      </w:pPr>
      <w:r>
        <w:t xml:space="preserve">Sometimes, you will se an Introduction section used instead of the Abstract + Introduction sections, in which case, the Introduction will contain both, abstract information plus additional background information, such as this published PacBio’s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FirstParagraph"/>
      </w:pPr>
      <w:r>
        <w:drawing>
          <wp:inline>
            <wp:extent cx="5334000" cy="3000375"/>
            <wp:effectExtent b="0" l="0" r="0" t="0"/>
            <wp:docPr descr="" title="" id="209" name="Picture"/>
            <a:graphic>
              <a:graphicData uri="http://schemas.openxmlformats.org/drawingml/2006/picture">
                <pic:pic>
                  <pic:nvPicPr>
                    <pic:cNvPr descr="making-group-poster_files/figure-docx//1hYKF7Ss3vJ8rrUIH7ByNh1BUlRa2fhsJhq8MXzEowCc_g33d6e3b928f_0_149.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bookmarkEnd w:id="211"/>
    <w:bookmarkStart w:id="215" w:name="materials-and-methods"/>
    <w:p>
      <w:pPr>
        <w:pStyle w:val="Heading4"/>
      </w:pPr>
      <w:r>
        <w:rPr>
          <w:rStyle w:val="SectionNumber"/>
        </w:rPr>
        <w:t xml:space="preserve">7.1.3.4</w:t>
      </w:r>
      <w:r>
        <w:tab/>
      </w:r>
      <w:r>
        <w:t xml:space="preserve">Materials and Methods</w:t>
      </w:r>
    </w:p>
    <w:p>
      <w:pPr>
        <w:pStyle w:val="FirstParagraph"/>
      </w:pPr>
      <w:r>
        <w:drawing>
          <wp:inline>
            <wp:extent cx="5334000" cy="3000375"/>
            <wp:effectExtent b="0" l="0" r="0" t="0"/>
            <wp:docPr descr="" title="" id="213" name="Picture"/>
            <a:graphic>
              <a:graphicData uri="http://schemas.openxmlformats.org/drawingml/2006/picture">
                <pic:pic>
                  <pic:nvPicPr>
                    <pic:cNvPr descr="making-group-poster_files/figure-docx//1hYKF7Ss3vJ8rrUIH7ByNh1BUlRa2fhsJhq8MXzEowCc_g33d6e3b928f_1_1.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215"/>
    <w:bookmarkStart w:id="219" w:name="results"/>
    <w:p>
      <w:pPr>
        <w:pStyle w:val="Heading4"/>
      </w:pPr>
      <w:r>
        <w:rPr>
          <w:rStyle w:val="SectionNumber"/>
        </w:rPr>
        <w:t xml:space="preserve">7.1.3.5</w:t>
      </w:r>
      <w:r>
        <w:tab/>
      </w:r>
      <w:r>
        <w:t xml:space="preserve">Results</w:t>
      </w:r>
    </w:p>
    <w:p>
      <w:pPr>
        <w:pStyle w:val="FirstParagraph"/>
      </w:pPr>
      <w:r>
        <w:drawing>
          <wp:inline>
            <wp:extent cx="5334000" cy="3000375"/>
            <wp:effectExtent b="0" l="0" r="0" t="0"/>
            <wp:docPr descr="" title="" id="217" name="Picture"/>
            <a:graphic>
              <a:graphicData uri="http://schemas.openxmlformats.org/drawingml/2006/picture">
                <pic:pic>
                  <pic:nvPicPr>
                    <pic:cNvPr descr="making-group-poster_files/figure-docx//1hYKF7Ss3vJ8rrUIH7ByNh1BUlRa2fhsJhq8MXzEowCc_g33d6e3b928f_0_6.png" id="218" name="Picture"/>
                    <pic:cNvPicPr>
                      <a:picLocks noChangeArrowheads="1" noChangeAspect="1"/>
                    </pic:cNvPicPr>
                  </pic:nvPicPr>
                  <pic:blipFill>
                    <a:blip r:embed="rId2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069"/>
        </w:numPr>
        <w:pStyle w:val="Compact"/>
      </w:pPr>
      <w:r>
        <w:t xml:space="preserve">Has high resolution images, well spaced and labeled parts and text.</w:t>
      </w:r>
    </w:p>
    <w:p>
      <w:pPr>
        <w:numPr>
          <w:ilvl w:val="0"/>
          <w:numId w:val="106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07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070"/>
        </w:numPr>
        <w:pStyle w:val="Compact"/>
      </w:pPr>
      <w:r>
        <w:t xml:space="preserve">The legend should be in a smaller font than the main text on the poster.</w:t>
      </w:r>
    </w:p>
    <w:p>
      <w:pPr>
        <w:numPr>
          <w:ilvl w:val="0"/>
          <w:numId w:val="107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07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071"/>
        </w:numPr>
        <w:pStyle w:val="Compact"/>
      </w:pPr>
      <w:r>
        <w:t xml:space="preserve">Figures and Tables can have additional (optional) text. E.g.an optional text can describe the findings of the figure upfront to engage.</w:t>
      </w:r>
    </w:p>
    <w:p>
      <w:pPr>
        <w:numPr>
          <w:ilvl w:val="0"/>
          <w:numId w:val="107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071"/>
        </w:numPr>
        <w:pStyle w:val="Compact"/>
      </w:pPr>
      <w:r>
        <w:t xml:space="preserve">Bullet pointed text that summarizes the main findings of the figures/tables.</w:t>
      </w:r>
    </w:p>
    <w:bookmarkEnd w:id="219"/>
    <w:bookmarkStart w:id="223" w:name="conclusionsdiscussion"/>
    <w:p>
      <w:pPr>
        <w:pStyle w:val="Heading4"/>
      </w:pPr>
      <w:r>
        <w:rPr>
          <w:rStyle w:val="SectionNumber"/>
        </w:rPr>
        <w:t xml:space="preserve">7.1.3.6</w:t>
      </w:r>
      <w:r>
        <w:tab/>
      </w:r>
      <w:r>
        <w:t xml:space="preserve">Conclusions/Discussion</w:t>
      </w:r>
    </w:p>
    <w:p>
      <w:pPr>
        <w:pStyle w:val="FirstParagraph"/>
      </w:pPr>
      <w:r>
        <w:drawing>
          <wp:inline>
            <wp:extent cx="5334000" cy="3000375"/>
            <wp:effectExtent b="0" l="0" r="0" t="0"/>
            <wp:docPr descr="" title="" id="221" name="Picture"/>
            <a:graphic>
              <a:graphicData uri="http://schemas.openxmlformats.org/drawingml/2006/picture">
                <pic:pic>
                  <pic:nvPicPr>
                    <pic:cNvPr descr="making-group-poster_files/figure-docx//1dI8-_iVqbkzNMf11M4dK85E8ZW3OyZECs_YwMKw5fhs_g362974128df_0_52.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072"/>
        </w:numPr>
        <w:pStyle w:val="Compact"/>
      </w:pPr>
      <w:r>
        <w:t xml:space="preserve">What do your results mean?</w:t>
      </w:r>
    </w:p>
    <w:p>
      <w:pPr>
        <w:numPr>
          <w:ilvl w:val="0"/>
          <w:numId w:val="1072"/>
        </w:numPr>
        <w:pStyle w:val="Compact"/>
      </w:pPr>
      <w:r>
        <w:t xml:space="preserve">How do they fit into the bigger picture?</w:t>
      </w:r>
    </w:p>
    <w:p>
      <w:pPr>
        <w:numPr>
          <w:ilvl w:val="0"/>
          <w:numId w:val="1072"/>
        </w:numPr>
        <w:pStyle w:val="Compact"/>
      </w:pPr>
      <w:r>
        <w:t xml:space="preserve">If any experiments did not give expected results, hypothesize why that might have been the case and propose alternate experiments that could confirm or clarify your results.</w:t>
      </w:r>
    </w:p>
    <w:p>
      <w:pPr>
        <w:numPr>
          <w:ilvl w:val="0"/>
          <w:numId w:val="1072"/>
        </w:numPr>
        <w:pStyle w:val="Compact"/>
      </w:pPr>
      <w:r>
        <w:t xml:space="preserve">Include at least one sentence of future work that you would do if you had more time or what students in upcoming semesters could do to continue to answer your questions.</w:t>
      </w:r>
    </w:p>
    <w:bookmarkEnd w:id="223"/>
    <w:bookmarkStart w:id="229" w:name="references"/>
    <w:p>
      <w:pPr>
        <w:pStyle w:val="Heading4"/>
      </w:pPr>
      <w:r>
        <w:rPr>
          <w:rStyle w:val="SectionNumber"/>
        </w:rPr>
        <w:t xml:space="preserve">7.1.3.7</w:t>
      </w:r>
      <w:r>
        <w:tab/>
      </w:r>
      <w:r>
        <w:t xml:space="preserve">References</w:t>
      </w:r>
    </w:p>
    <w:p>
      <w:pPr>
        <w:pStyle w:val="FirstParagraph"/>
      </w:pPr>
      <w:r>
        <w:drawing>
          <wp:inline>
            <wp:extent cx="5334000" cy="3000375"/>
            <wp:effectExtent b="0" l="0" r="0" t="0"/>
            <wp:docPr descr="" title="" id="225" name="Picture"/>
            <a:graphic>
              <a:graphicData uri="http://schemas.openxmlformats.org/drawingml/2006/picture">
                <pic:pic>
                  <pic:nvPicPr>
                    <pic:cNvPr descr="making-group-poster_files/figure-docx//1dI8-_iVqbkzNMf11M4dK85E8ZW3OyZECs_YwMKw5fhs_g362974128df_0_80.png" id="226" name="Picture"/>
                    <pic:cNvPicPr>
                      <a:picLocks noChangeArrowheads="1" noChangeAspect="1"/>
                    </pic:cNvPicPr>
                  </pic:nvPicPr>
                  <pic:blipFill>
                    <a:blip r:embed="rId2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227">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228">
        <w:r>
          <w:rPr>
            <w:rStyle w:val="Hyperlink"/>
          </w:rPr>
          <w:t xml:space="preserve">doi:10.7554/eLife.00886</w:t>
        </w:r>
      </w:hyperlink>
    </w:p>
    <w:bookmarkEnd w:id="229"/>
    <w:bookmarkStart w:id="233" w:name="acknowledgements"/>
    <w:p>
      <w:pPr>
        <w:pStyle w:val="Heading4"/>
      </w:pPr>
      <w:r>
        <w:rPr>
          <w:rStyle w:val="SectionNumber"/>
        </w:rPr>
        <w:t xml:space="preserve">7.1.3.8</w:t>
      </w:r>
      <w:r>
        <w:tab/>
      </w:r>
      <w:r>
        <w:t xml:space="preserve">Acknowledgements</w:t>
      </w:r>
    </w:p>
    <w:p>
      <w:pPr>
        <w:pStyle w:val="FirstParagraph"/>
      </w:pPr>
      <w:r>
        <w:drawing>
          <wp:inline>
            <wp:extent cx="5334000" cy="3000375"/>
            <wp:effectExtent b="0" l="0" r="0" t="0"/>
            <wp:docPr descr="" title="" id="231" name="Picture"/>
            <a:graphic>
              <a:graphicData uri="http://schemas.openxmlformats.org/drawingml/2006/picture">
                <pic:pic>
                  <pic:nvPicPr>
                    <pic:cNvPr descr="making-group-poster_files/figure-docx//1dI8-_iVqbkzNMf11M4dK85E8ZW3OyZECs_YwMKw5fhs_g362974128df_0_30.png" id="232" name="Picture"/>
                    <pic:cNvPicPr>
                      <a:picLocks noChangeArrowheads="1" noChangeAspect="1"/>
                    </pic:cNvPicPr>
                  </pic:nvPicPr>
                  <pic:blipFill>
                    <a:blip r:embed="rId2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233"/>
    <w:bookmarkEnd w:id="234"/>
    <w:bookmarkStart w:id="235" w:name="part-3---proofread-and-add-final-touches"/>
    <w:p>
      <w:pPr>
        <w:pStyle w:val="Heading3"/>
      </w:pPr>
      <w:r>
        <w:rPr>
          <w:rStyle w:val="SectionNumber"/>
        </w:rPr>
        <w:t xml:space="preserve">7.1.4</w:t>
      </w:r>
      <w:r>
        <w:tab/>
      </w:r>
      <w:r>
        <w:t xml:space="preserve">Part 3 - Proofread and Add Final Touches</w:t>
      </w:r>
    </w:p>
    <w:p>
      <w:pPr>
        <w:pStyle w:val="FirstParagraph"/>
      </w:pPr>
      <w:r>
        <w:rPr>
          <w:iCs/>
          <w:i/>
        </w:rPr>
        <w:t xml:space="preserve">Estimated time: 30 min to an hour</w:t>
      </w:r>
    </w:p>
    <w:p>
      <w:pPr>
        <w:numPr>
          <w:ilvl w:val="0"/>
          <w:numId w:val="1073"/>
        </w:numPr>
        <w:pStyle w:val="Compact"/>
      </w:pPr>
      <w:r>
        <w:t xml:space="preserve">Each group member should re-read the poster from beginning to end and fix any typos or grammatical errors.</w:t>
      </w:r>
    </w:p>
    <w:p>
      <w:pPr>
        <w:numPr>
          <w:ilvl w:val="0"/>
          <w:numId w:val="1073"/>
        </w:numPr>
        <w:pStyle w:val="Compact"/>
      </w:pPr>
      <w:r>
        <w:t xml:space="preserve">Check the alignment of figures, text boxes, titles, etc.</w:t>
      </w:r>
    </w:p>
    <w:p>
      <w:pPr>
        <w:numPr>
          <w:ilvl w:val="0"/>
          <w:numId w:val="1073"/>
        </w:numPr>
        <w:pStyle w:val="Compact"/>
      </w:pPr>
      <w:r>
        <w:t xml:space="preserve">Add some finishing touches. You can play with the color, the font, add additional images if it’s relevant.</w:t>
      </w:r>
    </w:p>
    <w:bookmarkEnd w:id="235"/>
    <w:bookmarkStart w:id="241" w:name="part-4---canvas-discussion"/>
    <w:p>
      <w:pPr>
        <w:pStyle w:val="Heading3"/>
      </w:pPr>
      <w:r>
        <w:rPr>
          <w:rStyle w:val="SectionNumber"/>
        </w:rPr>
        <w:t xml:space="preserve">7.1.5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074"/>
        </w:numPr>
        <w:pStyle w:val="Compact"/>
      </w:pPr>
      <w:r>
        <w:t xml:space="preserve">Convert your poster to a pdf.</w:t>
      </w:r>
    </w:p>
    <w:p>
      <w:pPr>
        <w:numPr>
          <w:ilvl w:val="0"/>
          <w:numId w:val="107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074"/>
        </w:numPr>
        <w:pStyle w:val="Compact"/>
      </w:pPr>
      <w:r>
        <w:t xml:space="preserve">Have one member of your group post a pdf of your poster in the Canvas C-MOOR Poster Discussion.</w:t>
      </w:r>
    </w:p>
    <w:p>
      <w:pPr>
        <w:numPr>
          <w:ilvl w:val="1"/>
          <w:numId w:val="1075"/>
        </w:numPr>
        <w:pStyle w:val="Compact"/>
      </w:pPr>
      <w:r>
        <w:t xml:space="preserve">With your poster, introduce your group members and copy and paste your abstract into the post.</w:t>
      </w:r>
    </w:p>
    <w:p>
      <w:pPr>
        <w:numPr>
          <w:ilvl w:val="1"/>
          <w:numId w:val="1075"/>
        </w:numPr>
        <w:pStyle w:val="Compact"/>
      </w:pPr>
      <w:r>
        <w:t xml:space="preserve">Insert your pdf into the post and edit the link so that it automatically shows the inline preview. This will make it easier for students to view your poster.</w:t>
      </w:r>
    </w:p>
    <w:p>
      <w:pPr>
        <w:numPr>
          <w:ilvl w:val="0"/>
          <w:numId w:val="1074"/>
        </w:numPr>
        <w:pStyle w:val="Compact"/>
      </w:pPr>
      <w:r>
        <w:t xml:space="preserve">As an individual, read through the other posters from different groups.</w:t>
      </w:r>
    </w:p>
    <w:p>
      <w:pPr>
        <w:numPr>
          <w:ilvl w:val="0"/>
          <w:numId w:val="1074"/>
        </w:numPr>
        <w:pStyle w:val="Compact"/>
      </w:pPr>
      <w:r>
        <w:t xml:space="preserve">Post comments</w:t>
      </w:r>
    </w:p>
    <w:bookmarkStart w:id="236" w:name="grading-criteria"/>
    <w:p>
      <w:pPr>
        <w:pStyle w:val="Heading4"/>
      </w:pPr>
      <w:r>
        <w:rPr>
          <w:rStyle w:val="SectionNumber"/>
        </w:rPr>
        <w:t xml:space="preserve">7.1.5.1</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236"/>
    <w:bookmarkStart w:id="240" w:name="footnotes"/>
    <w:p>
      <w:pPr>
        <w:pStyle w:val="Heading4"/>
      </w:pPr>
      <w:r>
        <w:rPr>
          <w:rStyle w:val="SectionNumber"/>
        </w:rPr>
        <w:t xml:space="preserve">7.1.5.2</w:t>
      </w:r>
      <w:r>
        <w:tab/>
      </w:r>
      <w:r>
        <w:t xml:space="preserve">Footnotes</w:t>
      </w:r>
    </w:p>
    <w:p>
      <w:pPr>
        <w:pStyle w:val="FirstParagraph"/>
      </w:pPr>
      <w:r>
        <w:rPr>
          <w:bCs/>
          <w:b/>
        </w:rPr>
        <w:t xml:space="preserve">Resources</w:t>
      </w:r>
    </w:p>
    <w:p>
      <w:pPr>
        <w:numPr>
          <w:ilvl w:val="0"/>
          <w:numId w:val="1076"/>
        </w:numPr>
        <w:pStyle w:val="Compact"/>
      </w:pPr>
      <w:r>
        <w:t xml:space="preserve">[Google Doc]</w:t>
      </w:r>
    </w:p>
    <w:p>
      <w:pPr>
        <w:numPr>
          <w:ilvl w:val="0"/>
          <w:numId w:val="1076"/>
        </w:numPr>
        <w:pStyle w:val="Compact"/>
      </w:pPr>
      <w:hyperlink r:id="rId237">
        <w:r>
          <w:rPr>
            <w:rStyle w:val="Hyperlink"/>
          </w:rPr>
          <w:t xml:space="preserve">Generic rubric</w:t>
        </w:r>
      </w:hyperlink>
    </w:p>
    <w:p>
      <w:pPr>
        <w:pStyle w:val="FirstParagraph"/>
      </w:pPr>
      <w:r>
        <w:rPr>
          <w:bCs/>
          <w:b/>
        </w:rPr>
        <w:t xml:space="preserve">References</w:t>
      </w:r>
    </w:p>
    <w:p>
      <w:pPr>
        <w:numPr>
          <w:ilvl w:val="0"/>
          <w:numId w:val="1077"/>
        </w:numPr>
        <w:pStyle w:val="Compact"/>
      </w:pPr>
      <w:hyperlink r:id="rId238">
        <w:r>
          <w:rPr>
            <w:rStyle w:val="Hyperlink"/>
          </w:rPr>
          <w:t xml:space="preserve">Abstract vs. Introduction</w:t>
        </w:r>
      </w:hyperlink>
    </w:p>
    <w:p>
      <w:pPr>
        <w:numPr>
          <w:ilvl w:val="0"/>
          <w:numId w:val="1077"/>
        </w:numPr>
        <w:pStyle w:val="Compact"/>
      </w:pPr>
      <w:r>
        <w:t xml:space="preserve">[Preparing and presenting effective research posters] (</w:t>
      </w:r>
      <w:hyperlink r:id="rId239">
        <w:r>
          <w:rPr>
            <w:rStyle w:val="Hyperlink"/>
          </w:rPr>
          <w:t xml:space="preserve">https://onlinelibrary.wiley.com/doi/10.1111/j.1475-6773.2006.00588.x</w:t>
        </w:r>
      </w:hyperlink>
      <w:r>
        <w:t xml:space="preserve">)</w:t>
      </w:r>
    </w:p>
    <w:p>
      <w:pPr>
        <w:pStyle w:val="FirstParagraph"/>
      </w:pPr>
      <w:r>
        <w:rPr>
          <w:bCs/>
          <w:b/>
        </w:rPr>
        <w:t xml:space="preserve">Contributions and Affiliations</w:t>
      </w:r>
    </w:p>
    <w:p>
      <w:pPr>
        <w:numPr>
          <w:ilvl w:val="0"/>
          <w:numId w:val="1078"/>
        </w:numPr>
        <w:pStyle w:val="Compact"/>
      </w:pPr>
      <w:r>
        <w:t xml:space="preserve">Stephanie R. Coffman, Clovis Community College</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p>
      <w:pPr>
        <w:numPr>
          <w:ilvl w:val="0"/>
          <w:numId w:val="1078"/>
        </w:numPr>
        <w:pStyle w:val="Compact"/>
      </w:pPr>
      <w:r>
        <w:t xml:space="preserve">Sayumi York, Notre Dame of Maryland University</w:t>
      </w:r>
    </w:p>
    <w:p>
      <w:pPr>
        <w:pStyle w:val="FirstParagraph"/>
      </w:pPr>
      <w:r>
        <w:t xml:space="preserve">Last Revised: August 2025</w:t>
      </w:r>
    </w:p>
    <w:bookmarkEnd w:id="240"/>
    <w:bookmarkEnd w:id="241"/>
    <w:bookmarkEnd w:id="242"/>
    <w:bookmarkStart w:id="247" w:name="lecture---scientific-posters"/>
    <w:p>
      <w:pPr>
        <w:pStyle w:val="Heading2"/>
      </w:pPr>
      <w:r>
        <w:rPr>
          <w:rStyle w:val="SectionNumber"/>
        </w:rPr>
        <w:t xml:space="preserve">7.2</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244" name="Picture"/>
            <a:graphic>
              <a:graphicData uri="http://schemas.openxmlformats.org/drawingml/2006/picture">
                <pic:pic>
                  <pic:nvPicPr>
                    <pic:cNvPr descr="community-analysis-and-feedback_files/figure-docx//1-orSi8DpN22hMt9-6p_rHZnte1YXXLe-a132HDSyd0U_g35f391192_00.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46">
        <w:r>
          <w:rPr>
            <w:rStyle w:val="Hyperlink"/>
          </w:rPr>
          <w:t xml:space="preserve">Scientific Posters</w:t>
        </w:r>
      </w:hyperlink>
    </w:p>
    <w:bookmarkEnd w:id="247"/>
    <w:bookmarkStart w:id="255" w:name="activity---scientific-posters"/>
    <w:p>
      <w:pPr>
        <w:pStyle w:val="Heading2"/>
      </w:pPr>
      <w:r>
        <w:rPr>
          <w:rStyle w:val="SectionNumber"/>
        </w:rPr>
        <w:t xml:space="preserve">7.3</w:t>
      </w:r>
      <w:r>
        <w:tab/>
      </w:r>
      <w:r>
        <w:t xml:space="preserve">Activity - Scientific Posters</w:t>
      </w:r>
    </w:p>
    <w:bookmarkStart w:id="252" w:name="activity"/>
    <w:p>
      <w:pPr>
        <w:pStyle w:val="Heading3"/>
      </w:pPr>
      <w:r>
        <w:rPr>
          <w:rStyle w:val="SectionNumber"/>
        </w:rPr>
        <w:t xml:space="preserve">7.3.1</w:t>
      </w:r>
      <w:r>
        <w:tab/>
      </w:r>
      <w:r>
        <w:t xml:space="preserve">Activity</w:t>
      </w:r>
    </w:p>
    <w:p>
      <w:pPr>
        <w:pStyle w:val="FirstParagraph"/>
      </w:pPr>
      <w:r>
        <w:rPr>
          <w:iCs/>
          <w:i/>
        </w:rPr>
        <w:t xml:space="preserve">Estimated time: —</w:t>
      </w:r>
    </w:p>
    <w:bookmarkStart w:id="251" w:name="instructions"/>
    <w:p>
      <w:pPr>
        <w:pStyle w:val="Heading4"/>
      </w:pPr>
      <w:r>
        <w:rPr>
          <w:rStyle w:val="SectionNumber"/>
        </w:rPr>
        <w:t xml:space="preserve">7.3.1.1</w:t>
      </w:r>
      <w:r>
        <w:tab/>
      </w:r>
      <w:r>
        <w:t xml:space="preserve">Instructions</w:t>
      </w:r>
    </w:p>
    <w:p>
      <w:pPr>
        <w:numPr>
          <w:ilvl w:val="0"/>
          <w:numId w:val="1079"/>
        </w:numPr>
      </w:pPr>
      <w:r>
        <w:t xml:space="preserve">Review</w:t>
      </w:r>
      <w:r>
        <w:t xml:space="preserve"> </w:t>
      </w:r>
      <w:hyperlink r:id="rId248">
        <w:r>
          <w:rPr>
            <w:rStyle w:val="Hyperlink"/>
            <w:bCs/>
            <w:b/>
          </w:rPr>
          <w:t xml:space="preserve">Presentations Guidelines for Posters</w:t>
        </w:r>
      </w:hyperlink>
    </w:p>
    <w:p>
      <w:pPr>
        <w:numPr>
          <w:ilvl w:val="0"/>
          <w:numId w:val="1079"/>
        </w:numPr>
      </w:pPr>
      <w:r>
        <w:t xml:space="preserve">Skim three posters from among the following (must be Biology if from UMBC Posters)</w:t>
      </w:r>
    </w:p>
    <w:p>
      <w:pPr>
        <w:numPr>
          <w:ilvl w:val="0"/>
          <w:numId w:val="1080"/>
        </w:numPr>
      </w:pPr>
      <w:hyperlink r:id="rId40">
        <w:r>
          <w:rPr>
            <w:rStyle w:val="Hyperlink"/>
            <w:bCs/>
            <w:b/>
          </w:rPr>
          <w:t xml:space="preserve">Look at This! Category on the Academy Discussion Forum</w:t>
        </w:r>
      </w:hyperlink>
    </w:p>
    <w:p>
      <w:pPr>
        <w:numPr>
          <w:ilvl w:val="0"/>
          <w:numId w:val="1080"/>
        </w:numPr>
      </w:pPr>
      <w:hyperlink r:id="rId249">
        <w:r>
          <w:rPr>
            <w:rStyle w:val="Hyperlink"/>
            <w:bCs/>
            <w:b/>
          </w:rPr>
          <w:t xml:space="preserve">UMBC Biology Posters</w:t>
        </w:r>
      </w:hyperlink>
    </w:p>
    <w:p>
      <w:pPr>
        <w:numPr>
          <w:ilvl w:val="0"/>
          <w:numId w:val="1080"/>
        </w:numPr>
      </w:pPr>
      <w:hyperlink r:id="rId250">
        <w:r>
          <w:rPr>
            <w:rStyle w:val="Hyperlink"/>
            <w:bCs/>
            <w:b/>
          </w:rPr>
          <w:t xml:space="preserve">The example PacBio Poster</w:t>
        </w:r>
      </w:hyperlink>
    </w:p>
    <w:p>
      <w:pPr>
        <w:numPr>
          <w:ilvl w:val="0"/>
          <w:numId w:val="1081"/>
        </w:numPr>
        <w:pStyle w:val="Compact"/>
      </w:pPr>
      <w:r>
        <w:t xml:space="preserve">Pick one poster and address the following points.</w:t>
      </w:r>
    </w:p>
    <w:p>
      <w:pPr>
        <w:numPr>
          <w:ilvl w:val="0"/>
          <w:numId w:val="1082"/>
        </w:numPr>
      </w:pPr>
      <w:r>
        <w:rPr>
          <w:bCs/>
          <w:b/>
        </w:rPr>
        <w:t xml:space="preserve">Notice</w:t>
      </w:r>
      <w:r>
        <w:t xml:space="preserve"> </w:t>
      </w:r>
      <w:r>
        <w:t xml:space="preserve">– What about this poster most interests you?</w:t>
      </w:r>
    </w:p>
    <w:p>
      <w:pPr>
        <w:numPr>
          <w:ilvl w:val="0"/>
          <w:numId w:val="1082"/>
        </w:numPr>
      </w:pPr>
      <w:r>
        <w:rPr>
          <w:bCs/>
          <w:b/>
        </w:rPr>
        <w:t xml:space="preserve">Wonder</w:t>
      </w:r>
      <w:r>
        <w:t xml:space="preserve"> </w:t>
      </w:r>
      <w:r>
        <w:t xml:space="preserve">– Two or three questions you would ask the authors.</w:t>
      </w:r>
    </w:p>
    <w:p>
      <w:pPr>
        <w:numPr>
          <w:ilvl w:val="0"/>
          <w:numId w:val="1082"/>
        </w:numPr>
      </w:pPr>
      <w:r>
        <w:rPr>
          <w:bCs/>
          <w:b/>
        </w:rPr>
        <w:t xml:space="preserve">Support</w:t>
      </w:r>
      <w:r>
        <w:t xml:space="preserve"> </w:t>
      </w:r>
      <w:r>
        <w:t xml:space="preserve">– Two or three suggestions on how the poster could be improved.</w:t>
      </w:r>
    </w:p>
    <w:p>
      <w:pPr>
        <w:numPr>
          <w:ilvl w:val="0"/>
          <w:numId w:val="1083"/>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251"/>
    <w:bookmarkEnd w:id="252"/>
    <w:bookmarkStart w:id="253" w:name="grading-criteria-1"/>
    <w:p>
      <w:pPr>
        <w:pStyle w:val="Heading3"/>
      </w:pPr>
      <w:r>
        <w:rPr>
          <w:rStyle w:val="SectionNumber"/>
        </w:rPr>
        <w:t xml:space="preserve">7.3.2</w:t>
      </w:r>
      <w:r>
        <w:tab/>
      </w:r>
      <w:r>
        <w:t xml:space="preserve">Grading Criteria</w:t>
      </w:r>
    </w:p>
    <w:p>
      <w:pPr>
        <w:numPr>
          <w:ilvl w:val="0"/>
          <w:numId w:val="1084"/>
        </w:numPr>
        <w:pStyle w:val="Compact"/>
      </w:pPr>
      <w:r>
        <w:t xml:space="preserve">Submit URL to your reply on Canvas</w:t>
      </w:r>
      <w:r>
        <w:t xml:space="preserve">.</w:t>
      </w:r>
    </w:p>
    <w:bookmarkEnd w:id="253"/>
    <w:bookmarkStart w:id="254" w:name="footnotes-1"/>
    <w:p>
      <w:pPr>
        <w:pStyle w:val="Heading3"/>
      </w:pPr>
      <w:r>
        <w:rPr>
          <w:rStyle w:val="SectionNumber"/>
        </w:rPr>
        <w:t xml:space="preserve">7.3.3</w:t>
      </w:r>
      <w:r>
        <w:tab/>
      </w:r>
      <w:r>
        <w:t xml:space="preserve">Footnotes</w:t>
      </w:r>
    </w:p>
    <w:p>
      <w:pPr>
        <w:pStyle w:val="FirstParagraph"/>
      </w:pPr>
      <w:r>
        <w:rPr>
          <w:bCs/>
          <w:b/>
        </w:rPr>
        <w:t xml:space="preserve">Contributions and Affiliations</w:t>
      </w:r>
    </w:p>
    <w:p>
      <w:pPr>
        <w:numPr>
          <w:ilvl w:val="0"/>
          <w:numId w:val="1085"/>
        </w:numPr>
        <w:pStyle w:val="Compact"/>
      </w:pPr>
      <w:r>
        <w:t xml:space="preserve">Valeriya Gaysinskaya, Johns Hopkins University</w:t>
      </w:r>
    </w:p>
    <w:p>
      <w:pPr>
        <w:numPr>
          <w:ilvl w:val="0"/>
          <w:numId w:val="1085"/>
        </w:numPr>
        <w:pStyle w:val="Compact"/>
      </w:pPr>
      <w:r>
        <w:t xml:space="preserve">Frederick Tan, Johns Hopkins University</w:t>
      </w:r>
    </w:p>
    <w:p>
      <w:pPr>
        <w:pStyle w:val="FirstParagraph"/>
      </w:pPr>
      <w:r>
        <w:t xml:space="preserve">Last Revised: February 2025</w:t>
      </w:r>
    </w:p>
    <w:bookmarkEnd w:id="254"/>
    <w:bookmarkEnd w:id="255"/>
    <w:bookmarkStart w:id="267" w:name="activity---share-your-poster"/>
    <w:p>
      <w:pPr>
        <w:pStyle w:val="Heading2"/>
      </w:pPr>
      <w:r>
        <w:rPr>
          <w:rStyle w:val="SectionNumber"/>
        </w:rPr>
        <w:t xml:space="preserve">7.4</w:t>
      </w:r>
      <w:r>
        <w:tab/>
      </w:r>
      <w:r>
        <w:t xml:space="preserve">Activity - Share Your Poster</w:t>
      </w:r>
    </w:p>
    <w:bookmarkStart w:id="261" w:name="introduction-1"/>
    <w:p>
      <w:pPr>
        <w:pStyle w:val="Heading3"/>
      </w:pPr>
      <w:r>
        <w:rPr>
          <w:rStyle w:val="SectionNumber"/>
        </w:rPr>
        <w:t xml:space="preserve">7.4.1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256" w:name="activity-1-share-your-poster"/>
    <w:p>
      <w:pPr>
        <w:pStyle w:val="Heading4"/>
      </w:pPr>
      <w:r>
        <w:rPr>
          <w:rStyle w:val="SectionNumber"/>
        </w:rPr>
        <w:t xml:space="preserve">7.4.1.1</w:t>
      </w:r>
      <w:r>
        <w:tab/>
      </w:r>
      <w:r>
        <w:t xml:space="preserve">Activity 1 – Share Your Poster</w:t>
      </w:r>
    </w:p>
    <w:p>
      <w:pPr>
        <w:pStyle w:val="FirstParagraph"/>
      </w:pPr>
      <w:r>
        <w:rPr>
          <w:iCs/>
          <w:i/>
        </w:rPr>
        <w:t xml:space="preserve">Estimated time: 20 min</w:t>
      </w:r>
    </w:p>
    <w:bookmarkEnd w:id="256"/>
    <w:bookmarkStart w:id="259" w:name="instructions-1"/>
    <w:p>
      <w:pPr>
        <w:pStyle w:val="Heading4"/>
      </w:pPr>
      <w:r>
        <w:rPr>
          <w:rStyle w:val="SectionNumber"/>
        </w:rPr>
        <w:t xml:space="preserve">7.4.1.2</w:t>
      </w:r>
      <w:r>
        <w:tab/>
      </w:r>
      <w:r>
        <w:t xml:space="preserve">Instructions</w:t>
      </w:r>
    </w:p>
    <w:p>
      <w:pPr>
        <w:numPr>
          <w:ilvl w:val="0"/>
          <w:numId w:val="1086"/>
        </w:numPr>
        <w:pStyle w:val="Compact"/>
      </w:pPr>
      <w:r>
        <w:t xml:space="preserve">Download your poster as a .png file</w:t>
      </w:r>
    </w:p>
    <w:p>
      <w:pPr>
        <w:numPr>
          <w:ilvl w:val="0"/>
          <w:numId w:val="1087"/>
        </w:numPr>
        <w:pStyle w:val="Compact"/>
      </w:pPr>
      <w:hyperlink r:id="rId257">
        <w:r>
          <w:rPr>
            <w:rStyle w:val="Hyperlink"/>
          </w:rPr>
          <w:t xml:space="preserve">https://drive.google.com/drive/folders/1y_GCJl7VIYTS_5y7057u2s58ZCdm_PxM</w:t>
        </w:r>
      </w:hyperlink>
    </w:p>
    <w:p>
      <w:pPr>
        <w:numPr>
          <w:ilvl w:val="0"/>
          <w:numId w:val="1088"/>
        </w:numPr>
        <w:pStyle w:val="Compact"/>
      </w:pPr>
      <w:r>
        <w:t xml:space="preserve">(One person on behalf of the group) Create a New Topic on the Discussion Forum with the title of your poster as the topic title and your .png file as the contents in either the</w:t>
      </w:r>
    </w:p>
    <w:p>
      <w:pPr>
        <w:numPr>
          <w:ilvl w:val="0"/>
          <w:numId w:val="1089"/>
        </w:numPr>
      </w:pPr>
      <w:r>
        <w:t xml:space="preserve">Look at This! category if every member of your group is ok sharing your work publicly</w:t>
      </w:r>
      <w:r>
        <w:t xml:space="preserve"> </w:t>
      </w:r>
      <w:hyperlink r:id="rId40">
        <w:r>
          <w:rPr>
            <w:rStyle w:val="Hyperlink"/>
          </w:rPr>
          <w:t xml:space="preserve">https://help.c-moor.org/c/look-at-this/8</w:t>
        </w:r>
      </w:hyperlink>
    </w:p>
    <w:p>
      <w:pPr>
        <w:numPr>
          <w:ilvl w:val="0"/>
          <w:numId w:val="1089"/>
        </w:numPr>
      </w:pPr>
      <w:r>
        <w:t xml:space="preserve">JHU 2025 Spring category if you need to keep your work private</w:t>
      </w:r>
      <w:r>
        <w:t xml:space="preserve"> </w:t>
      </w:r>
      <w:hyperlink r:id="rId258">
        <w:r>
          <w:rPr>
            <w:rStyle w:val="Hyperlink"/>
          </w:rPr>
          <w:t xml:space="preserve">https://help.c-moor.org/c/jhu-2025-spring/46</w:t>
        </w:r>
      </w:hyperlink>
    </w:p>
    <w:p>
      <w:pPr>
        <w:numPr>
          <w:ilvl w:val="0"/>
          <w:numId w:val="1090"/>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259"/>
    <w:bookmarkStart w:id="260" w:name="questions"/>
    <w:p>
      <w:pPr>
        <w:pStyle w:val="Heading4"/>
      </w:pPr>
      <w:r>
        <w:rPr>
          <w:rStyle w:val="SectionNumber"/>
        </w:rPr>
        <w:t xml:space="preserve">7.4.1.3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260"/>
    <w:bookmarkEnd w:id="261"/>
    <w:bookmarkStart w:id="264" w:name="activity-2-present-your-poster"/>
    <w:p>
      <w:pPr>
        <w:pStyle w:val="Heading3"/>
      </w:pPr>
      <w:r>
        <w:rPr>
          <w:rStyle w:val="SectionNumber"/>
        </w:rPr>
        <w:t xml:space="preserve">7.4.2</w:t>
      </w:r>
      <w:r>
        <w:tab/>
      </w:r>
      <w:r>
        <w:t xml:space="preserve">Activity 2 – Present Your Poster</w:t>
      </w:r>
    </w:p>
    <w:p>
      <w:pPr>
        <w:pStyle w:val="FirstParagraph"/>
      </w:pPr>
      <w:r>
        <w:rPr>
          <w:iCs/>
          <w:i/>
        </w:rPr>
        <w:t xml:space="preserve">Estimated time: 40 min</w:t>
      </w:r>
    </w:p>
    <w:bookmarkStart w:id="262" w:name="instructions-2"/>
    <w:p>
      <w:pPr>
        <w:pStyle w:val="Heading4"/>
      </w:pPr>
      <w:r>
        <w:rPr>
          <w:rStyle w:val="SectionNumber"/>
        </w:rPr>
        <w:t xml:space="preserve">7.4.2.1</w:t>
      </w:r>
      <w:r>
        <w:tab/>
      </w:r>
      <w:r>
        <w:t xml:space="preserve">Instructions</w:t>
      </w:r>
    </w:p>
    <w:p>
      <w:pPr>
        <w:numPr>
          <w:ilvl w:val="0"/>
          <w:numId w:val="1091"/>
        </w:numPr>
        <w:pStyle w:val="Compact"/>
      </w:pPr>
      <w:r>
        <w:t xml:space="preserve">Create a plan for a 5 min presentation taking into consideration</w:t>
      </w:r>
    </w:p>
    <w:p>
      <w:pPr>
        <w:numPr>
          <w:ilvl w:val="0"/>
          <w:numId w:val="1092"/>
        </w:numPr>
      </w:pPr>
      <w:r>
        <w:t xml:space="preserve">Who will speak when</w:t>
      </w:r>
    </w:p>
    <w:p>
      <w:pPr>
        <w:numPr>
          <w:ilvl w:val="0"/>
          <w:numId w:val="1092"/>
        </w:numPr>
      </w:pPr>
      <w:r>
        <w:t xml:space="preserve">What each person will cover</w:t>
      </w:r>
    </w:p>
    <w:p>
      <w:pPr>
        <w:numPr>
          <w:ilvl w:val="0"/>
          <w:numId w:val="1093"/>
        </w:numPr>
        <w:pStyle w:val="Compact"/>
      </w:pPr>
      <w:r>
        <w:t xml:space="preserve">Practice your presentation</w:t>
      </w:r>
    </w:p>
    <w:p>
      <w:pPr>
        <w:numPr>
          <w:ilvl w:val="0"/>
          <w:numId w:val="1094"/>
        </w:numPr>
      </w:pPr>
      <w:r>
        <w:t xml:space="preserve">In your group</w:t>
      </w:r>
    </w:p>
    <w:p>
      <w:pPr>
        <w:numPr>
          <w:ilvl w:val="0"/>
          <w:numId w:val="1094"/>
        </w:numPr>
      </w:pPr>
      <w:r>
        <w:t xml:space="preserve">To the class</w:t>
      </w:r>
    </w:p>
    <w:bookmarkEnd w:id="262"/>
    <w:bookmarkStart w:id="263" w:name="questions-1"/>
    <w:p>
      <w:pPr>
        <w:pStyle w:val="Heading4"/>
      </w:pPr>
      <w:r>
        <w:rPr>
          <w:rStyle w:val="SectionNumber"/>
        </w:rPr>
        <w:t xml:space="preserve">7.4.2.2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263"/>
    <w:bookmarkEnd w:id="264"/>
    <w:bookmarkStart w:id="265" w:name="grading-criteria-2"/>
    <w:p>
      <w:pPr>
        <w:pStyle w:val="Heading3"/>
      </w:pPr>
      <w:r>
        <w:rPr>
          <w:rStyle w:val="SectionNumber"/>
        </w:rPr>
        <w:t xml:space="preserve">7.4.3</w:t>
      </w:r>
      <w:r>
        <w:tab/>
      </w:r>
      <w:r>
        <w:t xml:space="preserve">Grading Criteria</w:t>
      </w:r>
    </w:p>
    <w:p>
      <w:pPr>
        <w:numPr>
          <w:ilvl w:val="0"/>
          <w:numId w:val="1095"/>
        </w:numPr>
        <w:pStyle w:val="Compact"/>
      </w:pPr>
      <w:r>
        <w:t xml:space="preserve">Download as Microsoft Word (.docx) and upload on Canvas</w:t>
      </w:r>
    </w:p>
    <w:bookmarkEnd w:id="265"/>
    <w:bookmarkStart w:id="266" w:name="footnotes-2"/>
    <w:p>
      <w:pPr>
        <w:pStyle w:val="Heading3"/>
      </w:pPr>
      <w:r>
        <w:rPr>
          <w:rStyle w:val="SectionNumber"/>
        </w:rPr>
        <w:t xml:space="preserve">7.4.4</w:t>
      </w:r>
      <w:r>
        <w:tab/>
      </w:r>
      <w:r>
        <w:t xml:space="preserve">Footnotes</w:t>
      </w:r>
    </w:p>
    <w:p>
      <w:pPr>
        <w:pStyle w:val="FirstParagraph"/>
      </w:pPr>
      <w:r>
        <w:rPr>
          <w:bCs/>
          <w:b/>
        </w:rPr>
        <w:t xml:space="preserve">Resources</w:t>
      </w:r>
    </w:p>
    <w:p>
      <w:pPr>
        <w:numPr>
          <w:ilvl w:val="0"/>
          <w:numId w:val="1096"/>
        </w:numPr>
        <w:pStyle w:val="Compact"/>
      </w:pPr>
      <w:r>
        <w:t xml:space="preserve">[Google Doc]</w:t>
      </w:r>
    </w:p>
    <w:p>
      <w:pPr>
        <w:pStyle w:val="FirstParagraph"/>
      </w:pPr>
      <w:r>
        <w:rPr>
          <w:bCs/>
          <w:b/>
        </w:rPr>
        <w:t xml:space="preserve">Contributions and Affiliations</w:t>
      </w:r>
    </w:p>
    <w:p>
      <w:pPr>
        <w:numPr>
          <w:ilvl w:val="0"/>
          <w:numId w:val="1097"/>
        </w:numPr>
        <w:pStyle w:val="Compact"/>
      </w:pPr>
      <w:r>
        <w:t xml:space="preserve">Valeriya Gaysinskaya, Johns Hopkins University</w:t>
      </w:r>
    </w:p>
    <w:p>
      <w:pPr>
        <w:numPr>
          <w:ilvl w:val="0"/>
          <w:numId w:val="1097"/>
        </w:numPr>
        <w:pStyle w:val="Compact"/>
      </w:pPr>
      <w:r>
        <w:t xml:space="preserve">Frederick Tan, Johns Hopkins University</w:t>
      </w:r>
    </w:p>
    <w:p>
      <w:pPr>
        <w:pStyle w:val="FirstParagraph"/>
      </w:pPr>
      <w:r>
        <w:t xml:space="preserve">Last Revised: April 2025</w:t>
      </w:r>
    </w:p>
    <w:bookmarkEnd w:id="266"/>
    <w:bookmarkEnd w:id="267"/>
    <w:bookmarkEnd w:id="268"/>
    <w:bookmarkStart w:id="314" w:name="professional-development"/>
    <w:p>
      <w:pPr>
        <w:pStyle w:val="Heading1"/>
      </w:pPr>
      <w:r>
        <w:rPr>
          <w:rStyle w:val="SectionNumber"/>
        </w:rPr>
        <w:t xml:space="preserve">8</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270" name="Picture"/>
            <a:graphic>
              <a:graphicData uri="http://schemas.openxmlformats.org/drawingml/2006/picture">
                <pic:pic>
                  <pic:nvPicPr>
                    <pic:cNvPr descr="community-analysis-and-feedback_files/figure-docx//1hYKF7Ss3vJ8rrUIH7ByNh1BUlRa2fhsJhq8MXzEowCc_g344ad28629a_0_229.png" id="271" name="Picture"/>
                    <pic:cNvPicPr>
                      <a:picLocks noChangeArrowheads="1" noChangeAspect="1"/>
                    </pic:cNvPicPr>
                  </pic:nvPicPr>
                  <pic:blipFill>
                    <a:blip r:embed="rId269"/>
                    <a:stretch>
                      <a:fillRect/>
                    </a:stretch>
                  </pic:blipFill>
                  <pic:spPr bwMode="auto">
                    <a:xfrm>
                      <a:off x="0" y="0"/>
                      <a:ext cx="5334000" cy="3000375"/>
                    </a:xfrm>
                    <a:prstGeom prst="rect">
                      <a:avLst/>
                    </a:prstGeom>
                    <a:noFill/>
                    <a:ln w="9525">
                      <a:noFill/>
                      <a:headEnd/>
                      <a:tailEnd/>
                    </a:ln>
                  </pic:spPr>
                </pic:pic>
              </a:graphicData>
            </a:graphic>
          </wp:inline>
        </w:drawing>
      </w:r>
    </w:p>
    <w:bookmarkStart w:id="276" w:name="lecture---next-steps"/>
    <w:p>
      <w:pPr>
        <w:pStyle w:val="Heading2"/>
      </w:pPr>
      <w:r>
        <w:rPr>
          <w:rStyle w:val="SectionNumber"/>
        </w:rPr>
        <w:t xml:space="preserve">8.1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273" name="Picture"/>
            <a:graphic>
              <a:graphicData uri="http://schemas.openxmlformats.org/drawingml/2006/picture">
                <pic:pic>
                  <pic:nvPicPr>
                    <pic:cNvPr descr="community-analysis-and-feedback_files/figure-docx//1PMvZ19kSTK2ghdgLNFRS_t5p8R_GKFNbExPRxMsE1Ns_g35f391192_00.png" id="274" name="Picture"/>
                    <pic:cNvPicPr>
                      <a:picLocks noChangeArrowheads="1" noChangeAspect="1"/>
                    </pic:cNvPicPr>
                  </pic:nvPicPr>
                  <pic:blipFill>
                    <a:blip r:embed="rId2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5">
        <w:r>
          <w:rPr>
            <w:rStyle w:val="Hyperlink"/>
          </w:rPr>
          <w:t xml:space="preserve">Slides: Next Steps</w:t>
        </w:r>
      </w:hyperlink>
    </w:p>
    <w:bookmarkEnd w:id="276"/>
    <w:bookmarkStart w:id="296" w:name="activity---next-steps"/>
    <w:p>
      <w:pPr>
        <w:pStyle w:val="Heading2"/>
      </w:pPr>
      <w:r>
        <w:rPr>
          <w:rStyle w:val="SectionNumber"/>
        </w:rPr>
        <w:t xml:space="preserve">8.2</w:t>
      </w:r>
      <w:r>
        <w:tab/>
      </w:r>
      <w:r>
        <w:t xml:space="preserve">Activity - Next Steps</w:t>
      </w:r>
    </w:p>
    <w:bookmarkStart w:id="277" w:name="introduction-2"/>
    <w:p>
      <w:pPr>
        <w:pStyle w:val="Heading3"/>
      </w:pPr>
      <w:r>
        <w:rPr>
          <w:rStyle w:val="SectionNumber"/>
        </w:rPr>
        <w:t xml:space="preserve">8.2.1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277"/>
    <w:bookmarkStart w:id="280" w:name="activity-1-complete-feedback"/>
    <w:p>
      <w:pPr>
        <w:pStyle w:val="Heading3"/>
      </w:pPr>
      <w:r>
        <w:rPr>
          <w:rStyle w:val="SectionNumber"/>
        </w:rPr>
        <w:t xml:space="preserve">8.2.2</w:t>
      </w:r>
      <w:r>
        <w:tab/>
      </w:r>
      <w:r>
        <w:t xml:space="preserve">Activity 1 – Complete Feedback</w:t>
      </w:r>
    </w:p>
    <w:p>
      <w:pPr>
        <w:pStyle w:val="FirstParagraph"/>
      </w:pPr>
      <w:r>
        <w:rPr>
          <w:iCs/>
          <w:i/>
        </w:rPr>
        <w:t xml:space="preserve">Estimated time: 15 min</w:t>
      </w:r>
    </w:p>
    <w:bookmarkStart w:id="279" w:name="instructions-3"/>
    <w:p>
      <w:pPr>
        <w:pStyle w:val="Heading4"/>
      </w:pPr>
      <w:r>
        <w:rPr>
          <w:rStyle w:val="SectionNumber"/>
        </w:rPr>
        <w:t xml:space="preserve">8.2.2.1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278">
        <w:r>
          <w:rPr>
            <w:rStyle w:val="Hyperlink"/>
          </w:rPr>
          <w:t xml:space="preserve">https://forms.gle/XkqiMERHc2PETmy4A</w:t>
        </w:r>
      </w:hyperlink>
    </w:p>
    <w:bookmarkEnd w:id="279"/>
    <w:bookmarkEnd w:id="280"/>
    <w:bookmarkStart w:id="283" w:name="activity-2-research-opportunities"/>
    <w:p>
      <w:pPr>
        <w:pStyle w:val="Heading3"/>
      </w:pPr>
      <w:r>
        <w:rPr>
          <w:rStyle w:val="SectionNumber"/>
        </w:rPr>
        <w:t xml:space="preserve">8.2.3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281">
              <w:r>
                <w:rPr>
                  <w:rStyle w:val="Hyperlink"/>
                </w:rPr>
                <w:t xml:space="preserve">https://www.nsf.gov/funding/initiatives/reu/students</w:t>
              </w:r>
            </w:hyperlink>
          </w:p>
        </w:tc>
      </w:tr>
      <w:tr>
        <w:tc>
          <w:tcPr/>
          <w:p>
            <w:pPr>
              <w:pStyle w:val="Compact"/>
              <w:jc w:val="left"/>
            </w:pPr>
            <w:r>
              <w:t xml:space="preserve">b. Search –</w:t>
            </w:r>
            <w:r>
              <w:t xml:space="preserve"> </w:t>
            </w:r>
            <w:hyperlink r:id="rId282">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283"/>
    <w:bookmarkStart w:id="291" w:name="activity-3-explore-communities"/>
    <w:p>
      <w:pPr>
        <w:pStyle w:val="Heading3"/>
      </w:pPr>
      <w:r>
        <w:rPr>
          <w:rStyle w:val="SectionNumber"/>
        </w:rPr>
        <w:t xml:space="preserve">8.2.4</w:t>
      </w:r>
      <w:r>
        <w:tab/>
      </w:r>
      <w:r>
        <w:t xml:space="preserve">Activity 3 – Explore Communities</w:t>
      </w:r>
    </w:p>
    <w:p>
      <w:pPr>
        <w:pStyle w:val="FirstParagraph"/>
      </w:pPr>
      <w:r>
        <w:rPr>
          <w:iCs/>
          <w:i/>
        </w:rPr>
        <w:t xml:space="preserve">Estimated time: 15 min</w:t>
      </w:r>
    </w:p>
    <w:bookmarkStart w:id="284" w:name="instructions-4"/>
    <w:p>
      <w:pPr>
        <w:pStyle w:val="Heading4"/>
      </w:pPr>
      <w:r>
        <w:rPr>
          <w:rStyle w:val="SectionNumber"/>
        </w:rPr>
        <w:t xml:space="preserve">8.2.4.1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284"/>
    <w:bookmarkStart w:id="290" w:name="questions-2"/>
    <w:p>
      <w:pPr>
        <w:pStyle w:val="Heading4"/>
      </w:pPr>
      <w:r>
        <w:rPr>
          <w:rStyle w:val="SectionNumber"/>
        </w:rPr>
        <w:t xml:space="preserve">8.2.4.2</w:t>
      </w:r>
      <w:r>
        <w:tab/>
      </w:r>
      <w:r>
        <w:t xml:space="preserve">Questions</w:t>
      </w:r>
    </w:p>
    <w:p>
      <w:pPr>
        <w:numPr>
          <w:ilvl w:val="0"/>
          <w:numId w:val="1098"/>
        </w:numPr>
        <w:pStyle w:val="Compact"/>
      </w:pPr>
      <w:r>
        <w:t xml:space="preserve">Specialized Communities</w:t>
      </w:r>
    </w:p>
    <w:p>
      <w:pPr>
        <w:numPr>
          <w:ilvl w:val="0"/>
          <w:numId w:val="1099"/>
        </w:numPr>
        <w:pStyle w:val="Compact"/>
      </w:pPr>
      <w:r>
        <w:t xml:space="preserve">SEQanswers: the next-generation sequencing community</w:t>
      </w:r>
    </w:p>
    <w:p>
      <w:pPr>
        <w:numPr>
          <w:ilvl w:val="0"/>
          <w:numId w:val="1100"/>
        </w:numPr>
        <w:pStyle w:val="Compact"/>
      </w:pPr>
      <w:hyperlink r:id="rId285">
        <w:r>
          <w:rPr>
            <w:rStyle w:val="Hyperlink"/>
          </w:rPr>
          <w:t xml:space="preserve">https://www.seqanswers.com</w:t>
        </w:r>
      </w:hyperlink>
    </w:p>
    <w:p>
      <w:pPr>
        <w:numPr>
          <w:ilvl w:val="0"/>
          <w:numId w:val="1101"/>
        </w:numPr>
        <w:pStyle w:val="Compact"/>
      </w:pPr>
      <w:r>
        <w:t xml:space="preserve">Biostars: bioinformatics explained</w:t>
      </w:r>
    </w:p>
    <w:p>
      <w:pPr>
        <w:numPr>
          <w:ilvl w:val="0"/>
          <w:numId w:val="1102"/>
        </w:numPr>
        <w:pStyle w:val="Compact"/>
      </w:pPr>
      <w:hyperlink r:id="rId286">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103"/>
        </w:numPr>
        <w:pStyle w:val="Compact"/>
      </w:pPr>
      <w:r>
        <w:t xml:space="preserve">General Communities</w:t>
      </w:r>
    </w:p>
    <w:p>
      <w:pPr>
        <w:numPr>
          <w:ilvl w:val="0"/>
          <w:numId w:val="1104"/>
        </w:numPr>
        <w:pStyle w:val="Compact"/>
      </w:pPr>
      <w:r>
        <w:t xml:space="preserve">Reddit: The heart of the internet</w:t>
      </w:r>
    </w:p>
    <w:p>
      <w:pPr>
        <w:numPr>
          <w:ilvl w:val="0"/>
          <w:numId w:val="1105"/>
        </w:numPr>
        <w:pStyle w:val="Compact"/>
      </w:pPr>
      <w:hyperlink r:id="rId287">
        <w:r>
          <w:rPr>
            <w:rStyle w:val="Hyperlink"/>
          </w:rPr>
          <w:t xml:space="preserve">https://www.reddit.com/r/metagenomics</w:t>
        </w:r>
      </w:hyperlink>
    </w:p>
    <w:p>
      <w:pPr>
        <w:numPr>
          <w:ilvl w:val="0"/>
          <w:numId w:val="1106"/>
        </w:numPr>
        <w:pStyle w:val="Compact"/>
      </w:pPr>
      <w:r>
        <w:t xml:space="preserve">Twitter/X: It’s what’s happening</w:t>
      </w:r>
    </w:p>
    <w:p>
      <w:pPr>
        <w:numPr>
          <w:ilvl w:val="0"/>
          <w:numId w:val="1107"/>
        </w:numPr>
        <w:pStyle w:val="Compact"/>
      </w:pPr>
      <w:hyperlink r:id="rId288">
        <w:r>
          <w:rPr>
            <w:rStyle w:val="Hyperlink"/>
          </w:rPr>
          <w:t xml:space="preserve">https://x.com/search?q=%23metagenomics</w:t>
        </w:r>
      </w:hyperlink>
    </w:p>
    <w:p>
      <w:pPr>
        <w:numPr>
          <w:ilvl w:val="0"/>
          <w:numId w:val="1108"/>
        </w:numPr>
        <w:pStyle w:val="Compact"/>
      </w:pPr>
      <w:r>
        <w:t xml:space="preserve">Bluesky: Social media as it should be</w:t>
      </w:r>
    </w:p>
    <w:p>
      <w:pPr>
        <w:numPr>
          <w:ilvl w:val="0"/>
          <w:numId w:val="1109"/>
        </w:numPr>
        <w:pStyle w:val="Compact"/>
      </w:pPr>
      <w:hyperlink r:id="rId289">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290"/>
    <w:bookmarkEnd w:id="291"/>
    <w:bookmarkStart w:id="293" w:name="optional-activity-4-share-work"/>
    <w:p>
      <w:pPr>
        <w:pStyle w:val="Heading3"/>
      </w:pPr>
      <w:r>
        <w:rPr>
          <w:rStyle w:val="SectionNumber"/>
        </w:rPr>
        <w:t xml:space="preserve">8.2.5</w:t>
      </w:r>
      <w:r>
        <w:tab/>
      </w:r>
      <w:r>
        <w:t xml:space="preserve">(Optional) Activity 4 – Share Work</w:t>
      </w:r>
    </w:p>
    <w:p>
      <w:pPr>
        <w:pStyle w:val="FirstParagraph"/>
      </w:pPr>
      <w:r>
        <w:rPr>
          <w:iCs/>
          <w:i/>
        </w:rPr>
        <w:t xml:space="preserve">Estimated time: 15 min</w:t>
      </w:r>
    </w:p>
    <w:bookmarkStart w:id="292" w:name="instructions-5"/>
    <w:p>
      <w:pPr>
        <w:pStyle w:val="Heading4"/>
      </w:pPr>
      <w:r>
        <w:rPr>
          <w:rStyle w:val="SectionNumber"/>
        </w:rPr>
        <w:t xml:space="preserve">8.2.5.1</w:t>
      </w:r>
      <w:r>
        <w:tab/>
      </w:r>
      <w:r>
        <w:t xml:space="preserve">Instructions</w:t>
      </w:r>
    </w:p>
    <w:p>
      <w:pPr>
        <w:numPr>
          <w:ilvl w:val="0"/>
          <w:numId w:val="1110"/>
        </w:numPr>
        <w:pStyle w:val="Compact"/>
      </w:pPr>
      <w:r>
        <w:t xml:space="preserve">Upload photos – Especially photo of your group standing in front of your poster</w:t>
      </w:r>
    </w:p>
    <w:p>
      <w:pPr>
        <w:numPr>
          <w:ilvl w:val="0"/>
          <w:numId w:val="1111"/>
        </w:numPr>
        <w:pStyle w:val="Compact"/>
      </w:pPr>
      <w:hyperlink r:id="rId257">
        <w:r>
          <w:rPr>
            <w:rStyle w:val="Hyperlink"/>
          </w:rPr>
          <w:t xml:space="preserve">https://drive.google.com/drive/folders/1y_GCJl7VIYTS_5y7057u2s58ZCdm_PxM</w:t>
        </w:r>
      </w:hyperlink>
    </w:p>
    <w:p>
      <w:pPr>
        <w:numPr>
          <w:ilvl w:val="0"/>
          <w:numId w:val="1112"/>
        </w:numPr>
        <w:pStyle w:val="Compact"/>
      </w:pPr>
      <w:r>
        <w:t xml:space="preserve">Publicly share poster – If every member of your group is ok sharing your work publicly</w:t>
      </w:r>
    </w:p>
    <w:p>
      <w:pPr>
        <w:numPr>
          <w:ilvl w:val="0"/>
          <w:numId w:val="1113"/>
        </w:numPr>
        <w:pStyle w:val="Compact"/>
      </w:pPr>
      <w:hyperlink r:id="rId40">
        <w:r>
          <w:rPr>
            <w:rStyle w:val="Hyperlink"/>
          </w:rPr>
          <w:t xml:space="preserve">https://help.c-moor.org/c/look-at-this/8</w:t>
        </w:r>
      </w:hyperlink>
    </w:p>
    <w:bookmarkEnd w:id="292"/>
    <w:bookmarkEnd w:id="293"/>
    <w:bookmarkStart w:id="294" w:name="grading-criteria-3"/>
    <w:p>
      <w:pPr>
        <w:pStyle w:val="Heading3"/>
      </w:pPr>
      <w:r>
        <w:rPr>
          <w:rStyle w:val="SectionNumber"/>
        </w:rPr>
        <w:t xml:space="preserve">8.2.6</w:t>
      </w:r>
      <w:r>
        <w:tab/>
      </w:r>
      <w:r>
        <w:t xml:space="preserve">Grading Criteria</w:t>
      </w:r>
    </w:p>
    <w:p>
      <w:pPr>
        <w:numPr>
          <w:ilvl w:val="0"/>
          <w:numId w:val="1114"/>
        </w:numPr>
        <w:pStyle w:val="Compact"/>
      </w:pPr>
      <w:r>
        <w:t xml:space="preserve">Download as Microsoft Word (.docx) and upload on Canvas</w:t>
      </w:r>
    </w:p>
    <w:bookmarkEnd w:id="294"/>
    <w:bookmarkStart w:id="295" w:name="footnotes-3"/>
    <w:p>
      <w:pPr>
        <w:pStyle w:val="Heading3"/>
      </w:pPr>
      <w:r>
        <w:rPr>
          <w:rStyle w:val="SectionNumber"/>
        </w:rPr>
        <w:t xml:space="preserve">8.2.7</w:t>
      </w:r>
      <w:r>
        <w:tab/>
      </w:r>
      <w:r>
        <w:t xml:space="preserve">Footnotes</w:t>
      </w:r>
    </w:p>
    <w:p>
      <w:pPr>
        <w:pStyle w:val="FirstParagraph"/>
      </w:pPr>
      <w:r>
        <w:rPr>
          <w:bCs/>
          <w:b/>
        </w:rPr>
        <w:t xml:space="preserve">Resources</w:t>
      </w:r>
    </w:p>
    <w:p>
      <w:pPr>
        <w:numPr>
          <w:ilvl w:val="0"/>
          <w:numId w:val="1115"/>
        </w:numPr>
        <w:pStyle w:val="Compact"/>
      </w:pPr>
      <w:r>
        <w:t xml:space="preserve">Google Doc</w:t>
      </w:r>
    </w:p>
    <w:p>
      <w:pPr>
        <w:pStyle w:val="FirstParagraph"/>
      </w:pPr>
      <w:r>
        <w:rPr>
          <w:bCs/>
          <w:b/>
        </w:rPr>
        <w:t xml:space="preserve">Contributions and Affiliations</w:t>
      </w:r>
    </w:p>
    <w:p>
      <w:pPr>
        <w:numPr>
          <w:ilvl w:val="0"/>
          <w:numId w:val="1116"/>
        </w:numPr>
        <w:pStyle w:val="Compact"/>
      </w:pPr>
      <w:r>
        <w:t xml:space="preserve">Valeriya Gaysinskaya, Johns Hopkins University</w:t>
      </w:r>
    </w:p>
    <w:p>
      <w:pPr>
        <w:numPr>
          <w:ilvl w:val="0"/>
          <w:numId w:val="1116"/>
        </w:numPr>
        <w:pStyle w:val="Compact"/>
      </w:pPr>
      <w:r>
        <w:t xml:space="preserve">Frederick Tan, Johns Hopkins University</w:t>
      </w:r>
    </w:p>
    <w:bookmarkEnd w:id="295"/>
    <w:bookmarkEnd w:id="296"/>
    <w:bookmarkStart w:id="311" w:name="science-talks"/>
    <w:p>
      <w:pPr>
        <w:pStyle w:val="Heading2"/>
      </w:pPr>
      <w:r>
        <w:rPr>
          <w:rStyle w:val="SectionNumber"/>
        </w:rPr>
        <w:t xml:space="preserve">8.3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117"/>
        </w:numPr>
        <w:pStyle w:val="Compact"/>
      </w:pPr>
      <w:r>
        <w:t xml:space="preserve">Dr. Karina Gutiérrez-García</w:t>
      </w:r>
    </w:p>
    <w:p>
      <w:pPr>
        <w:numPr>
          <w:ilvl w:val="0"/>
          <w:numId w:val="1117"/>
        </w:numPr>
        <w:pStyle w:val="Compact"/>
      </w:pPr>
      <w:r>
        <w:t xml:space="preserve">Dr. Leah Guthrie</w:t>
      </w:r>
    </w:p>
    <w:p>
      <w:pPr>
        <w:pStyle w:val="FirstParagraph"/>
      </w:pPr>
      <w:r>
        <w:drawing>
          <wp:inline>
            <wp:extent cx="5334000" cy="3000375"/>
            <wp:effectExtent b="0" l="0" r="0" t="0"/>
            <wp:docPr descr="" title="" id="298" name="Picture"/>
            <a:graphic>
              <a:graphicData uri="http://schemas.openxmlformats.org/drawingml/2006/picture">
                <pic:pic>
                  <pic:nvPicPr>
                    <pic:cNvPr descr="community-analysis-and-feedback_files/figure-docx//1hYKF7Ss3vJ8rrUIH7ByNh1BUlRa2fhsJhq8MXzEowCc_g344ad28629a_0_263.png" id="299" name="Picture"/>
                    <pic:cNvPicPr>
                      <a:picLocks noChangeArrowheads="1" noChangeAspect="1"/>
                    </pic:cNvPicPr>
                  </pic:nvPicPr>
                  <pic:blipFill>
                    <a:blip r:embed="rId2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305" w:name="science-talks---activity-1"/>
    <w:p>
      <w:pPr>
        <w:pStyle w:val="Heading3"/>
      </w:pPr>
      <w:r>
        <w:rPr>
          <w:rStyle w:val="SectionNumber"/>
        </w:rPr>
        <w:t xml:space="preserve">8.3.1</w:t>
      </w:r>
      <w:r>
        <w:tab/>
      </w:r>
      <w:r>
        <w:t xml:space="preserve">Science Talks - Activity 1</w:t>
      </w:r>
    </w:p>
    <w:p>
      <w:pPr>
        <w:pStyle w:val="FirstParagraph"/>
      </w:pPr>
      <w:r>
        <w:rPr>
          <w:iCs/>
          <w:i/>
        </w:rPr>
        <w:t xml:space="preserve">Estimated time: 50 min</w:t>
      </w:r>
    </w:p>
    <w:p>
      <w:pPr>
        <w:numPr>
          <w:ilvl w:val="0"/>
          <w:numId w:val="1118"/>
        </w:numPr>
        <w:pStyle w:val="Compact"/>
      </w:pPr>
      <w:r>
        <w:t xml:space="preserve">Read/Browse the following information about</w:t>
      </w:r>
      <w:r>
        <w:t xml:space="preserve"> </w:t>
      </w:r>
      <w:r>
        <w:rPr>
          <w:bCs/>
          <w:b/>
        </w:rPr>
        <w:t xml:space="preserve">Dr. Karina Gutiérrez-García</w:t>
      </w:r>
    </w:p>
    <w:p>
      <w:pPr>
        <w:numPr>
          <w:ilvl w:val="0"/>
          <w:numId w:val="1119"/>
        </w:numPr>
      </w:pPr>
      <w:r>
        <w:t xml:space="preserve">Postdoc Spotlight</w:t>
      </w:r>
      <w:r>
        <w:t xml:space="preserve"> </w:t>
      </w:r>
      <w:hyperlink r:id="rId300">
        <w:r>
          <w:rPr>
            <w:rStyle w:val="Hyperlink"/>
          </w:rPr>
          <w:t xml:space="preserve">carnegiescience.edu/news/postdoc-spotlight-karina-gutierrez-garcia</w:t>
        </w:r>
      </w:hyperlink>
    </w:p>
    <w:p>
      <w:pPr>
        <w:numPr>
          <w:ilvl w:val="0"/>
          <w:numId w:val="1119"/>
        </w:numPr>
      </w:pPr>
      <w:r>
        <w:t xml:space="preserve">“</w:t>
      </w:r>
      <w:r>
        <w:t xml:space="preserve">Home sweet home</w:t>
      </w:r>
      <w:r>
        <w:t xml:space="preserve">”</w:t>
      </w:r>
      <w:r>
        <w:t xml:space="preserve"> </w:t>
      </w:r>
      <w:r>
        <w:t xml:space="preserve">perspective on study of fruit fly gut microbiome</w:t>
      </w:r>
      <w:r>
        <w:t xml:space="preserve"> </w:t>
      </w:r>
      <w:hyperlink r:id="rId301">
        <w:r>
          <w:rPr>
            <w:rStyle w:val="Hyperlink"/>
          </w:rPr>
          <w:t xml:space="preserve">pubmed.gov/39637006</w:t>
        </w:r>
      </w:hyperlink>
    </w:p>
    <w:p>
      <w:pPr>
        <w:numPr>
          <w:ilvl w:val="0"/>
          <w:numId w:val="1119"/>
        </w:numPr>
      </w:pPr>
      <w:r>
        <w:t xml:space="preserve">Abstract for</w:t>
      </w:r>
      <w:r>
        <w:t xml:space="preserve"> </w:t>
      </w:r>
      <w:r>
        <w:t xml:space="preserve">“</w:t>
      </w:r>
      <w:r>
        <w:t xml:space="preserve">A conserved bacterial genetic basis for commensal-host specificity</w:t>
      </w:r>
      <w:r>
        <w:t xml:space="preserve">”</w:t>
      </w:r>
      <w:r>
        <w:t xml:space="preserve"> </w:t>
      </w:r>
      <w:hyperlink r:id="rId302">
        <w:r>
          <w:rPr>
            <w:rStyle w:val="Hyperlink"/>
          </w:rPr>
          <w:t xml:space="preserve">pubmed.gov/39636981</w:t>
        </w:r>
      </w:hyperlink>
    </w:p>
    <w:p>
      <w:pPr>
        <w:numPr>
          <w:ilvl w:val="0"/>
          <w:numId w:val="1119"/>
        </w:numPr>
      </w:pPr>
      <w:r>
        <w:t xml:space="preserve">Abstract for “Gut microbiomes of cycad-feeding insects tolerant to β-methylamino-L-alanine (BMAA) are rich in siderophore biosynthesis</w:t>
      </w:r>
      <w:r>
        <w:t xml:space="preserve"> </w:t>
      </w:r>
      <w:hyperlink r:id="rId303">
        <w:r>
          <w:rPr>
            <w:rStyle w:val="Hyperlink"/>
          </w:rPr>
          <w:t xml:space="preserve">pubmed.gov/37993724</w:t>
        </w:r>
      </w:hyperlink>
    </w:p>
    <w:p>
      <w:pPr>
        <w:numPr>
          <w:ilvl w:val="0"/>
          <w:numId w:val="1120"/>
        </w:numPr>
      </w:pPr>
      <w:r>
        <w:t xml:space="preserve">Post three questions to the speaker in the Discussion Forum at</w:t>
      </w:r>
      <w:r>
        <w:t xml:space="preserve"> </w:t>
      </w:r>
      <w:hyperlink r:id="rId304">
        <w:r>
          <w:rPr>
            <w:rStyle w:val="Hyperlink"/>
          </w:rPr>
          <w:t xml:space="preserve">https://help.c-moor.org/t/469</w:t>
        </w:r>
      </w:hyperlink>
      <w:r>
        <w:t xml:space="preserve">.</w:t>
      </w:r>
    </w:p>
    <w:p>
      <w:pPr>
        <w:numPr>
          <w:ilvl w:val="0"/>
          <w:numId w:val="1120"/>
        </w:numPr>
      </w:pPr>
      <w:r>
        <w:t xml:space="preserve">Science – What scientific question do you have about Speaker’s research, ranging from basic background questions to possible next steps?</w:t>
      </w:r>
    </w:p>
    <w:p>
      <w:pPr>
        <w:numPr>
          <w:ilvl w:val="0"/>
          <w:numId w:val="1120"/>
        </w:numPr>
      </w:pPr>
      <w:r>
        <w:t xml:space="preserve">Method – What methods would you like the Speaker insight on, whether computational, genomics, or other exciting technologies?</w:t>
      </w:r>
    </w:p>
    <w:p>
      <w:pPr>
        <w:numPr>
          <w:ilvl w:val="0"/>
          <w:numId w:val="1120"/>
        </w:numPr>
      </w:pPr>
      <w:r>
        <w:t xml:space="preserve">Career – What advice would you ask the Speaker for regarding how to get started, finding a mentor, etc.?</w:t>
      </w:r>
    </w:p>
    <w:bookmarkEnd w:id="305"/>
    <w:bookmarkStart w:id="310" w:name="science-talks---activity-2"/>
    <w:p>
      <w:pPr>
        <w:pStyle w:val="Heading3"/>
      </w:pPr>
      <w:r>
        <w:rPr>
          <w:rStyle w:val="SectionNumber"/>
        </w:rPr>
        <w:t xml:space="preserve">8.3.2</w:t>
      </w:r>
      <w:r>
        <w:tab/>
      </w:r>
      <w:r>
        <w:t xml:space="preserve">Science Talks - Activity 2</w:t>
      </w:r>
    </w:p>
    <w:p>
      <w:pPr>
        <w:pStyle w:val="FirstParagraph"/>
      </w:pPr>
      <w:r>
        <w:rPr>
          <w:iCs/>
          <w:i/>
        </w:rPr>
        <w:t xml:space="preserve">Estimated time: 50 min</w:t>
      </w:r>
    </w:p>
    <w:p>
      <w:pPr>
        <w:numPr>
          <w:ilvl w:val="0"/>
          <w:numId w:val="1121"/>
        </w:numPr>
        <w:pStyle w:val="Compact"/>
      </w:pPr>
      <w:r>
        <w:t xml:space="preserve">Read/Browse the following information about</w:t>
      </w:r>
      <w:r>
        <w:t xml:space="preserve"> </w:t>
      </w:r>
      <w:r>
        <w:rPr>
          <w:bCs/>
          <w:b/>
        </w:rPr>
        <w:t xml:space="preserve">Dr. Leah Guthrie</w:t>
      </w:r>
    </w:p>
    <w:p>
      <w:pPr>
        <w:numPr>
          <w:ilvl w:val="0"/>
          <w:numId w:val="1122"/>
        </w:numPr>
      </w:pPr>
      <w:r>
        <w:t xml:space="preserve">Faculty focus</w:t>
      </w:r>
      <w:r>
        <w:t xml:space="preserve"> </w:t>
      </w:r>
      <w:hyperlink r:id="rId306">
        <w:r>
          <w:rPr>
            <w:rStyle w:val="Hyperlink"/>
          </w:rPr>
          <w:t xml:space="preserve">qb3.berkeley.edu/news/faculty-focus-leah-guthrie</w:t>
        </w:r>
      </w:hyperlink>
    </w:p>
    <w:p>
      <w:pPr>
        <w:numPr>
          <w:ilvl w:val="0"/>
          <w:numId w:val="1122"/>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307">
        <w:r>
          <w:rPr>
            <w:rStyle w:val="Hyperlink"/>
          </w:rPr>
          <w:t xml:space="preserve">pubmed.gov/35643079</w:t>
        </w:r>
      </w:hyperlink>
    </w:p>
    <w:p>
      <w:pPr>
        <w:numPr>
          <w:ilvl w:val="0"/>
          <w:numId w:val="1122"/>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308">
        <w:r>
          <w:rPr>
            <w:rStyle w:val="Hyperlink"/>
          </w:rPr>
          <w:t xml:space="preserve">pubmed.gov/29104759</w:t>
        </w:r>
      </w:hyperlink>
    </w:p>
    <w:p>
      <w:pPr>
        <w:numPr>
          <w:ilvl w:val="0"/>
          <w:numId w:val="1123"/>
        </w:numPr>
      </w:pPr>
      <w:r>
        <w:t xml:space="preserve">Post three questions to the speaker in the Discussion Forum at</w:t>
      </w:r>
      <w:r>
        <w:t xml:space="preserve"> </w:t>
      </w:r>
      <w:hyperlink r:id="rId309">
        <w:r>
          <w:rPr>
            <w:rStyle w:val="Hyperlink"/>
          </w:rPr>
          <w:t xml:space="preserve">https://help.c-moor.org/t/469</w:t>
        </w:r>
      </w:hyperlink>
      <w:r>
        <w:t xml:space="preserve">.</w:t>
      </w:r>
    </w:p>
    <w:p>
      <w:pPr>
        <w:numPr>
          <w:ilvl w:val="0"/>
          <w:numId w:val="1123"/>
        </w:numPr>
      </w:pPr>
      <w:r>
        <w:t xml:space="preserve">Science – What scientific question do you have about Speaker’s research, ranging from basic background questions to possible next steps?</w:t>
      </w:r>
    </w:p>
    <w:p>
      <w:pPr>
        <w:numPr>
          <w:ilvl w:val="0"/>
          <w:numId w:val="1123"/>
        </w:numPr>
      </w:pPr>
      <w:r>
        <w:t xml:space="preserve">Method – What methods would you like the Speaker insight on, whether computational, genomics, or other exciting technologies?</w:t>
      </w:r>
    </w:p>
    <w:p>
      <w:pPr>
        <w:numPr>
          <w:ilvl w:val="0"/>
          <w:numId w:val="1123"/>
        </w:numPr>
      </w:pPr>
      <w:r>
        <w:t xml:space="preserve">Career – What advice would you ask the Speaker for regarding how to get started, finding a mentor, etc.?</w:t>
      </w:r>
    </w:p>
    <w:bookmarkEnd w:id="310"/>
    <w:bookmarkEnd w:id="311"/>
    <w:bookmarkStart w:id="313" w:name="create-your-cv"/>
    <w:p>
      <w:pPr>
        <w:pStyle w:val="Heading2"/>
      </w:pPr>
      <w:r>
        <w:rPr>
          <w:rStyle w:val="SectionNumber"/>
        </w:rPr>
        <w:t xml:space="preserve">8.4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312" w:name="resume-or-cv"/>
    <w:p>
      <w:pPr>
        <w:pStyle w:val="Heading4"/>
      </w:pPr>
      <w:r>
        <w:rPr>
          <w:rStyle w:val="SectionNumber"/>
        </w:rPr>
        <w:t xml:space="preserve">8.4.0.1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124"/>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124"/>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124"/>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125"/>
        </w:numPr>
        <w:pStyle w:val="Compact"/>
      </w:pPr>
      <w:r>
        <w:t xml:space="preserve">☐   You credit the source of your data (Citation, SRA #, Project #)</w:t>
      </w:r>
    </w:p>
    <w:p>
      <w:pPr>
        <w:numPr>
          <w:ilvl w:val="0"/>
          <w:numId w:val="1125"/>
        </w:numPr>
        <w:pStyle w:val="Compact"/>
      </w:pPr>
      <w:r>
        <w:t xml:space="preserve">☐   You describe why your research project matters</w:t>
      </w:r>
    </w:p>
    <w:p>
      <w:pPr>
        <w:numPr>
          <w:ilvl w:val="0"/>
          <w:numId w:val="1125"/>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312"/>
    <w:bookmarkEnd w:id="313"/>
    <w:bookmarkEnd w:id="314"/>
    <w:bookmarkStart w:id="336" w:name="c-moor-scholars"/>
    <w:p>
      <w:pPr>
        <w:pStyle w:val="Heading1"/>
      </w:pPr>
      <w:r>
        <w:rPr>
          <w:rStyle w:val="SectionNumber"/>
        </w:rPr>
        <w:t xml:space="preserve">9</w:t>
      </w:r>
      <w:r>
        <w:tab/>
      </w:r>
      <w:r>
        <w:t xml:space="preserve">C-MOOR Scholars</w:t>
      </w:r>
    </w:p>
    <w:bookmarkStart w:id="323" w:name="c-moor-scholars-1"/>
    <w:p>
      <w:pPr>
        <w:pStyle w:val="Heading2"/>
      </w:pPr>
      <w:r>
        <w:rPr>
          <w:rStyle w:val="SectionNumber"/>
        </w:rPr>
        <w:t xml:space="preserve">9.1</w:t>
      </w:r>
      <w:r>
        <w:tab/>
      </w:r>
      <w:r>
        <w:t xml:space="preserve">C-MOOR Scholars</w:t>
      </w:r>
    </w:p>
    <w:p>
      <w:pPr>
        <w:pStyle w:val="FirstParagraph"/>
      </w:pPr>
      <w:r>
        <w:drawing>
          <wp:inline>
            <wp:extent cx="5334000" cy="3000375"/>
            <wp:effectExtent b="0" l="0" r="0" t="0"/>
            <wp:docPr descr="" title="" id="316" name="Picture"/>
            <a:graphic>
              <a:graphicData uri="http://schemas.openxmlformats.org/drawingml/2006/picture">
                <pic:pic>
                  <pic:nvPicPr>
                    <pic:cNvPr descr="community-analysis-and-feedback_files/figure-docx//1dI8-_iVqbkzNMf11M4dK85E8ZW3OyZECs_YwMKw5fhs_g362a06a915d_2_4.png" id="317" name="Picture"/>
                    <pic:cNvPicPr>
                      <a:picLocks noChangeArrowheads="1" noChangeAspect="1"/>
                    </pic:cNvPicPr>
                  </pic:nvPicPr>
                  <pic:blipFill>
                    <a:blip r:embed="rId3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318">
        <w:r>
          <w:rPr>
            <w:rStyle w:val="Hyperlink"/>
          </w:rPr>
          <w:t xml:space="preserve">C-MOOR Scholars Interest Form</w:t>
        </w:r>
      </w:hyperlink>
      <w:r>
        <w:t xml:space="preserve"> </w:t>
      </w:r>
      <w:r>
        <w:t xml:space="preserve">if interested, and meet some</w:t>
      </w:r>
      <w:r>
        <w:t xml:space="preserve"> </w:t>
      </w:r>
      <w:hyperlink r:id="rId319">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126"/>
        </w:numPr>
        <w:pStyle w:val="Compact"/>
      </w:pPr>
      <w:r>
        <w:t xml:space="preserve">A place to grow your skills</w:t>
      </w:r>
    </w:p>
    <w:p>
      <w:pPr>
        <w:numPr>
          <w:ilvl w:val="0"/>
          <w:numId w:val="1126"/>
        </w:numPr>
        <w:pStyle w:val="Compact"/>
      </w:pPr>
      <w:r>
        <w:t xml:space="preserve">A place to network</w:t>
      </w:r>
    </w:p>
    <w:p>
      <w:pPr>
        <w:numPr>
          <w:ilvl w:val="0"/>
          <w:numId w:val="1126"/>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127"/>
        </w:numPr>
        <w:pStyle w:val="Compact"/>
      </w:pPr>
      <w:r>
        <w:t xml:space="preserve">A commitment to pursuing research as a career</w:t>
      </w:r>
    </w:p>
    <w:p>
      <w:pPr>
        <w:numPr>
          <w:ilvl w:val="0"/>
          <w:numId w:val="1127"/>
        </w:numPr>
        <w:pStyle w:val="Compact"/>
      </w:pPr>
      <w:r>
        <w:t xml:space="preserve">A graded class where we score work</w:t>
      </w:r>
    </w:p>
    <w:p>
      <w:pPr>
        <w:numPr>
          <w:ilvl w:val="0"/>
          <w:numId w:val="1127"/>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320">
        <w:r>
          <w:rPr>
            <w:rStyle w:val="Hyperlink"/>
          </w:rPr>
          <w:t xml:space="preserve">C-MOOR Academy Discussion Forum</w:t>
        </w:r>
      </w:hyperlink>
      <w:r>
        <w:t xml:space="preserve"> </w:t>
      </w:r>
      <w:r>
        <w:t xml:space="preserve">to hear about any remote opportunities we have.</w:t>
      </w:r>
    </w:p>
    <w:bookmarkStart w:id="322" w:name="c-moor-scholars-links"/>
    <w:p>
      <w:pPr>
        <w:pStyle w:val="Heading3"/>
      </w:pPr>
      <w:r>
        <w:rPr>
          <w:rStyle w:val="SectionNumber"/>
        </w:rPr>
        <w:t xml:space="preserve">9.1.1</w:t>
      </w:r>
      <w:r>
        <w:tab/>
      </w:r>
      <w:r>
        <w:t xml:space="preserve">C-MOOR Scholars links</w:t>
      </w:r>
    </w:p>
    <w:p>
      <w:pPr>
        <w:pStyle w:val="FirstParagraph"/>
      </w:pPr>
      <w:r>
        <w:t xml:space="preserve">Share your interests via C-MOOR Scholars Interest Form and learn how C-MOOR community can support you.</w:t>
      </w:r>
    </w:p>
    <w:p>
      <w:pPr>
        <w:numPr>
          <w:ilvl w:val="0"/>
          <w:numId w:val="1128"/>
        </w:numPr>
        <w:pStyle w:val="Compact"/>
      </w:pPr>
      <w:hyperlink r:id="rId321">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129"/>
        </w:numPr>
        <w:pStyle w:val="Compact"/>
      </w:pPr>
      <w:hyperlink r:id="rId319">
        <w:r>
          <w:rPr>
            <w:rStyle w:val="Hyperlink"/>
          </w:rPr>
          <w:t xml:space="preserve">https://www.cloviscollege.edu/alumni-and-community/c-moor/c-moor-scholars.html</w:t>
        </w:r>
      </w:hyperlink>
    </w:p>
    <w:bookmarkEnd w:id="322"/>
    <w:bookmarkEnd w:id="323"/>
    <w:bookmarkStart w:id="330" w:name="pursue-further-research"/>
    <w:p>
      <w:pPr>
        <w:pStyle w:val="Heading2"/>
      </w:pPr>
      <w:r>
        <w:rPr>
          <w:rStyle w:val="SectionNumber"/>
        </w:rPr>
        <w:t xml:space="preserve">9.2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325" name="Picture"/>
            <a:graphic>
              <a:graphicData uri="http://schemas.openxmlformats.org/drawingml/2006/picture">
                <pic:pic>
                  <pic:nvPicPr>
                    <pic:cNvPr descr="community-analysis-and-feedback_files/figure-docx//1dI8-_iVqbkzNMf11M4dK85E8ZW3OyZECs_YwMKw5fhs_g362974128df_0_98.png" id="326" name="Picture"/>
                    <pic:cNvPicPr>
                      <a:picLocks noChangeArrowheads="1" noChangeAspect="1"/>
                    </pic:cNvPicPr>
                  </pic:nvPicPr>
                  <pic:blipFill>
                    <a:blip r:embed="rId324"/>
                    <a:stretch>
                      <a:fillRect/>
                    </a:stretch>
                  </pic:blipFill>
                  <pic:spPr bwMode="auto">
                    <a:xfrm>
                      <a:off x="0" y="0"/>
                      <a:ext cx="5334000" cy="3000375"/>
                    </a:xfrm>
                    <a:prstGeom prst="rect">
                      <a:avLst/>
                    </a:prstGeom>
                    <a:noFill/>
                    <a:ln w="9525">
                      <a:noFill/>
                      <a:headEnd/>
                      <a:tailEnd/>
                    </a:ln>
                  </pic:spPr>
                </pic:pic>
              </a:graphicData>
            </a:graphic>
          </wp:inline>
        </w:drawing>
      </w:r>
    </w:p>
    <w:bookmarkStart w:id="328" w:name="Xc738158caaf65c8ffd3c6f2ca9b7fa0c34fc752"/>
    <w:p>
      <w:pPr>
        <w:pStyle w:val="Heading3"/>
      </w:pPr>
      <w:r>
        <w:rPr>
          <w:rStyle w:val="SectionNumber"/>
        </w:rPr>
        <w:t xml:space="preserve">9.2.1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130"/>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130"/>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327">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328"/>
    <w:bookmarkStart w:id="329" w:name="find-a-research-lab-to-join"/>
    <w:p>
      <w:pPr>
        <w:pStyle w:val="Heading3"/>
      </w:pPr>
      <w:r>
        <w:rPr>
          <w:rStyle w:val="SectionNumber"/>
        </w:rPr>
        <w:t xml:space="preserve">9.2.2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131"/>
        </w:numPr>
        <w:pStyle w:val="Compact"/>
      </w:pPr>
      <w:r>
        <w:t xml:space="preserve">☐  An introduction about yourself (name, class year, institution, major)</w:t>
      </w:r>
    </w:p>
    <w:p>
      <w:pPr>
        <w:numPr>
          <w:ilvl w:val="0"/>
          <w:numId w:val="1131"/>
        </w:numPr>
        <w:pStyle w:val="Compact"/>
      </w:pPr>
      <w:r>
        <w:t xml:space="preserve">☐  1-2 sentences about your previous experience in research</w:t>
      </w:r>
    </w:p>
    <w:p>
      <w:pPr>
        <w:numPr>
          <w:ilvl w:val="0"/>
          <w:numId w:val="1131"/>
        </w:numPr>
        <w:pStyle w:val="Compact"/>
      </w:pPr>
      <w:r>
        <w:t xml:space="preserve">☐  1-2 sentences about why you’re interested in their lab specifically</w:t>
      </w:r>
    </w:p>
    <w:p>
      <w:pPr>
        <w:numPr>
          <w:ilvl w:val="0"/>
          <w:numId w:val="1131"/>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329"/>
    <w:bookmarkEnd w:id="330"/>
    <w:bookmarkStart w:id="335" w:name="biodigs"/>
    <w:p>
      <w:pPr>
        <w:pStyle w:val="Heading2"/>
      </w:pPr>
      <w:r>
        <w:rPr>
          <w:rStyle w:val="SectionNumber"/>
        </w:rPr>
        <w:t xml:space="preserve">9.3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332" name="Picture"/>
            <a:graphic>
              <a:graphicData uri="http://schemas.openxmlformats.org/drawingml/2006/picture">
                <pic:pic>
                  <pic:nvPicPr>
                    <pic:cNvPr descr="community-analysis-and-feedback_files/figure-docx//1dI8-_iVqbkzNMf11M4dK85E8ZW3OyZECs_YwMKw5fhs_g362a06a915d_2_10.png" id="333" name="Picture"/>
                    <pic:cNvPicPr>
                      <a:picLocks noChangeArrowheads="1" noChangeAspect="1"/>
                    </pic:cNvPicPr>
                  </pic:nvPicPr>
                  <pic:blipFill>
                    <a:blip r:embed="rId3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334">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335"/>
    <w:bookmarkEnd w:id="336"/>
    <w:bookmarkStart w:id="355" w:name="online-community"/>
    <w:p>
      <w:pPr>
        <w:pStyle w:val="Heading1"/>
      </w:pPr>
      <w:r>
        <w:rPr>
          <w:rStyle w:val="SectionNumber"/>
        </w:rPr>
        <w:t xml:space="preserve">10</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337">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132"/>
        </w:numPr>
        <w:pStyle w:val="Compact"/>
      </w:pPr>
      <w:hyperlink r:id="rId338">
        <w:r>
          <w:rPr>
            <w:rStyle w:val="Hyperlink"/>
          </w:rPr>
          <w:t xml:space="preserve">help.c-moor.org</w:t>
        </w:r>
      </w:hyperlink>
      <w:r>
        <w:t xml:space="preserve"> </w:t>
      </w:r>
      <w:r>
        <w:t xml:space="preserve">for help with and example miniCUREs</w:t>
      </w:r>
    </w:p>
    <w:p>
      <w:pPr>
        <w:numPr>
          <w:ilvl w:val="0"/>
          <w:numId w:val="1132"/>
        </w:numPr>
        <w:pStyle w:val="Compact"/>
      </w:pPr>
      <w:hyperlink r:id="rId339">
        <w:r>
          <w:rPr>
            <w:rStyle w:val="Hyperlink"/>
          </w:rPr>
          <w:t xml:space="preserve">help.galaxyproject.org</w:t>
        </w:r>
      </w:hyperlink>
      <w:r>
        <w:t xml:space="preserve"> </w:t>
      </w:r>
      <w:r>
        <w:t xml:space="preserve">for all things Galaxy</w:t>
      </w:r>
    </w:p>
    <w:p>
      <w:pPr>
        <w:numPr>
          <w:ilvl w:val="0"/>
          <w:numId w:val="1132"/>
        </w:numPr>
        <w:pStyle w:val="Compact"/>
      </w:pPr>
      <w:hyperlink r:id="rId340">
        <w:r>
          <w:rPr>
            <w:rStyle w:val="Hyperlink"/>
          </w:rPr>
          <w:t xml:space="preserve">support.bioconductor.org</w:t>
        </w:r>
      </w:hyperlink>
      <w:r>
        <w:t xml:space="preserve"> </w:t>
      </w:r>
      <w:r>
        <w:t xml:space="preserve">for all things R/Bioconductor</w:t>
      </w:r>
    </w:p>
    <w:p>
      <w:pPr>
        <w:numPr>
          <w:ilvl w:val="0"/>
          <w:numId w:val="1132"/>
        </w:numPr>
        <w:pStyle w:val="Compact"/>
      </w:pPr>
      <w:hyperlink r:id="rId341">
        <w:r>
          <w:rPr>
            <w:rStyle w:val="Hyperlink"/>
          </w:rPr>
          <w:t xml:space="preserve">help.anvilproject.org</w:t>
        </w:r>
      </w:hyperlink>
      <w:r>
        <w:t xml:space="preserve"> </w:t>
      </w:r>
      <w:r>
        <w:t xml:space="preserve">for interactions with the GDSCN BioDIGS consortium</w:t>
      </w:r>
      <w:r>
        <w:t xml:space="preserve"> </w:t>
      </w:r>
      <w:hyperlink r:id="rId342">
        <w:r>
          <w:rPr>
            <w:rStyle w:val="Hyperlink"/>
          </w:rPr>
          <w:t xml:space="preserve">https://biodigs.org/#home</w:t>
        </w:r>
      </w:hyperlink>
    </w:p>
    <w:p>
      <w:pPr>
        <w:pStyle w:val="FirstParagraph"/>
      </w:pPr>
      <w:r>
        <w:drawing>
          <wp:inline>
            <wp:extent cx="5334000" cy="3000375"/>
            <wp:effectExtent b="0" l="0" r="0" t="0"/>
            <wp:docPr descr="" title="" id="344" name="Picture"/>
            <a:graphic>
              <a:graphicData uri="http://schemas.openxmlformats.org/drawingml/2006/picture">
                <pic:pic>
                  <pic:nvPicPr>
                    <pic:cNvPr descr="community-analysis-and-feedback_files/figure-docx//1fH9s5OLcRF5meZtFWTJe89RFvJSh125kdjhdqp5smqA_g302b08c5e6e_0_16.png" id="345" name="Picture"/>
                    <pic:cNvPicPr>
                      <a:picLocks noChangeArrowheads="1" noChangeAspect="1"/>
                    </pic:cNvPicPr>
                  </pic:nvPicPr>
                  <pic:blipFill>
                    <a:blip r:embed="rId3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7" name="Picture"/>
            <a:graphic>
              <a:graphicData uri="http://schemas.openxmlformats.org/drawingml/2006/picture">
                <pic:pic>
                  <pic:nvPicPr>
                    <pic:cNvPr descr="community-analysis-and-feedback_files/figure-docx//1fH9s5OLcRF5meZtFWTJe89RFvJSh125kdjhdqp5smqA_g302b08c5e6e_0_5.png" id="348" name="Picture"/>
                    <pic:cNvPicPr>
                      <a:picLocks noChangeArrowheads="1" noChangeAspect="1"/>
                    </pic:cNvPicPr>
                  </pic:nvPicPr>
                  <pic:blipFill>
                    <a:blip r:embed="rId3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50" name="Picture"/>
            <a:graphic>
              <a:graphicData uri="http://schemas.openxmlformats.org/drawingml/2006/picture">
                <pic:pic>
                  <pic:nvPicPr>
                    <pic:cNvPr descr="community-analysis-and-feedback_files/figure-docx//1fH9s5OLcRF5meZtFWTJe89RFvJSh125kdjhdqp5smqA_g302b08c5e6e_0_22.png" id="351" name="Picture"/>
                    <pic:cNvPicPr>
                      <a:picLocks noChangeArrowheads="1" noChangeAspect="1"/>
                    </pic:cNvPicPr>
                  </pic:nvPicPr>
                  <pic:blipFill>
                    <a:blip r:embed="rId3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53" name="Picture"/>
            <a:graphic>
              <a:graphicData uri="http://schemas.openxmlformats.org/drawingml/2006/picture">
                <pic:pic>
                  <pic:nvPicPr>
                    <pic:cNvPr descr="community-analysis-and-feedback_files/figure-docx//1fH9s5OLcRF5meZtFWTJe89RFvJSh125kdjhdqp5smqA_g302b08c5e6e_0_12.png" id="354" name="Picture"/>
                    <pic:cNvPicPr>
                      <a:picLocks noChangeArrowheads="1" noChangeAspect="1"/>
                    </pic:cNvPicPr>
                  </pic:nvPicPr>
                  <pic:blipFill>
                    <a:blip r:embed="rId352"/>
                    <a:stretch>
                      <a:fillRect/>
                    </a:stretch>
                  </pic:blipFill>
                  <pic:spPr bwMode="auto">
                    <a:xfrm>
                      <a:off x="0" y="0"/>
                      <a:ext cx="5334000" cy="3000375"/>
                    </a:xfrm>
                    <a:prstGeom prst="rect">
                      <a:avLst/>
                    </a:prstGeom>
                    <a:noFill/>
                    <a:ln w="9525">
                      <a:noFill/>
                      <a:headEnd/>
                      <a:tailEnd/>
                    </a:ln>
                  </pic:spPr>
                </pic:pic>
              </a:graphicData>
            </a:graphic>
          </wp:inline>
        </w:drawing>
      </w:r>
    </w:p>
    <w:bookmarkEnd w:id="355"/>
    <w:bookmarkStart w:id="356" w:name="references-1"/>
    <w:p>
      <w:pPr>
        <w:pStyle w:val="Heading1"/>
      </w:pPr>
      <w:r>
        <w:t xml:space="preserve">References</w:t>
      </w:r>
    </w:p>
    <w:bookmarkEnd w:id="3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1"/>
  </w:num>
  <w:num w:numId="110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124" Target="media/rId124.png" /><Relationship Type="http://schemas.openxmlformats.org/officeDocument/2006/relationships/image" Id="rId139" Target="media/rId139.png" /><Relationship Type="http://schemas.openxmlformats.org/officeDocument/2006/relationships/image" Id="rId130" Target="media/rId130.png" /><Relationship Type="http://schemas.openxmlformats.org/officeDocument/2006/relationships/image" Id="rId135" Target="media/rId135.png" /><Relationship Type="http://schemas.openxmlformats.org/officeDocument/2006/relationships/image" Id="rId119" Target="media/rId119.png" /><Relationship Type="http://schemas.openxmlformats.org/officeDocument/2006/relationships/image" Id="rId110" Target="media/rId110.png" /><Relationship Type="http://schemas.openxmlformats.org/officeDocument/2006/relationships/image" Id="rId116" Target="media/rId116.png" /><Relationship Type="http://schemas.openxmlformats.org/officeDocument/2006/relationships/image" Id="rId146" Target="media/rId146.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6" Target="media/rId166.png" /><Relationship Type="http://schemas.openxmlformats.org/officeDocument/2006/relationships/image" Id="rId169" Target="media/rId169.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3" Target="media/rId183.png" /><Relationship Type="http://schemas.openxmlformats.org/officeDocument/2006/relationships/image" Id="rId20" Target="media/rId20.png" /><Relationship Type="http://schemas.openxmlformats.org/officeDocument/2006/relationships/image" Id="rId243" Target="media/rId243.png" /><Relationship Type="http://schemas.openxmlformats.org/officeDocument/2006/relationships/image" Id="rId272" Target="media/rId272.png" /><Relationship Type="http://schemas.openxmlformats.org/officeDocument/2006/relationships/image" Id="rId324" Target="media/rId324.png" /><Relationship Type="http://schemas.openxmlformats.org/officeDocument/2006/relationships/image" Id="rId331" Target="media/rId331.png" /><Relationship Type="http://schemas.openxmlformats.org/officeDocument/2006/relationships/image" Id="rId315" Target="media/rId315.png" /><Relationship Type="http://schemas.openxmlformats.org/officeDocument/2006/relationships/image" Id="rId352" Target="media/rId352.png" /><Relationship Type="http://schemas.openxmlformats.org/officeDocument/2006/relationships/image" Id="rId343" Target="media/rId343.png" /><Relationship Type="http://schemas.openxmlformats.org/officeDocument/2006/relationships/image" Id="rId349" Target="media/rId349.png" /><Relationship Type="http://schemas.openxmlformats.org/officeDocument/2006/relationships/image" Id="rId346" Target="media/rId346.png" /><Relationship Type="http://schemas.openxmlformats.org/officeDocument/2006/relationships/image" Id="rId269" Target="media/rId269.png" /><Relationship Type="http://schemas.openxmlformats.org/officeDocument/2006/relationships/image" Id="rId297" Target="media/rId297.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189" Target="media/rId189.png" /><Relationship Type="http://schemas.openxmlformats.org/officeDocument/2006/relationships/image" Id="rId205" Target="media/rId205.png" /><Relationship Type="http://schemas.openxmlformats.org/officeDocument/2006/relationships/image" Id="rId230" Target="media/rId230.png" /><Relationship Type="http://schemas.openxmlformats.org/officeDocument/2006/relationships/image" Id="rId220" Target="media/rId220.png" /><Relationship Type="http://schemas.openxmlformats.org/officeDocument/2006/relationships/image" Id="rId224" Target="media/rId224.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6" Target="media/rId216.png" /><Relationship Type="http://schemas.openxmlformats.org/officeDocument/2006/relationships/image" Id="rId197" Target="media/rId197.png" /><Relationship Type="http://schemas.openxmlformats.org/officeDocument/2006/relationships/image" Id="rId212" Target="media/rId212.png" /><Relationship Type="http://schemas.openxmlformats.org/officeDocument/2006/relationships/image" Id="rId75" Target="media/rId75.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hyperlink" Id="rId334" Target="biodigs.org" TargetMode="External" /><Relationship Type="http://schemas.openxmlformats.org/officeDocument/2006/relationships/hyperlink" Id="rId300" Target="carnegiescience.edu/news/postdoc-spotlight-karina-gutierrez-garcia" TargetMode="External" /><Relationship Type="http://schemas.openxmlformats.org/officeDocument/2006/relationships/hyperlink" Id="rId227" Target="doi:10.1261/rna.2000810" TargetMode="External" /><Relationship Type="http://schemas.openxmlformats.org/officeDocument/2006/relationships/hyperlink" Id="rId228" Target="doi:10.7554/eLife.00886" TargetMode="External" /><Relationship Type="http://schemas.openxmlformats.org/officeDocument/2006/relationships/hyperlink" Id="rId320" Target="help.c-moor.org" TargetMode="External" /><Relationship Type="http://schemas.openxmlformats.org/officeDocument/2006/relationships/hyperlink" Id="rId67" Target="https://anvil.terra.bio/" TargetMode="External" /><Relationship Type="http://schemas.openxmlformats.org/officeDocument/2006/relationships/hyperlink" Id="rId342" Target="https://biodigs.org/#home" TargetMode="External" /><Relationship Type="http://schemas.openxmlformats.org/officeDocument/2006/relationships/hyperlink" Id="rId289" Target="https://bsky.app/search?q=metagenomics" TargetMode="External" /><Relationship Type="http://schemas.openxmlformats.org/officeDocument/2006/relationships/hyperlink" Id="rId237"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21" Target="https://docs.google.com/forms/d/1GJDpfG28k2utCVVcRXQraE-1coLS_GCX83irUyio9KE/edit" TargetMode="External" /><Relationship Type="http://schemas.openxmlformats.org/officeDocument/2006/relationships/hyperlink" Id="rId318" Target="https://docs.google.com/forms/d/1GJDpfG28k2utCVVcRXQraE-1coLS_GCX83irUyio9KE/viewform?edit_requested=true" TargetMode="External" /><Relationship Type="http://schemas.openxmlformats.org/officeDocument/2006/relationships/hyperlink" Id="rId246" Target="https://docs.google.com/presentation/d/1-orSi8DpN22hMt9-6p_rHZnte1YXXLe-a132HDSyd0U/edit?usp=sharing" TargetMode="External" /><Relationship Type="http://schemas.openxmlformats.org/officeDocument/2006/relationships/hyperlink" Id="rId152" Target="https://docs.google.com/presentation/d/11wb3b7i9SwrDX_WO3mWNAycd2mbY4Moy8SuT0X3XvXo/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75" Target="https://docs.google.com/presentation/d/1PMvZ19kSTK2ghdgLNFRS_t5p8R_GKFNbExPRxMsE1Ns/edit?usp=sharing" TargetMode="External" /><Relationship Type="http://schemas.openxmlformats.org/officeDocument/2006/relationships/hyperlink" Id="rId195"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134" Target="https://docs.google.com/presentation/d/1yyH3DZb8Et19galJhNPiUnCevrFRC1acvMG2PB52FCo/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7" Target="https://drive.google.com/drive/folders/1y_GCJl7VIYTS_5y7057u2s58ZCdm_PxM" TargetMode="External" /><Relationship Type="http://schemas.openxmlformats.org/officeDocument/2006/relationships/hyperlink" Id="rId193" Target="https://drive.google.com/file/d/1kK6FBBLbHiAAsTUgxwzHRlK1qCo__eCy/view?usp=sharing" TargetMode="External" /><Relationship Type="http://schemas.openxmlformats.org/officeDocument/2006/relationships/hyperlink" Id="rId278" Target="https://forms.gle/XkqiMERHc2PETmy4A" TargetMode="External" /><Relationship Type="http://schemas.openxmlformats.org/officeDocument/2006/relationships/hyperlink" Id="rId238"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41" Target="https://help.anvilproject.org" TargetMode="External" /><Relationship Type="http://schemas.openxmlformats.org/officeDocument/2006/relationships/hyperlink" Id="rId338"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8" Target="https://help.c-moor.org/c/jhu-2025-spring/46" TargetMode="External" /><Relationship Type="http://schemas.openxmlformats.org/officeDocument/2006/relationships/hyperlink" Id="rId192"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04" Target="https://help.c-moor.org/t/469" TargetMode="External" /><Relationship Type="http://schemas.openxmlformats.org/officeDocument/2006/relationships/hyperlink" Id="rId309" Target="https://help.c-moor.org/t/498" TargetMode="External" /><Relationship Type="http://schemas.openxmlformats.org/officeDocument/2006/relationships/hyperlink" Id="rId339"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9" Target="https://onlinelibrary.wiley.com/doi/10.1111/j.1475-6773.2006.00588.x" TargetMode="External" /><Relationship Type="http://schemas.openxmlformats.org/officeDocument/2006/relationships/hyperlink" Id="rId337"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40" Target="https://support.bioconductor.org" TargetMode="External" /><Relationship Type="http://schemas.openxmlformats.org/officeDocument/2006/relationships/hyperlink" Id="rId143" Target="https://support.terra.bio/hc/en-us/articles/360042023952-Runaway-costs-How-to-cut-off-GCP-charges" TargetMode="External" /><Relationship Type="http://schemas.openxmlformats.org/officeDocument/2006/relationships/hyperlink" Id="rId127" Target="https://support.terra.bio/hc/en-us/articles/360048632271-Terra-costs-and-billing-GCP-details" TargetMode="External" /><Relationship Type="http://schemas.openxmlformats.org/officeDocument/2006/relationships/hyperlink" Id="rId249" Target="https://ur.umbc.edu/poster-presentation-examples" TargetMode="External" /><Relationship Type="http://schemas.openxmlformats.org/officeDocument/2006/relationships/hyperlink" Id="rId248"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6" Target="https://www.biostars.org" TargetMode="External" /><Relationship Type="http://schemas.openxmlformats.org/officeDocument/2006/relationships/hyperlink" Id="rId31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7" Target="https://www.nsf.gov/funding/initiatives/reu" TargetMode="External" /><Relationship Type="http://schemas.openxmlformats.org/officeDocument/2006/relationships/hyperlink" Id="rId282" Target="https://www.nsf.gov/funding/initiatives/reu/search" TargetMode="External" /><Relationship Type="http://schemas.openxmlformats.org/officeDocument/2006/relationships/hyperlink" Id="rId281" Target="https://www.nsf.gov/funding/initiatives/reu/students" TargetMode="External" /><Relationship Type="http://schemas.openxmlformats.org/officeDocument/2006/relationships/hyperlink" Id="rId250" Target="https://www.pacb.com/wp-content/uploads/PAG-Portik.pdf" TargetMode="External" /><Relationship Type="http://schemas.openxmlformats.org/officeDocument/2006/relationships/hyperlink" Id="rId287"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85" Target="https://www.seqanswers.com" TargetMode="External" /><Relationship Type="http://schemas.openxmlformats.org/officeDocument/2006/relationships/hyperlink" Id="rId288" Target="https://x.com/search?q=%23metagenomics" TargetMode="External" /><Relationship Type="http://schemas.openxmlformats.org/officeDocument/2006/relationships/hyperlink" Id="rId308" Target="pubmed.gov/29104759" TargetMode="External" /><Relationship Type="http://schemas.openxmlformats.org/officeDocument/2006/relationships/hyperlink" Id="rId307" Target="pubmed.gov/35643079" TargetMode="External" /><Relationship Type="http://schemas.openxmlformats.org/officeDocument/2006/relationships/hyperlink" Id="rId303" Target="pubmed.gov/37993724" TargetMode="External" /><Relationship Type="http://schemas.openxmlformats.org/officeDocument/2006/relationships/hyperlink" Id="rId302" Target="pubmed.gov/39636981" TargetMode="External" /><Relationship Type="http://schemas.openxmlformats.org/officeDocument/2006/relationships/hyperlink" Id="rId301" Target="pubmed.gov/39637006" TargetMode="External" /><Relationship Type="http://schemas.openxmlformats.org/officeDocument/2006/relationships/hyperlink" Id="rId306" Target="qb3.berkeley.edu/news/faculty-focus-leah-guthrie" TargetMode="External" /></Relationships>
</file>

<file path=word/_rels/footnotes.xml.rels><?xml version="1.0" encoding="UTF-8"?><Relationships xmlns="http://schemas.openxmlformats.org/package/2006/relationships"><Relationship Type="http://schemas.openxmlformats.org/officeDocument/2006/relationships/hyperlink" Id="rId334" Target="biodigs.org" TargetMode="External" /><Relationship Type="http://schemas.openxmlformats.org/officeDocument/2006/relationships/hyperlink" Id="rId300" Target="carnegiescience.edu/news/postdoc-spotlight-karina-gutierrez-garcia" TargetMode="External" /><Relationship Type="http://schemas.openxmlformats.org/officeDocument/2006/relationships/hyperlink" Id="rId227" Target="doi:10.1261/rna.2000810" TargetMode="External" /><Relationship Type="http://schemas.openxmlformats.org/officeDocument/2006/relationships/hyperlink" Id="rId228" Target="doi:10.7554/eLife.00886" TargetMode="External" /><Relationship Type="http://schemas.openxmlformats.org/officeDocument/2006/relationships/hyperlink" Id="rId320" Target="help.c-moor.org" TargetMode="External" /><Relationship Type="http://schemas.openxmlformats.org/officeDocument/2006/relationships/hyperlink" Id="rId67" Target="https://anvil.terra.bio/" TargetMode="External" /><Relationship Type="http://schemas.openxmlformats.org/officeDocument/2006/relationships/hyperlink" Id="rId342" Target="https://biodigs.org/#home" TargetMode="External" /><Relationship Type="http://schemas.openxmlformats.org/officeDocument/2006/relationships/hyperlink" Id="rId289" Target="https://bsky.app/search?q=metagenomics" TargetMode="External" /><Relationship Type="http://schemas.openxmlformats.org/officeDocument/2006/relationships/hyperlink" Id="rId237" Target="https://docs.google.com/document/d/13eB1fwHEB1I00JHBUQLZIJsi-iQZYaWaXThPqCTU17g/edit?usp=sharing" TargetMode="External" /><Relationship Type="http://schemas.openxmlformats.org/officeDocument/2006/relationships/hyperlink" Id="rId70" Target="https://docs.google.com/document/d/1Aq4wVqO6S-PbKuV-rBiiRySVor_FLaRHp_CPuWBJPm4/edit?usp=sharing" TargetMode="External" /><Relationship Type="http://schemas.openxmlformats.org/officeDocument/2006/relationships/hyperlink" Id="rId69" Target="https://docs.google.com/document/d/1WxlN2XG5_VEDN0u-JpAO7dJQrG8P0YG6Svm-eEvagxY/edit?usp=sharing" TargetMode="External" /><Relationship Type="http://schemas.openxmlformats.org/officeDocument/2006/relationships/hyperlink" Id="rId321" Target="https://docs.google.com/forms/d/1GJDpfG28k2utCVVcRXQraE-1coLS_GCX83irUyio9KE/edit" TargetMode="External" /><Relationship Type="http://schemas.openxmlformats.org/officeDocument/2006/relationships/hyperlink" Id="rId318" Target="https://docs.google.com/forms/d/1GJDpfG28k2utCVVcRXQraE-1coLS_GCX83irUyio9KE/viewform?edit_requested=true" TargetMode="External" /><Relationship Type="http://schemas.openxmlformats.org/officeDocument/2006/relationships/hyperlink" Id="rId246" Target="https://docs.google.com/presentation/d/1-orSi8DpN22hMt9-6p_rHZnte1YXXLe-a132HDSyd0U/edit?usp=sharing" TargetMode="External" /><Relationship Type="http://schemas.openxmlformats.org/officeDocument/2006/relationships/hyperlink" Id="rId152" Target="https://docs.google.com/presentation/d/11wb3b7i9SwrDX_WO3mWNAycd2mbY4Moy8SuT0X3XvXo/edit?usp=sharing" TargetMode="External" /><Relationship Type="http://schemas.openxmlformats.org/officeDocument/2006/relationships/hyperlink" Id="rId94" Target="https://docs.google.com/presentation/d/1Oaq8RzhaDANxkNh-tTKwme7e095pGgoiq5iZHbt7PLg" TargetMode="External" /><Relationship Type="http://schemas.openxmlformats.org/officeDocument/2006/relationships/hyperlink" Id="rId275" Target="https://docs.google.com/presentation/d/1PMvZ19kSTK2ghdgLNFRS_t5p8R_GKFNbExPRxMsE1Ns/edit?usp=sharing" TargetMode="External" /><Relationship Type="http://schemas.openxmlformats.org/officeDocument/2006/relationships/hyperlink" Id="rId195" Target="https://docs.google.com/presentation/d/1chz02nzYklAEjOtHrPsJZccGy1sFUZvqdlfcUyfj3I4/edit?usp=sharing" TargetMode="External" /><Relationship Type="http://schemas.openxmlformats.org/officeDocument/2006/relationships/hyperlink" Id="rId87" Target="https://docs.google.com/presentation/d/1codot9UeUO7l0EDcEre7dJgyXurD_xyxpw6IJL_aEjM" TargetMode="External" /><Relationship Type="http://schemas.openxmlformats.org/officeDocument/2006/relationships/hyperlink" Id="rId68" Target="https://docs.google.com/presentation/d/1ic09dhbt6WLEAgBTOqfT_tveknFF936BPVC2JhjutmY/edit?usp=sharing" TargetMode="External" /><Relationship Type="http://schemas.openxmlformats.org/officeDocument/2006/relationships/hyperlink" Id="rId81" Target="https://docs.google.com/presentation/d/1kxbnBLoRsdPW4ZkjwNsAHS1XFPuJpQZ8I1aVqyZISW0" TargetMode="External" /><Relationship Type="http://schemas.openxmlformats.org/officeDocument/2006/relationships/hyperlink" Id="rId115" Target="https://docs.google.com/presentation/d/1uwlG7uaTOnItdpd4Ll6nNQiBJKBivsvR-erupicAwJM/edit?usp=sharing" TargetMode="External" /><Relationship Type="http://schemas.openxmlformats.org/officeDocument/2006/relationships/hyperlink" Id="rId134" Target="https://docs.google.com/presentation/d/1yyH3DZb8Et19galJhNPiUnCevrFRC1acvMG2PB52FCo/edit?usp=sharing" TargetMode="External" /><Relationship Type="http://schemas.openxmlformats.org/officeDocument/2006/relationships/hyperlink" Id="rId30" Target="https://doi.org/10.1371/journal.pone.0196878" TargetMode="External" /><Relationship Type="http://schemas.openxmlformats.org/officeDocument/2006/relationships/hyperlink" Id="rId257" Target="https://drive.google.com/drive/folders/1y_GCJl7VIYTS_5y7057u2s58ZCdm_PxM" TargetMode="External" /><Relationship Type="http://schemas.openxmlformats.org/officeDocument/2006/relationships/hyperlink" Id="rId193" Target="https://drive.google.com/file/d/1kK6FBBLbHiAAsTUgxwzHRlK1qCo__eCy/view?usp=sharing" TargetMode="External" /><Relationship Type="http://schemas.openxmlformats.org/officeDocument/2006/relationships/hyperlink" Id="rId278" Target="https://forms.gle/XkqiMERHc2PETmy4A" TargetMode="External" /><Relationship Type="http://schemas.openxmlformats.org/officeDocument/2006/relationships/hyperlink" Id="rId238" Target="https://fourwaves.com/blog/abstract-vs-introduction/" TargetMode="External" /><Relationship Type="http://schemas.openxmlformats.org/officeDocument/2006/relationships/hyperlink" Id="rId29" Target="https://genetics-gsa.org/" TargetMode="External" /><Relationship Type="http://schemas.openxmlformats.org/officeDocument/2006/relationships/hyperlink" Id="rId28" Target="https://genetics-gsa.org/education/genetics-learning-framework/" TargetMode="External" /><Relationship Type="http://schemas.openxmlformats.org/officeDocument/2006/relationships/hyperlink" Id="rId33" Target="https://github.com/c-moor" TargetMode="External" /><Relationship Type="http://schemas.openxmlformats.org/officeDocument/2006/relationships/hyperlink" Id="rId42" Target="https://hbr.org/2012/10/data-scientist-the-sexiest-job-of-the-21st-century" TargetMode="External" /><Relationship Type="http://schemas.openxmlformats.org/officeDocument/2006/relationships/hyperlink" Id="rId341" Target="https://help.anvilproject.org" TargetMode="External" /><Relationship Type="http://schemas.openxmlformats.org/officeDocument/2006/relationships/hyperlink" Id="rId338" Target="https://help.c-moor.org" TargetMode="External" /><Relationship Type="http://schemas.openxmlformats.org/officeDocument/2006/relationships/hyperlink" Id="rId64" Target="https://help.c-moor.org/" TargetMode="External" /><Relationship Type="http://schemas.openxmlformats.org/officeDocument/2006/relationships/hyperlink" Id="rId73" Target="https://help.c-moor.org/c/help/" TargetMode="External" /><Relationship Type="http://schemas.openxmlformats.org/officeDocument/2006/relationships/hyperlink" Id="rId258" Target="https://help.c-moor.org/c/jhu-2025-spring/46" TargetMode="External" /><Relationship Type="http://schemas.openxmlformats.org/officeDocument/2006/relationships/hyperlink" Id="rId192" Target="https://help.c-moor.org/c/look-at-this/" TargetMode="External" /><Relationship Type="http://schemas.openxmlformats.org/officeDocument/2006/relationships/hyperlink" Id="rId40" Target="https://help.c-moor.org/c/look-at-this/8" TargetMode="External" /><Relationship Type="http://schemas.openxmlformats.org/officeDocument/2006/relationships/hyperlink" Id="rId304" Target="https://help.c-moor.org/t/469" TargetMode="External" /><Relationship Type="http://schemas.openxmlformats.org/officeDocument/2006/relationships/hyperlink" Id="rId309" Target="https://help.c-moor.org/t/498" TargetMode="External" /><Relationship Type="http://schemas.openxmlformats.org/officeDocument/2006/relationships/hyperlink" Id="rId339" Target="https://help.galaxyproject.org" TargetMode="External" /><Relationship Type="http://schemas.openxmlformats.org/officeDocument/2006/relationships/hyperlink" Id="rId80" Target="https://link.c-moor.org/video-join-sciserver" TargetMode="External" /><Relationship Type="http://schemas.openxmlformats.org/officeDocument/2006/relationships/hyperlink" Id="rId86" Target="https://link.c-moor.org/video-join-sciserver-group" TargetMode="External" /><Relationship Type="http://schemas.openxmlformats.org/officeDocument/2006/relationships/hyperlink" Id="rId93" Target="https://link.c-moor.org/video-sciserver-create-learnr-container" TargetMode="External" /><Relationship Type="http://schemas.openxmlformats.org/officeDocument/2006/relationships/hyperlink" Id="rId239" Target="https://onlinelibrary.wiley.com/doi/10.1111/j.1475-6773.2006.00588.x" TargetMode="External" /><Relationship Type="http://schemas.openxmlformats.org/officeDocument/2006/relationships/hyperlink" Id="rId337" Target="https://pubmed.gov/35858750" TargetMode="External" /><Relationship Type="http://schemas.openxmlformats.org/officeDocument/2006/relationships/hyperlink" Id="rId31" Target="https://qubeshub.org/community/groups/niblse" TargetMode="External" /><Relationship Type="http://schemas.openxmlformats.org/officeDocument/2006/relationships/hyperlink" Id="rId58" Target="https://science.c-moor.org/miniCURE-RNA-seq/differential-gene-expression.html" TargetMode="External" /><Relationship Type="http://schemas.openxmlformats.org/officeDocument/2006/relationships/hyperlink" Id="rId60" Target="https://science.c-moor.org/miniCURE-RNA-seq/lab-activity-differential-gene-expression.html" TargetMode="External" /><Relationship Type="http://schemas.openxmlformats.org/officeDocument/2006/relationships/hyperlink" Id="rId59" Target="https://science.c-moor.org/miniCURE-RNA-seq/lab-slides-differential-gene-expression.html" TargetMode="External" /><Relationship Type="http://schemas.openxmlformats.org/officeDocument/2006/relationships/hyperlink" Id="rId340" Target="https://support.bioconductor.org" TargetMode="External" /><Relationship Type="http://schemas.openxmlformats.org/officeDocument/2006/relationships/hyperlink" Id="rId143" Target="https://support.terra.bio/hc/en-us/articles/360042023952-Runaway-costs-How-to-cut-off-GCP-charges" TargetMode="External" /><Relationship Type="http://schemas.openxmlformats.org/officeDocument/2006/relationships/hyperlink" Id="rId127" Target="https://support.terra.bio/hc/en-us/articles/360048632271-Terra-costs-and-billing-GCP-details" TargetMode="External" /><Relationship Type="http://schemas.openxmlformats.org/officeDocument/2006/relationships/hyperlink" Id="rId249" Target="https://ur.umbc.edu/poster-presentation-examples" TargetMode="External" /><Relationship Type="http://schemas.openxmlformats.org/officeDocument/2006/relationships/hyperlink" Id="rId248" Target="https://ur.umbc.edu/urcad/resources/posters-guidelines" TargetMode="External" /><Relationship Type="http://schemas.openxmlformats.org/officeDocument/2006/relationships/hyperlink" Id="rId27" Target="https://visionandchange.org/" TargetMode="External" /><Relationship Type="http://schemas.openxmlformats.org/officeDocument/2006/relationships/hyperlink" Id="rId286" Target="https://www.biostars.org" TargetMode="External" /><Relationship Type="http://schemas.openxmlformats.org/officeDocument/2006/relationships/hyperlink" Id="rId319"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327" Target="https://www.nsf.gov/funding/initiatives/reu" TargetMode="External" /><Relationship Type="http://schemas.openxmlformats.org/officeDocument/2006/relationships/hyperlink" Id="rId282" Target="https://www.nsf.gov/funding/initiatives/reu/search" TargetMode="External" /><Relationship Type="http://schemas.openxmlformats.org/officeDocument/2006/relationships/hyperlink" Id="rId281" Target="https://www.nsf.gov/funding/initiatives/reu/students" TargetMode="External" /><Relationship Type="http://schemas.openxmlformats.org/officeDocument/2006/relationships/hyperlink" Id="rId250" Target="https://www.pacb.com/wp-content/uploads/PAG-Portik.pdf" TargetMode="External" /><Relationship Type="http://schemas.openxmlformats.org/officeDocument/2006/relationships/hyperlink" Id="rId287" Target="https://www.reddit.com/r/metagenomics" TargetMode="External" /><Relationship Type="http://schemas.openxmlformats.org/officeDocument/2006/relationships/hyperlink" Id="rId66" Target="https://www.sciserver.org/" TargetMode="External" /><Relationship Type="http://schemas.openxmlformats.org/officeDocument/2006/relationships/hyperlink" Id="rId285" Target="https://www.seqanswers.com" TargetMode="External" /><Relationship Type="http://schemas.openxmlformats.org/officeDocument/2006/relationships/hyperlink" Id="rId288" Target="https://x.com/search?q=%23metagenomics" TargetMode="External" /><Relationship Type="http://schemas.openxmlformats.org/officeDocument/2006/relationships/hyperlink" Id="rId308" Target="pubmed.gov/29104759" TargetMode="External" /><Relationship Type="http://schemas.openxmlformats.org/officeDocument/2006/relationships/hyperlink" Id="rId307" Target="pubmed.gov/35643079" TargetMode="External" /><Relationship Type="http://schemas.openxmlformats.org/officeDocument/2006/relationships/hyperlink" Id="rId303" Target="pubmed.gov/37993724" TargetMode="External" /><Relationship Type="http://schemas.openxmlformats.org/officeDocument/2006/relationships/hyperlink" Id="rId302" Target="pubmed.gov/39636981" TargetMode="External" /><Relationship Type="http://schemas.openxmlformats.org/officeDocument/2006/relationships/hyperlink" Id="rId301" Target="pubmed.gov/39637006" TargetMode="External" /><Relationship Type="http://schemas.openxmlformats.org/officeDocument/2006/relationships/hyperlink" Id="rId306" Target="qb3.berkeley.edu/news/faculty-focus-leah-guthri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2025-09-18T20:12:02Z</dcterms:created>
  <dcterms:modified xsi:type="dcterms:W3CDTF">2025-09-18T20:12:02Z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September 18,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