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24.png" ContentType="image/png"/>
  <Override PartName="/word/media/rId139.png" ContentType="image/png"/>
  <Override PartName="/word/media/rId130.png" ContentType="image/png"/>
  <Override PartName="/word/media/rId135.png" ContentType="image/png"/>
  <Override PartName="/word/media/rId119.png" ContentType="image/png"/>
  <Override PartName="/word/media/rId110.png" ContentType="image/png"/>
  <Override PartName="/word/media/rId116.png" ContentType="image/png"/>
  <Override PartName="/word/media/rId146.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3.png" ContentType="image/png"/>
  <Override PartName="/word/media/rId20.png" ContentType="image/png"/>
  <Override PartName="/word/media/rId243.png" ContentType="image/png"/>
  <Override PartName="/word/media/rId272.png" ContentType="image/png"/>
  <Override PartName="/word/media/rId324.png" ContentType="image/png"/>
  <Override PartName="/word/media/rId331.png" ContentType="image/png"/>
  <Override PartName="/word/media/rId315.png" ContentType="image/png"/>
  <Override PartName="/word/media/rId352.png" ContentType="image/png"/>
  <Override PartName="/word/media/rId343.png" ContentType="image/png"/>
  <Override PartName="/word/media/rId349.png" ContentType="image/png"/>
  <Override PartName="/word/media/rId346.png" ContentType="image/png"/>
  <Override PartName="/word/media/rId269.png" ContentType="image/png"/>
  <Override PartName="/word/media/rId297.png" ContentType="image/png"/>
  <Override PartName="/word/media/rId46.png" ContentType="image/png"/>
  <Override PartName="/word/media/rId50.png" ContentType="image/png"/>
  <Override PartName="/word/media/rId54.png" ContentType="image/png"/>
  <Override PartName="/word/media/rId189.png" ContentType="image/png"/>
  <Override PartName="/word/media/rId205.png" ContentType="image/png"/>
  <Override PartName="/word/media/rId230.png" ContentType="image/png"/>
  <Override PartName="/word/media/rId220.png" ContentType="image/png"/>
  <Override PartName="/word/media/rId224.png" ContentType="image/png"/>
  <Override PartName="/word/media/rId201.png" ContentType="image/png"/>
  <Override PartName="/word/media/rId208.png" ContentType="image/png"/>
  <Override PartName="/word/media/rId216.png" ContentType="image/png"/>
  <Override PartName="/word/media/rId197.png" ContentType="image/png"/>
  <Override PartName="/word/media/rId212.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September</w:t>
      </w:r>
      <w:r>
        <w:t xml:space="preserve"> </w:t>
      </w:r>
      <w:r>
        <w:t xml:space="preserve">18,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8"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 If you are an instructor on a C-MOOR billing project, share the email you used to sign up with someone from C-MOOR.</w:t>
      </w:r>
    </w:p>
    <w:p>
      <w:pPr>
        <w:pStyle w:val="FirstParagraph"/>
      </w:pPr>
      <w:r>
        <w:rPr>
          <w:bCs/>
          <w:b/>
        </w:rPr>
        <w:t xml:space="preserve">Until your account is associated with a billing project you will be unable to use computational resources on AnVIL.</w:t>
      </w:r>
    </w:p>
    <w:bookmarkEnd w:id="122"/>
    <w:bookmarkEnd w:id="123"/>
    <w:bookmarkStart w:id="145" w:name="set-up-billing-in-anvil"/>
    <w:p>
      <w:pPr>
        <w:pStyle w:val="Heading2"/>
      </w:pPr>
      <w:r>
        <w:rPr>
          <w:rStyle w:val="SectionNumber"/>
        </w:rPr>
        <w:t xml:space="preserve">6.3</w:t>
      </w:r>
      <w:r>
        <w:tab/>
      </w:r>
      <w:r>
        <w:t xml:space="preserve">Set up billing in AnVIL</w:t>
      </w:r>
    </w:p>
    <w:p>
      <w:pPr>
        <w:pStyle w:val="FirstParagraph"/>
      </w:pPr>
      <w:r>
        <w:rPr>
          <w:bCs/>
          <w:b/>
        </w:rPr>
        <w:t xml:space="preserve">This section is only for instructors. Students do NOT have to set up billing</w:t>
      </w:r>
    </w:p>
    <w:p>
      <w:pPr>
        <w:pStyle w:val="BodyText"/>
      </w:pPr>
      <w:r>
        <w:drawing>
          <wp:inline>
            <wp:extent cx="5334000" cy="3000375"/>
            <wp:effectExtent b="0" l="0" r="0" t="0"/>
            <wp:docPr descr="" title="" id="125" name="Picture"/>
            <a:graphic>
              <a:graphicData uri="http://schemas.openxmlformats.org/drawingml/2006/picture">
                <pic:pic>
                  <pic:nvPicPr>
                    <pic:cNvPr descr="anvil-billing-projects_files/figure-docx//1yyH3DZb8Et19galJhNPiUnCevrFRC1acvMG2PB52FCo_g3709d9ac459_0_25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AnVIL will charge you for computing costs; as of the writing of this guide, the cost for running RStudio with the default settings is $0.06 per hour. RStudio will also cost $0.01 per hour while paused and not in use. Additionally, the persistent storage the environment comes with (50GB) costs $2.00 per month if not deleted.</w:t>
      </w:r>
    </w:p>
    <w:p>
      <w:pPr>
        <w:pStyle w:val="BodyText"/>
      </w:pPr>
      <w:r>
        <w:t xml:space="preserve">To minimize costs, we ask students to delete their RStudio Environment and persistent disk at the end of every session. While you can also reduce the amount of CPUs and memory allotted per session this will also slow down your computation.</w:t>
      </w:r>
    </w:p>
    <w:p>
      <w:pPr>
        <w:pStyle w:val="BodyText"/>
      </w:pPr>
      <w:r>
        <w:t xml:space="preserve">We will not go over setting up a Google billing account which you will need to setting up a billing project on AnVIL. For assistance with setting up your billing account we suggest refering to the Terra (the platform on which AnVIL runs)</w:t>
      </w:r>
      <w:r>
        <w:t xml:space="preserve"> </w:t>
      </w:r>
      <w:hyperlink r:id="rId127">
        <w:r>
          <w:rPr>
            <w:rStyle w:val="Hyperlink"/>
          </w:rPr>
          <w:t xml:space="preserve">guide to billing</w:t>
        </w:r>
      </w:hyperlink>
      <w:r>
        <w:t xml:space="preserve"> </w:t>
      </w:r>
      <w:r>
        <w:t xml:space="preserve">and speaking with your institution’s information technology and finance departments.</w:t>
      </w:r>
    </w:p>
    <w:bookmarkStart w:id="128" w:name="purpose-3"/>
    <w:p>
      <w:pPr>
        <w:pStyle w:val="Heading4"/>
      </w:pPr>
      <w:r>
        <w:rPr>
          <w:rStyle w:val="SectionNumber"/>
        </w:rPr>
        <w:t xml:space="preserve">6.3.0.1</w:t>
      </w:r>
      <w:r>
        <w:tab/>
      </w:r>
      <w:r>
        <w:t xml:space="preserve">Purpose</w:t>
      </w:r>
    </w:p>
    <w:p>
      <w:pPr>
        <w:pStyle w:val="FirstParagraph"/>
      </w:pPr>
      <w:r>
        <w:t xml:space="preserve">We will learn about the billing structure of AnVIL and how to attach users to billing projects. We will then cover how to create groups on AnVIL which you may find helpful in organizing billing.</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Distinguish between a billing account and a billing project</w:t>
      </w:r>
    </w:p>
    <w:p>
      <w:pPr>
        <w:numPr>
          <w:ilvl w:val="0"/>
          <w:numId w:val="1043"/>
        </w:numPr>
        <w:pStyle w:val="Compact"/>
      </w:pPr>
      <w:r>
        <w:t xml:space="preserve">Understand how billing projects are connected to workspaces</w:t>
      </w:r>
    </w:p>
    <w:p>
      <w:pPr>
        <w:numPr>
          <w:ilvl w:val="0"/>
          <w:numId w:val="1043"/>
        </w:numPr>
        <w:pStyle w:val="Compact"/>
      </w:pPr>
      <w:r>
        <w:t xml:space="preserve">Add users to a billing project</w:t>
      </w:r>
    </w:p>
    <w:p>
      <w:pPr>
        <w:numPr>
          <w:ilvl w:val="0"/>
          <w:numId w:val="1043"/>
        </w:numPr>
        <w:pStyle w:val="Compact"/>
      </w:pPr>
      <w:r>
        <w:t xml:space="preserve">Learn how to create groups that can be used to control users’ access</w:t>
      </w:r>
    </w:p>
    <w:bookmarkEnd w:id="129"/>
    <w:bookmarkStart w:id="133" w:name="what-is-a-billing-project"/>
    <w:p>
      <w:pPr>
        <w:pStyle w:val="Heading3"/>
      </w:pPr>
      <w:r>
        <w:rPr>
          <w:rStyle w:val="SectionNumber"/>
        </w:rPr>
        <w:t xml:space="preserve">6.3.1</w:t>
      </w:r>
      <w:r>
        <w:tab/>
      </w:r>
      <w:r>
        <w:t xml:space="preserve">What is a billing project?</w:t>
      </w:r>
    </w:p>
    <w:p>
      <w:pPr>
        <w:pStyle w:val="FirstParagraph"/>
      </w:pPr>
      <w:r>
        <w:drawing>
          <wp:inline>
            <wp:extent cx="5334000" cy="3000375"/>
            <wp:effectExtent b="0" l="0" r="0" t="0"/>
            <wp:docPr descr="" title="" id="131" name="Picture"/>
            <a:graphic>
              <a:graphicData uri="http://schemas.openxmlformats.org/drawingml/2006/picture">
                <pic:pic>
                  <pic:nvPicPr>
                    <pic:cNvPr descr="anvil-billing-projects_files/figure-docx//1yyH3DZb8Et19galJhNPiUnCevrFRC1acvMG2PB52FCo_g37166799c0e_0_6.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billing project is used to connect a workspace - where students will be executing code - to a billing account, which is where your actual payment information is stored. As you can see in the above diagram, a billing account can have multiple billing projects, and each billing project can be used by multiple workspaces.</w:t>
      </w:r>
    </w:p>
    <w:p>
      <w:pPr>
        <w:pStyle w:val="BodyText"/>
      </w:pPr>
      <w:r>
        <w:t xml:space="preserve">We suggest each student uses their own workspace and attaching all those workspaces to a billing project for the class. Currently, AnVIL only allow you to monitor costs from billing projects, not workspaces. But having different billing projects shown above for each class can help you learn how much computational resources reach class is using.</w:t>
      </w:r>
    </w:p>
    <w:bookmarkEnd w:id="133"/>
    <w:bookmarkStart w:id="138" w:name="adding-students-to-a-billing-account"/>
    <w:p>
      <w:pPr>
        <w:pStyle w:val="Heading3"/>
      </w:pPr>
      <w:r>
        <w:rPr>
          <w:rStyle w:val="SectionNumber"/>
        </w:rPr>
        <w:t xml:space="preserve">6.3.2</w:t>
      </w:r>
      <w:r>
        <w:tab/>
      </w:r>
      <w:r>
        <w:t xml:space="preserve">Adding students to a billing account</w:t>
      </w:r>
    </w:p>
    <w:p>
      <w:pPr>
        <w:pStyle w:val="FirstParagraph"/>
      </w:pPr>
      <w:r>
        <w:t xml:space="preserve">Follow the written steps below or refer to the</w:t>
      </w:r>
      <w:r>
        <w:t xml:space="preserve"> </w:t>
      </w:r>
      <w:hyperlink r:id="rId13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36" name="Picture"/>
            <a:graphic>
              <a:graphicData uri="http://schemas.openxmlformats.org/drawingml/2006/picture">
                <pic:pic>
                  <pic:nvPicPr>
                    <pic:cNvPr descr="anvil-billing-projects_files/figure-docx//1yyH3DZb8Et19galJhNPiUnCevrFRC1acvMG2PB52FCo_g37166799c0e_0_90.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Access billing by clicking on the hamburger icon in the top left corner of the window, click on your name, and select billing. That brings you to your billing projects page.</w:t>
      </w:r>
    </w:p>
    <w:p>
      <w:pPr>
        <w:numPr>
          <w:ilvl w:val="0"/>
          <w:numId w:val="1044"/>
        </w:numPr>
        <w:pStyle w:val="Compact"/>
      </w:pPr>
      <w:r>
        <w:t xml:space="preserve">On the billing project you’d like to use, click on the Members tab.</w:t>
      </w:r>
    </w:p>
    <w:p>
      <w:pPr>
        <w:numPr>
          <w:ilvl w:val="0"/>
          <w:numId w:val="1044"/>
        </w:numPr>
        <w:pStyle w:val="Compact"/>
      </w:pPr>
      <w:r>
        <w:t xml:space="preserve">Click Add users. A new window will open. You are then able to add students to the billing project with the same email they used to sign up for their AnVIL account.</w:t>
      </w:r>
    </w:p>
    <w:bookmarkEnd w:id="138"/>
    <w:bookmarkStart w:id="142" w:name="using-groups-to-manage-classes"/>
    <w:p>
      <w:pPr>
        <w:pStyle w:val="Heading3"/>
      </w:pPr>
      <w:r>
        <w:rPr>
          <w:rStyle w:val="SectionNumber"/>
        </w:rPr>
        <w:t xml:space="preserve">6.3.3</w:t>
      </w:r>
      <w:r>
        <w:tab/>
      </w:r>
      <w:r>
        <w:t xml:space="preserve">Using groups to manage classes</w:t>
      </w:r>
    </w:p>
    <w:p>
      <w:pPr>
        <w:pStyle w:val="FirstParagraph"/>
      </w:pPr>
      <w:r>
        <w:drawing>
          <wp:inline>
            <wp:extent cx="5334000" cy="3000375"/>
            <wp:effectExtent b="0" l="0" r="0" t="0"/>
            <wp:docPr descr="" title="" id="140" name="Picture"/>
            <a:graphic>
              <a:graphicData uri="http://schemas.openxmlformats.org/drawingml/2006/picture">
                <pic:pic>
                  <pic:nvPicPr>
                    <pic:cNvPr descr="anvil-billing-projects_files/figure-docx//1yyH3DZb8Et19galJhNPiUnCevrFRC1acvMG2PB52FCo_g37166799c0e_0_17.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have a lot of students and classes, you may find it helpful to organize your students with groups. Everyone in the group is controlled by a single email address.</w:t>
      </w:r>
    </w:p>
    <w:p>
      <w:pPr>
        <w:numPr>
          <w:ilvl w:val="0"/>
          <w:numId w:val="1045"/>
        </w:numPr>
        <w:pStyle w:val="Compact"/>
      </w:pPr>
      <w:r>
        <w:t xml:space="preserve">Access billing by clicking on the hamburger icon in the top left corner of the window, click on your name, and select groups. This will take you to this groups page.</w:t>
      </w:r>
    </w:p>
    <w:p>
      <w:pPr>
        <w:numPr>
          <w:ilvl w:val="0"/>
          <w:numId w:val="1045"/>
        </w:numPr>
        <w:pStyle w:val="Compact"/>
      </w:pPr>
      <w:r>
        <w:t xml:space="preserve">Click Create New group. You will be prompted to give your group a unique name.</w:t>
      </w:r>
    </w:p>
    <w:p>
      <w:pPr>
        <w:numPr>
          <w:ilvl w:val="0"/>
          <w:numId w:val="1045"/>
        </w:numPr>
        <w:pStyle w:val="Compact"/>
      </w:pPr>
      <w:r>
        <w:t xml:space="preserve">Click on the name of the newly created group to enter it.</w:t>
      </w:r>
    </w:p>
    <w:p>
      <w:pPr>
        <w:numPr>
          <w:ilvl w:val="0"/>
          <w:numId w:val="1045"/>
        </w:numPr>
        <w:pStyle w:val="Compact"/>
      </w:pPr>
      <w:r>
        <w:t xml:space="preserve">Click add users. Add users to the group using the same email they used to sign up for AnVIL.</w:t>
      </w:r>
    </w:p>
    <w:p>
      <w:pPr>
        <w:numPr>
          <w:ilvl w:val="0"/>
          <w:numId w:val="1045"/>
        </w:numPr>
        <w:pStyle w:val="Compact"/>
      </w:pPr>
      <w:r>
        <w:t xml:space="preserve">You can use the group email created for the group seen on the group management page to manage everyone in that group. For example, you can add everyone in the group to a billing project by adding this group email to the billing project.</w:t>
      </w:r>
    </w:p>
    <w:bookmarkEnd w:id="142"/>
    <w:bookmarkStart w:id="144" w:name="preventing-runaway-costs"/>
    <w:p>
      <w:pPr>
        <w:pStyle w:val="Heading3"/>
      </w:pPr>
      <w:r>
        <w:rPr>
          <w:rStyle w:val="SectionNumber"/>
        </w:rPr>
        <w:t xml:space="preserve">6.3.4</w:t>
      </w:r>
      <w:r>
        <w:tab/>
      </w:r>
      <w:r>
        <w:t xml:space="preserve">Preventing runaway costs</w:t>
      </w:r>
    </w:p>
    <w:p>
      <w:pPr>
        <w:pStyle w:val="FirstParagraph"/>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43">
        <w:r>
          <w:rPr>
            <w:rStyle w:val="Hyperlink"/>
          </w:rPr>
          <w:t xml:space="preserve">How to cut off GCP charges</w:t>
        </w:r>
      </w:hyperlink>
      <w:r>
        <w:t xml:space="preserve">.</w:t>
      </w:r>
    </w:p>
    <w:bookmarkEnd w:id="144"/>
    <w:bookmarkEnd w:id="145"/>
    <w:bookmarkStart w:id="187"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7" name="Picture"/>
            <a:graphic>
              <a:graphicData uri="http://schemas.openxmlformats.org/drawingml/2006/picture">
                <pic:pic>
                  <pic:nvPicPr>
                    <pic:cNvPr descr="anvil-run-module_files/figure-docx//11wb3b7i9SwrDX_WO3mWNAycd2mbY4Moy8SuT0X3XvXo_g3709d9ac459_0_25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bookmarkStart w:id="149"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First we will need to clone the workspace that correlates to the research project we want to do (RNA-seq or 16S). We will only need to do this step once. Then we will go over how to create an RStudio environment in that workspace to run the module and properly end a session on AnVIL to prevent runaway costs.</w:t>
      </w:r>
    </w:p>
    <w:bookmarkEnd w:id="149"/>
    <w:bookmarkStart w:id="150" w:name="learning-objectives-4"/>
    <w:p>
      <w:pPr>
        <w:pStyle w:val="Heading4"/>
      </w:pPr>
      <w:r>
        <w:rPr>
          <w:rStyle w:val="SectionNumber"/>
        </w:rPr>
        <w:t xml:space="preserve">6.4.0.2</w:t>
      </w:r>
      <w:r>
        <w:tab/>
      </w:r>
      <w:r>
        <w:t xml:space="preserve">Learning Objectives</w:t>
      </w:r>
    </w:p>
    <w:p>
      <w:pPr>
        <w:numPr>
          <w:ilvl w:val="0"/>
          <w:numId w:val="1046"/>
        </w:numPr>
        <w:pStyle w:val="Compact"/>
      </w:pPr>
      <w:r>
        <w:t xml:space="preserve">Clone a public workspace for the research project you want to do (RNA-seq or 16S)</w:t>
      </w:r>
    </w:p>
    <w:p>
      <w:pPr>
        <w:numPr>
          <w:ilvl w:val="0"/>
          <w:numId w:val="1046"/>
        </w:numPr>
        <w:pStyle w:val="Compact"/>
      </w:pPr>
      <w:r>
        <w:t xml:space="preserve">Launch a module through the cloned workspace</w:t>
      </w:r>
    </w:p>
    <w:p>
      <w:pPr>
        <w:numPr>
          <w:ilvl w:val="0"/>
          <w:numId w:val="1046"/>
        </w:numPr>
        <w:pStyle w:val="Compact"/>
      </w:pPr>
      <w:r>
        <w:t xml:space="preserve">Close out a session on AnVIL properly to prevent runaway costs</w:t>
      </w:r>
    </w:p>
    <w:bookmarkEnd w:id="150"/>
    <w:bookmarkStart w:id="151"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7"/>
        </w:numPr>
        <w:pStyle w:val="Compact"/>
      </w:pPr>
      <w:r>
        <w:t xml:space="preserve">Every workspace comes with its own Google Bucket (our cloud storage). Your bucket will be empty.</w:t>
      </w:r>
    </w:p>
    <w:p>
      <w:pPr>
        <w:numPr>
          <w:ilvl w:val="0"/>
          <w:numId w:val="1047"/>
        </w:numPr>
        <w:pStyle w:val="Compact"/>
      </w:pPr>
      <w:r>
        <w:t xml:space="preserve">Every workspace has its own billing project. Students who are not yet associated with a billing project will not be able to compute on their workspace.</w:t>
      </w:r>
    </w:p>
    <w:p>
      <w:pPr>
        <w:numPr>
          <w:ilvl w:val="0"/>
          <w:numId w:val="1047"/>
        </w:numPr>
        <w:pStyle w:val="Compact"/>
      </w:pPr>
      <w:r>
        <w:t xml:space="preserve">We can control access levels of users and set them either as owners, writers, or readers. Students will be writers with compute access.</w:t>
      </w:r>
    </w:p>
    <w:bookmarkEnd w:id="151"/>
    <w:bookmarkStart w:id="159" w:name="clone-a-workspace-on-anvil"/>
    <w:p>
      <w:pPr>
        <w:pStyle w:val="Heading3"/>
      </w:pPr>
      <w:r>
        <w:rPr>
          <w:rStyle w:val="SectionNumber"/>
        </w:rPr>
        <w:t xml:space="preserve">6.4.2</w:t>
      </w:r>
      <w:r>
        <w:tab/>
      </w:r>
      <w:r>
        <w:t xml:space="preserve">Clone a workspace on AnVIL</w:t>
      </w:r>
    </w:p>
    <w:p>
      <w:pPr>
        <w:pStyle w:val="FirstParagraph"/>
      </w:pPr>
      <w:r>
        <w:rPr>
          <w:bCs/>
          <w:b/>
        </w:rPr>
        <w:t xml:space="preserve">We only have to do this once.</w:t>
      </w:r>
    </w:p>
    <w:p>
      <w:pPr>
        <w:pStyle w:val="BodyText"/>
      </w:pPr>
      <w:r>
        <w:t xml:space="preserve">Follow the written steps below or refer to the</w:t>
      </w:r>
      <w:r>
        <w:t xml:space="preserve"> </w:t>
      </w:r>
      <w:hyperlink r:id="rId152">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54" name="Picture"/>
            <a:graphic>
              <a:graphicData uri="http://schemas.openxmlformats.org/drawingml/2006/picture">
                <pic:pic>
                  <pic:nvPicPr>
                    <pic:cNvPr descr="anvil-run-module_files/figure-docx//11wb3b7i9SwrDX_WO3mWNAycd2mbY4Moy8SuT0X3XvXo_g3709d9ac459_0_263.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Style w:val="Compact"/>
      </w:pPr>
      <w:r>
        <w:t xml:space="preserve">While logged into AnVIL, using the hamburger icon in the top left corner of the screen, navigate to the workspaces page</w:t>
      </w:r>
    </w:p>
    <w:p>
      <w:pPr>
        <w:numPr>
          <w:ilvl w:val="0"/>
          <w:numId w:val="1048"/>
        </w:numPr>
        <w:pStyle w:val="Compact"/>
      </w:pPr>
      <w:r>
        <w:t xml:space="preserve">Select the public tab</w:t>
      </w:r>
    </w:p>
    <w:p>
      <w:pPr>
        <w:numPr>
          <w:ilvl w:val="0"/>
          <w:numId w:val="1048"/>
        </w:numPr>
        <w:pStyle w:val="Compact"/>
      </w:pPr>
      <w:r>
        <w:t xml:space="preserve">Search for the desired workspace. Your instructor will tell you which workspace to look for (miniCURE-RNA-seq or miniCURE-16S-microbiome).</w:t>
      </w:r>
    </w:p>
    <w:p>
      <w:pPr>
        <w:numPr>
          <w:ilvl w:val="0"/>
          <w:numId w:val="1048"/>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57" name="Picture"/>
            <a:graphic>
              <a:graphicData uri="http://schemas.openxmlformats.org/drawingml/2006/picture">
                <pic:pic>
                  <pic:nvPicPr>
                    <pic:cNvPr descr="anvil-run-module_files/figure-docx//11wb3b7i9SwrDX_WO3mWNAycd2mbY4Moy8SuT0X3XvXo_g3709d9ac459_0_267.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Style w:val="Compact"/>
      </w:pPr>
      <w:r>
        <w:t xml:space="preserve">Give the cloned workspace a unique name, such as by adding your initials or last name. All workspaces must have unique names; if someone has already taken the workspace name you initially wanted, please try a different name.</w:t>
      </w:r>
    </w:p>
    <w:p>
      <w:pPr>
        <w:numPr>
          <w:ilvl w:val="0"/>
          <w:numId w:val="1049"/>
        </w:numPr>
        <w:pStyle w:val="Compact"/>
      </w:pPr>
      <w:r>
        <w:t xml:space="preserve">Confirm the billing project is the one your instructor has chosen.</w:t>
      </w:r>
    </w:p>
    <w:p>
      <w:pPr>
        <w:numPr>
          <w:ilvl w:val="0"/>
          <w:numId w:val="1049"/>
        </w:numPr>
        <w:pStyle w:val="Compact"/>
      </w:pPr>
      <w:r>
        <w:t xml:space="preserve">The rest of the options should be left as is. Clone the workspace. It may take a few minutes to clone.</w:t>
      </w:r>
    </w:p>
    <w:p>
      <w:pPr>
        <w:pStyle w:val="FirstParagraph"/>
      </w:pPr>
      <w:r>
        <w:rPr>
          <w:bCs/>
          <w:b/>
        </w:rPr>
        <w:t xml:space="preserve">You only have to clone the workspace once. From now on, use your cloned workspace.</w:t>
      </w:r>
      <w:r>
        <w:t xml:space="preserve"> </w:t>
      </w:r>
      <w:r>
        <w:t xml:space="preserve">After you clone the workspace you will automatically be directed to it. For all other times, your workspaces can be found using the hamburger icon in the top left.</w:t>
      </w:r>
    </w:p>
    <w:bookmarkEnd w:id="159"/>
    <w:bookmarkStart w:id="182" w:name="running-modules-on-anvil"/>
    <w:p>
      <w:pPr>
        <w:pStyle w:val="Heading3"/>
      </w:pPr>
      <w:r>
        <w:rPr>
          <w:rStyle w:val="SectionNumber"/>
        </w:rPr>
        <w:t xml:space="preserve">6.4.3</w:t>
      </w:r>
      <w:r>
        <w:tab/>
      </w:r>
      <w:r>
        <w:t xml:space="preserve">Running modules on AnVIL</w:t>
      </w:r>
    </w:p>
    <w:bookmarkStart w:id="181" w:name="starting-a-module-on-anvil"/>
    <w:p>
      <w:pPr>
        <w:pStyle w:val="Heading4"/>
      </w:pPr>
      <w:r>
        <w:rPr>
          <w:rStyle w:val="SectionNumber"/>
        </w:rPr>
        <w:t xml:space="preserve">6.4.3.1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1.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75.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79.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83.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87.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76" name="Picture"/>
            <a:graphic>
              <a:graphicData uri="http://schemas.openxmlformats.org/drawingml/2006/picture">
                <pic:pic>
                  <pic:nvPicPr>
                    <pic:cNvPr descr="anvil-run-module_files/figure-docx//11wb3b7i9SwrDX_WO3mWNAycd2mbY4Moy8SuT0X3XvXo_g3709d9ac459_0_291.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9" name="Picture"/>
            <a:graphic>
              <a:graphicData uri="http://schemas.openxmlformats.org/drawingml/2006/picture">
                <pic:pic>
                  <pic:nvPicPr>
                    <pic:cNvPr descr="anvil-run-module_files/figure-docx//11wb3b7i9SwrDX_WO3mWNAycd2mbY4Moy8SuT0X3XvXo_g3709d9ac459_0_295.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81"/>
    <w:bookmarkEnd w:id="182"/>
    <w:bookmarkStart w:id="186" w:name="closing-out-a-session-on-anvil"/>
    <w:p>
      <w:pPr>
        <w:pStyle w:val="Heading3"/>
      </w:pPr>
      <w:r>
        <w:rPr>
          <w:rStyle w:val="SectionNumber"/>
        </w:rPr>
        <w:t xml:space="preserve">6.4.4</w:t>
      </w:r>
      <w:r>
        <w:tab/>
      </w:r>
      <w:r>
        <w:t xml:space="preserve">Closing out a session on AnVIL</w:t>
      </w:r>
    </w:p>
    <w:p>
      <w:pPr>
        <w:pStyle w:val="FirstParagraph"/>
      </w:pPr>
      <w:r>
        <w:drawing>
          <wp:inline>
            <wp:extent cx="5334000" cy="3000375"/>
            <wp:effectExtent b="0" l="0" r="0" t="0"/>
            <wp:docPr descr="" title="" id="184" name="Picture"/>
            <a:graphic>
              <a:graphicData uri="http://schemas.openxmlformats.org/drawingml/2006/picture">
                <pic:pic>
                  <pic:nvPicPr>
                    <pic:cNvPr descr="anvil-run-module_files/figure-docx//11wb3b7i9SwrDX_WO3mWNAycd2mbY4Moy8SuT0X3XvXo_g3709d9ac459_0_299.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6"/>
    <w:bookmarkEnd w:id="187"/>
    <w:bookmarkEnd w:id="188"/>
    <w:bookmarkStart w:id="268"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90" name="Picture"/>
            <a:graphic>
              <a:graphicData uri="http://schemas.openxmlformats.org/drawingml/2006/picture">
                <pic:pic>
                  <pic:nvPicPr>
                    <pic:cNvPr descr="making-group-poster_files/figure-docx//1dI8-_iVqbkzNMf11M4dK85E8ZW3OyZECs_YwMKw5fhs_g362974128df_0_0.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2">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3">
        <w:r>
          <w:rPr>
            <w:rStyle w:val="Hyperlink"/>
          </w:rPr>
          <w:t xml:space="preserve">poster on posters!</w:t>
        </w:r>
      </w:hyperlink>
    </w:p>
    <w:bookmarkStart w:id="242" w:name="making-group-poster"/>
    <w:p>
      <w:pPr>
        <w:pStyle w:val="Heading2"/>
      </w:pPr>
      <w:r>
        <w:rPr>
          <w:rStyle w:val="SectionNumber"/>
        </w:rPr>
        <w:t xml:space="preserve">7.1</w:t>
      </w:r>
      <w:r>
        <w:tab/>
      </w:r>
      <w:r>
        <w:t xml:space="preserve">Making Group Poster</w:t>
      </w:r>
    </w:p>
    <w:bookmarkStart w:id="194"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4"/>
    <w:bookmarkStart w:id="196"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95">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6"/>
    <w:bookmarkStart w:id="234"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200"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8" name="Picture"/>
            <a:graphic>
              <a:graphicData uri="http://schemas.openxmlformats.org/drawingml/2006/picture">
                <pic:pic>
                  <pic:nvPicPr>
                    <pic:cNvPr descr="making-group-poster_files/figure-docx//1hYKF7Ss3vJ8rrUIH7ByNh1BUlRa2fhsJhq8MXzEowCc_g33d6e3b928f_0_6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200"/>
    <w:bookmarkStart w:id="204"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2" name="Picture"/>
            <a:graphic>
              <a:graphicData uri="http://schemas.openxmlformats.org/drawingml/2006/picture">
                <pic:pic>
                  <pic:nvPicPr>
                    <pic:cNvPr descr="making-group-poster_files/figure-docx//1dI8-_iVqbkzNMf11M4dK85E8ZW3OyZECs_YwMKw5fhs_g36d8202a6d3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4"/>
    <w:bookmarkStart w:id="211"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6" name="Picture"/>
            <a:graphic>
              <a:graphicData uri="http://schemas.openxmlformats.org/drawingml/2006/picture">
                <pic:pic>
                  <pic:nvPicPr>
                    <pic:cNvPr descr="making-group-poster_files/figure-docx//1dI8-_iVqbkzNMf11M4dK85E8ZW3OyZECs_YwMKw5fhs_g362974128df_0_18.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9" name="Picture"/>
            <a:graphic>
              <a:graphicData uri="http://schemas.openxmlformats.org/drawingml/2006/picture">
                <pic:pic>
                  <pic:nvPicPr>
                    <pic:cNvPr descr="making-group-poster_files/figure-docx//1hYKF7Ss3vJ8rrUIH7ByNh1BUlRa2fhsJhq8MXzEowCc_g33d6e3b928f_0_149.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bookmarkEnd w:id="211"/>
    <w:bookmarkStart w:id="215"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13" name="Picture"/>
            <a:graphic>
              <a:graphicData uri="http://schemas.openxmlformats.org/drawingml/2006/picture">
                <pic:pic>
                  <pic:nvPicPr>
                    <pic:cNvPr descr="making-group-poster_files/figure-docx//1hYKF7Ss3vJ8rrUIH7ByNh1BUlRa2fhsJhq8MXzEowCc_g33d6e3b928f_1_1.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5"/>
    <w:bookmarkStart w:id="219"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7" name="Picture"/>
            <a:graphic>
              <a:graphicData uri="http://schemas.openxmlformats.org/drawingml/2006/picture">
                <pic:pic>
                  <pic:nvPicPr>
                    <pic:cNvPr descr="making-group-poster_files/figure-docx//1hYKF7Ss3vJ8rrUIH7ByNh1BUlRa2fhsJhq8MXzEowCc_g33d6e3b928f_0_6.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9"/>
    <w:bookmarkStart w:id="223"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21" name="Picture"/>
            <a:graphic>
              <a:graphicData uri="http://schemas.openxmlformats.org/drawingml/2006/picture">
                <pic:pic>
                  <pic:nvPicPr>
                    <pic:cNvPr descr="making-group-poster_files/figure-docx//1dI8-_iVqbkzNMf11M4dK85E8ZW3OyZECs_YwMKw5fhs_g362974128df_0_52.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23"/>
    <w:bookmarkStart w:id="229"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8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8">
        <w:r>
          <w:rPr>
            <w:rStyle w:val="Hyperlink"/>
          </w:rPr>
          <w:t xml:space="preserve">doi:10.7554/eLife.00886</w:t>
        </w:r>
      </w:hyperlink>
    </w:p>
    <w:bookmarkEnd w:id="229"/>
    <w:bookmarkStart w:id="233"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31" name="Picture"/>
            <a:graphic>
              <a:graphicData uri="http://schemas.openxmlformats.org/drawingml/2006/picture">
                <pic:pic>
                  <pic:nvPicPr>
                    <pic:cNvPr descr="making-group-poster_files/figure-docx//1dI8-_iVqbkzNMf11M4dK85E8ZW3OyZECs_YwMKw5fhs_g362974128df_0_30.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3"/>
    <w:bookmarkEnd w:id="234"/>
    <w:bookmarkStart w:id="235"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35"/>
    <w:bookmarkStart w:id="241"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6"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6"/>
    <w:bookmarkStart w:id="240"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7">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8">
        <w:r>
          <w:rPr>
            <w:rStyle w:val="Hyperlink"/>
          </w:rPr>
          <w:t xml:space="preserve">Abstract vs. Introduction</w:t>
        </w:r>
      </w:hyperlink>
    </w:p>
    <w:p>
      <w:pPr>
        <w:numPr>
          <w:ilvl w:val="0"/>
          <w:numId w:val="1077"/>
        </w:numPr>
        <w:pStyle w:val="Compact"/>
      </w:pPr>
      <w:r>
        <w:t xml:space="preserve">[Preparing and presenting effective research posters] (</w:t>
      </w:r>
      <w:hyperlink r:id="rId239">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40"/>
    <w:bookmarkEnd w:id="241"/>
    <w:bookmarkEnd w:id="242"/>
    <w:bookmarkStart w:id="247"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4" name="Picture"/>
            <a:graphic>
              <a:graphicData uri="http://schemas.openxmlformats.org/drawingml/2006/picture">
                <pic:pic>
                  <pic:nvPicPr>
                    <pic:cNvPr descr="community-analysis-and-feedback_files/figure-docx//1-orSi8DpN22hMt9-6p_rHZnte1YXXLe-a132HDSyd0U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6">
        <w:r>
          <w:rPr>
            <w:rStyle w:val="Hyperlink"/>
          </w:rPr>
          <w:t xml:space="preserve">Scientific Posters</w:t>
        </w:r>
      </w:hyperlink>
    </w:p>
    <w:bookmarkEnd w:id="247"/>
    <w:bookmarkStart w:id="255" w:name="activity---scientific-posters"/>
    <w:p>
      <w:pPr>
        <w:pStyle w:val="Heading2"/>
      </w:pPr>
      <w:r>
        <w:rPr>
          <w:rStyle w:val="SectionNumber"/>
        </w:rPr>
        <w:t xml:space="preserve">7.3</w:t>
      </w:r>
      <w:r>
        <w:tab/>
      </w:r>
      <w:r>
        <w:t xml:space="preserve">Activity - Scientific Posters</w:t>
      </w:r>
    </w:p>
    <w:bookmarkStart w:id="252"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51"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8">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9">
        <w:r>
          <w:rPr>
            <w:rStyle w:val="Hyperlink"/>
            <w:bCs/>
            <w:b/>
          </w:rPr>
          <w:t xml:space="preserve">UMBC Biology Posters</w:t>
        </w:r>
      </w:hyperlink>
    </w:p>
    <w:p>
      <w:pPr>
        <w:numPr>
          <w:ilvl w:val="0"/>
          <w:numId w:val="1080"/>
        </w:numPr>
      </w:pPr>
      <w:hyperlink r:id="rId250">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51"/>
    <w:bookmarkEnd w:id="252"/>
    <w:bookmarkStart w:id="253"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53"/>
    <w:bookmarkStart w:id="254"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54"/>
    <w:bookmarkEnd w:id="255"/>
    <w:bookmarkStart w:id="267" w:name="activity---share-your-poster"/>
    <w:p>
      <w:pPr>
        <w:pStyle w:val="Heading2"/>
      </w:pPr>
      <w:r>
        <w:rPr>
          <w:rStyle w:val="SectionNumber"/>
        </w:rPr>
        <w:t xml:space="preserve">7.4</w:t>
      </w:r>
      <w:r>
        <w:tab/>
      </w:r>
      <w:r>
        <w:t xml:space="preserve">Activity - Share Your Poster</w:t>
      </w:r>
    </w:p>
    <w:bookmarkStart w:id="261"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6"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6"/>
    <w:bookmarkStart w:id="259"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7">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8">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9"/>
    <w:bookmarkStart w:id="260"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60"/>
    <w:bookmarkEnd w:id="261"/>
    <w:bookmarkStart w:id="264"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62"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62"/>
    <w:bookmarkStart w:id="263"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63"/>
    <w:bookmarkEnd w:id="264"/>
    <w:bookmarkStart w:id="265"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65"/>
    <w:bookmarkStart w:id="266"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6"/>
    <w:bookmarkEnd w:id="267"/>
    <w:bookmarkEnd w:id="268"/>
    <w:bookmarkStart w:id="314"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hYKF7Ss3vJ8rrUIH7ByNh1BUlRa2fhsJhq8MXzEowCc_g344ad28629a_0_229.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bookmarkStart w:id="276"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3" name="Picture"/>
            <a:graphic>
              <a:graphicData uri="http://schemas.openxmlformats.org/drawingml/2006/picture">
                <pic:pic>
                  <pic:nvPicPr>
                    <pic:cNvPr descr="community-analysis-and-feedback_files/figure-docx//1PMvZ19kSTK2ghdgLNFRS_t5p8R_GKFNbExPRxMsE1Ns_g35f391192_00.png" id="274" name="Picture"/>
                    <pic:cNvPicPr>
                      <a:picLocks noChangeArrowheads="1" noChangeAspect="1"/>
                    </pic:cNvPicPr>
                  </pic:nvPicPr>
                  <pic:blipFill>
                    <a:blip r:embed="rId2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5">
        <w:r>
          <w:rPr>
            <w:rStyle w:val="Hyperlink"/>
          </w:rPr>
          <w:t xml:space="preserve">Slides: Next Steps</w:t>
        </w:r>
      </w:hyperlink>
    </w:p>
    <w:bookmarkEnd w:id="276"/>
    <w:bookmarkStart w:id="296" w:name="activity---next-steps"/>
    <w:p>
      <w:pPr>
        <w:pStyle w:val="Heading2"/>
      </w:pPr>
      <w:r>
        <w:rPr>
          <w:rStyle w:val="SectionNumber"/>
        </w:rPr>
        <w:t xml:space="preserve">8.2</w:t>
      </w:r>
      <w:r>
        <w:tab/>
      </w:r>
      <w:r>
        <w:t xml:space="preserve">Activity - Next Steps</w:t>
      </w:r>
    </w:p>
    <w:bookmarkStart w:id="277"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7"/>
    <w:bookmarkStart w:id="280"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9"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8">
        <w:r>
          <w:rPr>
            <w:rStyle w:val="Hyperlink"/>
          </w:rPr>
          <w:t xml:space="preserve">https://forms.gle/XkqiMERHc2PETmy4A</w:t>
        </w:r>
      </w:hyperlink>
    </w:p>
    <w:bookmarkEnd w:id="279"/>
    <w:bookmarkEnd w:id="280"/>
    <w:bookmarkStart w:id="283"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81">
              <w:r>
                <w:rPr>
                  <w:rStyle w:val="Hyperlink"/>
                </w:rPr>
                <w:t xml:space="preserve">https://www.nsf.gov/funding/initiatives/reu/students</w:t>
              </w:r>
            </w:hyperlink>
          </w:p>
        </w:tc>
      </w:tr>
      <w:tr>
        <w:tc>
          <w:tcPr/>
          <w:p>
            <w:pPr>
              <w:pStyle w:val="Compact"/>
              <w:jc w:val="left"/>
            </w:pPr>
            <w:r>
              <w:t xml:space="preserve">b. Search –</w:t>
            </w:r>
            <w:r>
              <w:t xml:space="preserve"> </w:t>
            </w:r>
            <w:hyperlink r:id="rId28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83"/>
    <w:bookmarkStart w:id="291"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84"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4"/>
    <w:bookmarkStart w:id="290"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85">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7">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8">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90"/>
    <w:bookmarkEnd w:id="291"/>
    <w:bookmarkStart w:id="293"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92"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7">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92"/>
    <w:bookmarkEnd w:id="293"/>
    <w:bookmarkStart w:id="294"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94"/>
    <w:bookmarkStart w:id="295"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95"/>
    <w:bookmarkEnd w:id="296"/>
    <w:bookmarkStart w:id="311"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8" name="Picture"/>
            <a:graphic>
              <a:graphicData uri="http://schemas.openxmlformats.org/drawingml/2006/picture">
                <pic:pic>
                  <pic:nvPicPr>
                    <pic:cNvPr descr="community-analysis-and-feedback_files/figure-docx//1hYKF7Ss3vJ8rrUIH7ByNh1BUlRa2fhsJhq8MXzEowCc_g344ad28629a_0_263.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305"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300">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301">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302">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303">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304">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305"/>
    <w:bookmarkStart w:id="310"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6">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7">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8">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9">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10"/>
    <w:bookmarkEnd w:id="311"/>
    <w:bookmarkStart w:id="313"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12"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12"/>
    <w:bookmarkEnd w:id="313"/>
    <w:bookmarkEnd w:id="314"/>
    <w:bookmarkStart w:id="336" w:name="c-moor-scholars"/>
    <w:p>
      <w:pPr>
        <w:pStyle w:val="Heading1"/>
      </w:pPr>
      <w:r>
        <w:rPr>
          <w:rStyle w:val="SectionNumber"/>
        </w:rPr>
        <w:t xml:space="preserve">9</w:t>
      </w:r>
      <w:r>
        <w:tab/>
      </w:r>
      <w:r>
        <w:t xml:space="preserve">C-MOOR Scholars</w:t>
      </w:r>
    </w:p>
    <w:bookmarkStart w:id="323"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6" name="Picture"/>
            <a:graphic>
              <a:graphicData uri="http://schemas.openxmlformats.org/drawingml/2006/picture">
                <pic:pic>
                  <pic:nvPicPr>
                    <pic:cNvPr descr="community-analysis-and-feedback_files/figure-docx//1dI8-_iVqbkzNMf11M4dK85E8ZW3OyZECs_YwMKw5fhs_g362a06a915d_2_4.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8">
        <w:r>
          <w:rPr>
            <w:rStyle w:val="Hyperlink"/>
          </w:rPr>
          <w:t xml:space="preserve">C-MOOR Scholars Interest Form</w:t>
        </w:r>
      </w:hyperlink>
      <w:r>
        <w:t xml:space="preserve"> </w:t>
      </w:r>
      <w:r>
        <w:t xml:space="preserve">if interested, and meet some</w:t>
      </w:r>
      <w:r>
        <w:t xml:space="preserve"> </w:t>
      </w:r>
      <w:hyperlink r:id="rId31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20">
        <w:r>
          <w:rPr>
            <w:rStyle w:val="Hyperlink"/>
          </w:rPr>
          <w:t xml:space="preserve">C-MOOR Academy Discussion Forum</w:t>
        </w:r>
      </w:hyperlink>
      <w:r>
        <w:t xml:space="preserve"> </w:t>
      </w:r>
      <w:r>
        <w:t xml:space="preserve">to hear about any remote opportunities we have.</w:t>
      </w:r>
    </w:p>
    <w:bookmarkStart w:id="322"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2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9">
        <w:r>
          <w:rPr>
            <w:rStyle w:val="Hyperlink"/>
          </w:rPr>
          <w:t xml:space="preserve">https://www.cloviscollege.edu/alumni-and-community/c-moor/c-moor-scholars.html</w:t>
        </w:r>
      </w:hyperlink>
    </w:p>
    <w:bookmarkEnd w:id="322"/>
    <w:bookmarkEnd w:id="323"/>
    <w:bookmarkStart w:id="330"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25" name="Picture"/>
            <a:graphic>
              <a:graphicData uri="http://schemas.openxmlformats.org/drawingml/2006/picture">
                <pic:pic>
                  <pic:nvPicPr>
                    <pic:cNvPr descr="community-analysis-and-feedback_files/figure-docx//1dI8-_iVqbkzNMf11M4dK85E8ZW3OyZECs_YwMKw5fhs_g362974128df_0_98.png" id="326" name="Picture"/>
                    <pic:cNvPicPr>
                      <a:picLocks noChangeArrowheads="1" noChangeAspect="1"/>
                    </pic:cNvPicPr>
                  </pic:nvPicPr>
                  <pic:blipFill>
                    <a:blip r:embed="rId324"/>
                    <a:stretch>
                      <a:fillRect/>
                    </a:stretch>
                  </pic:blipFill>
                  <pic:spPr bwMode="auto">
                    <a:xfrm>
                      <a:off x="0" y="0"/>
                      <a:ext cx="5334000" cy="3000375"/>
                    </a:xfrm>
                    <a:prstGeom prst="rect">
                      <a:avLst/>
                    </a:prstGeom>
                    <a:noFill/>
                    <a:ln w="9525">
                      <a:noFill/>
                      <a:headEnd/>
                      <a:tailEnd/>
                    </a:ln>
                  </pic:spPr>
                </pic:pic>
              </a:graphicData>
            </a:graphic>
          </wp:inline>
        </w:drawing>
      </w:r>
    </w:p>
    <w:bookmarkStart w:id="328"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8"/>
    <w:bookmarkStart w:id="329"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9"/>
    <w:bookmarkEnd w:id="330"/>
    <w:bookmarkStart w:id="335"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32" name="Picture"/>
            <a:graphic>
              <a:graphicData uri="http://schemas.openxmlformats.org/drawingml/2006/picture">
                <pic:pic>
                  <pic:nvPicPr>
                    <pic:cNvPr descr="community-analysis-and-feedback_files/figure-docx//1dI8-_iVqbkzNMf11M4dK85E8ZW3OyZECs_YwMKw5fhs_g362a06a915d_2_10.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3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35"/>
    <w:bookmarkEnd w:id="336"/>
    <w:bookmarkStart w:id="355"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8">
        <w:r>
          <w:rPr>
            <w:rStyle w:val="Hyperlink"/>
          </w:rPr>
          <w:t xml:space="preserve">help.c-moor.org</w:t>
        </w:r>
      </w:hyperlink>
      <w:r>
        <w:t xml:space="preserve"> </w:t>
      </w:r>
      <w:r>
        <w:t xml:space="preserve">for help with and example miniCUREs</w:t>
      </w:r>
    </w:p>
    <w:p>
      <w:pPr>
        <w:numPr>
          <w:ilvl w:val="0"/>
          <w:numId w:val="1132"/>
        </w:numPr>
        <w:pStyle w:val="Compact"/>
      </w:pPr>
      <w:hyperlink r:id="rId339">
        <w:r>
          <w:rPr>
            <w:rStyle w:val="Hyperlink"/>
          </w:rPr>
          <w:t xml:space="preserve">help.galaxyproject.org</w:t>
        </w:r>
      </w:hyperlink>
      <w:r>
        <w:t xml:space="preserve"> </w:t>
      </w:r>
      <w:r>
        <w:t xml:space="preserve">for all things Galaxy</w:t>
      </w:r>
    </w:p>
    <w:p>
      <w:pPr>
        <w:numPr>
          <w:ilvl w:val="0"/>
          <w:numId w:val="1132"/>
        </w:numPr>
        <w:pStyle w:val="Compact"/>
      </w:pPr>
      <w:hyperlink r:id="rId340">
        <w:r>
          <w:rPr>
            <w:rStyle w:val="Hyperlink"/>
          </w:rPr>
          <w:t xml:space="preserve">support.bioconductor.org</w:t>
        </w:r>
      </w:hyperlink>
      <w:r>
        <w:t xml:space="preserve"> </w:t>
      </w:r>
      <w:r>
        <w:t xml:space="preserve">for all things R/Bioconductor</w:t>
      </w:r>
    </w:p>
    <w:p>
      <w:pPr>
        <w:numPr>
          <w:ilvl w:val="0"/>
          <w:numId w:val="1132"/>
        </w:numPr>
        <w:pStyle w:val="Compact"/>
      </w:pPr>
      <w:hyperlink r:id="rId341">
        <w:r>
          <w:rPr>
            <w:rStyle w:val="Hyperlink"/>
          </w:rPr>
          <w:t xml:space="preserve">help.anvilproject.org</w:t>
        </w:r>
      </w:hyperlink>
      <w:r>
        <w:t xml:space="preserve"> </w:t>
      </w:r>
      <w:r>
        <w:t xml:space="preserve">for interactions with the GDSCN BioDIGS consortium</w:t>
      </w:r>
      <w:r>
        <w:t xml:space="preserve"> </w:t>
      </w:r>
      <w:hyperlink r:id="rId342">
        <w:r>
          <w:rPr>
            <w:rStyle w:val="Hyperlink"/>
          </w:rPr>
          <w:t xml:space="preserve">https://biodigs.org/#home</w:t>
        </w:r>
      </w:hyperlink>
    </w:p>
    <w:p>
      <w:pPr>
        <w:pStyle w:val="FirstParagraph"/>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16.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5.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0" name="Picture"/>
            <a:graphic>
              <a:graphicData uri="http://schemas.openxmlformats.org/drawingml/2006/picture">
                <pic:pic>
                  <pic:nvPicPr>
                    <pic:cNvPr descr="community-analysis-and-feedback_files/figure-docx//1fH9s5OLcRF5meZtFWTJe89RFvJSh125kdjhdqp5smqA_g302b08c5e6e_0_22.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3" name="Picture"/>
            <a:graphic>
              <a:graphicData uri="http://schemas.openxmlformats.org/drawingml/2006/picture">
                <pic:pic>
                  <pic:nvPicPr>
                    <pic:cNvPr descr="community-analysis-and-feedback_files/figure-docx//1fH9s5OLcRF5meZtFWTJe89RFvJSh125kdjhdqp5smqA_g302b08c5e6e_0_1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End w:id="355"/>
    <w:bookmarkStart w:id="356" w:name="references-1"/>
    <w:p>
      <w:pPr>
        <w:pStyle w:val="Heading1"/>
      </w:pPr>
      <w:r>
        <w:t xml:space="preserve">References</w:t>
      </w:r>
    </w:p>
    <w:bookmarkEnd w:id="3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39" Target="media/rId139.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20" Target="media/rId20.png" /><Relationship Type="http://schemas.openxmlformats.org/officeDocument/2006/relationships/image" Id="rId243" Target="media/rId243.png" /><Relationship Type="http://schemas.openxmlformats.org/officeDocument/2006/relationships/image" Id="rId272" Target="media/rId272.png" /><Relationship Type="http://schemas.openxmlformats.org/officeDocument/2006/relationships/image" Id="rId324" Target="media/rId324.png" /><Relationship Type="http://schemas.openxmlformats.org/officeDocument/2006/relationships/image" Id="rId331" Target="media/rId331.png" /><Relationship Type="http://schemas.openxmlformats.org/officeDocument/2006/relationships/image" Id="rId315" Target="media/rId315.png" /><Relationship Type="http://schemas.openxmlformats.org/officeDocument/2006/relationships/image" Id="rId352" Target="media/rId352.png" /><Relationship Type="http://schemas.openxmlformats.org/officeDocument/2006/relationships/image" Id="rId343" Target="media/rId343.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9" Target="media/rId189.png" /><Relationship Type="http://schemas.openxmlformats.org/officeDocument/2006/relationships/image" Id="rId205" Target="media/rId205.png" /><Relationship Type="http://schemas.openxmlformats.org/officeDocument/2006/relationships/image" Id="rId230" Target="media/rId230.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6" Target="media/rId216.png" /><Relationship Type="http://schemas.openxmlformats.org/officeDocument/2006/relationships/image" Id="rId197" Target="media/rId197.png" /><Relationship Type="http://schemas.openxmlformats.org/officeDocument/2006/relationships/image" Id="rId212" Target="media/rId212.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2025-09-18T18:01:20Z</dcterms:created>
  <dcterms:modified xsi:type="dcterms:W3CDTF">2025-09-18T18:01:20Z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