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0.png" ContentType="image/png"/>
  <Override PartName="/word/media/rId170.png" ContentType="image/png"/>
  <Override PartName="/word/media/rId139.png" ContentType="image/png"/>
  <Override PartName="/word/media/rId130.png" ContentType="image/png"/>
  <Override PartName="/word/media/rId127.png" ContentType="image/png"/>
  <Override PartName="/word/media/rId116.png" ContentType="image/png"/>
  <Override PartName="/word/media/rId120.png" ContentType="image/png"/>
  <Override PartName="/word/media/rId8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July</w:t>
      </w:r>
      <w:r>
        <w:t xml:space="preserve"> </w:t>
      </w:r>
      <w:r>
        <w:t xml:space="preserve">17,</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53" w:name="join-anvil"/>
    <w:p>
      <w:pPr>
        <w:pStyle w:val="Heading1"/>
      </w:pPr>
      <w:r>
        <w:rPr>
          <w:rStyle w:val="SectionNumber"/>
        </w:rPr>
        <w:t xml:space="preserve">1</w:t>
      </w:r>
      <w:r>
        <w:tab/>
      </w:r>
      <w:r>
        <w:t xml:space="preserve">Join AnVIL</w:t>
      </w:r>
    </w:p>
    <w:bookmarkStart w:id="39" w:name="introduction"/>
    <w:p>
      <w:pPr>
        <w:pStyle w:val="Heading4"/>
      </w:pPr>
      <w:r>
        <w:rPr>
          <w:rStyle w:val="SectionNumber"/>
        </w:rPr>
        <w:t xml:space="preserve">1.0.0.1</w:t>
      </w:r>
      <w:r>
        <w:tab/>
      </w:r>
      <w:r>
        <w:t xml:space="preserve">Introduction</w:t>
      </w:r>
    </w:p>
    <w:p>
      <w:pPr>
        <w:pStyle w:val="FirstParagraph"/>
      </w:pPr>
      <w:r>
        <w:t xml:space="preserve">AnVIL (The Genomic Data Science</w:t>
      </w:r>
      <w:r>
        <w:t xml:space="preserve"> </w:t>
      </w:r>
      <w:r>
        <w:rPr>
          <w:bCs/>
          <w:b/>
        </w:rPr>
        <w:t xml:space="preserve">An</w:t>
      </w:r>
      <w:r>
        <w:t xml:space="preserve">alysis,</w:t>
      </w:r>
      <w:r>
        <w:t xml:space="preserve"> </w:t>
      </w:r>
      <w:r>
        <w:rPr>
          <w:bCs/>
          <w:b/>
        </w:rPr>
        <w:t xml:space="preserve">V</w:t>
      </w:r>
      <w:r>
        <w:t xml:space="preserve">isualization, and</w:t>
      </w:r>
      <w:r>
        <w:t xml:space="preserve"> </w:t>
      </w:r>
      <w:r>
        <w:rPr>
          <w:bCs/>
          <w:b/>
        </w:rPr>
        <w:t xml:space="preserve">I</w:t>
      </w:r>
      <w:r>
        <w:t xml:space="preserve">nformatics</w:t>
      </w:r>
      <w:r>
        <w:t xml:space="preserve"> </w:t>
      </w:r>
      <w:r>
        <w:rPr>
          <w:bCs/>
          <w:b/>
        </w:rPr>
        <w:t xml:space="preserve">L</w:t>
      </w:r>
      <w:r>
        <w:t xml:space="preserve">ab-space) is a platform created by the National Human Genome Research Institute (NHGRI) in collaboration with cloud computing platform providers like Google and Microsoft. Using AnVIL we you can access computing resources on the cloud through your browser without need for any fancy physical equipment. Through AnVIL you will also have access to all the software and data necessary to complete your research project.</w:t>
      </w:r>
    </w:p>
    <w:p>
      <w:pPr>
        <w:pStyle w:val="BodyText"/>
      </w:pPr>
      <w:r>
        <w:t xml:space="preserve">In this section, we will set up our accounts on AnVIL and go through the entire lifecycle of an RStudio environment from creation to deletion. You will repeat this process throughout the semester; feel free to refer back to this section if you need a refresher on how to use AnVIL.</w:t>
      </w:r>
    </w:p>
    <w:p>
      <w:pPr>
        <w:pStyle w:val="BodyText"/>
      </w:pPr>
    </w:p>
    <w:p>
      <w:pPr>
        <w:pStyle w:val="BodyText"/>
      </w:pPr>
      <w:r>
        <w:t xml:space="preserve">This video (</w:t>
      </w:r>
      <w:hyperlink r:id="rId37">
        <w:r>
          <w:rPr>
            <w:rStyle w:val="Hyperlink"/>
          </w:rPr>
          <w:t xml:space="preserve">video</w:t>
        </w:r>
      </w:hyperlink>
      <w:r>
        <w:t xml:space="preserve">)(</w:t>
      </w:r>
      <w:hyperlink r:id="rId38">
        <w:r>
          <w:rPr>
            <w:rStyle w:val="Hyperlink"/>
          </w:rPr>
          <w:t xml:space="preserve">slides</w:t>
        </w:r>
      </w:hyperlink>
      <w:r>
        <w:t xml:space="preserve">) shows the entire process outlined in the following sections: how to create an AnVIL account, clone a workspace, run a module, and then close down your environment.</w:t>
      </w:r>
    </w:p>
    <w:bookmarkEnd w:id="39"/>
    <w:bookmarkStart w:id="45" w:name="setup-your-anvil-account"/>
    <w:p>
      <w:pPr>
        <w:pStyle w:val="Heading2"/>
      </w:pPr>
      <w:r>
        <w:rPr>
          <w:rStyle w:val="SectionNumber"/>
        </w:rPr>
        <w:t xml:space="preserve">1.1</w:t>
      </w:r>
      <w:r>
        <w:tab/>
      </w:r>
      <w:r>
        <w:t xml:space="preserve">Setup your AnVIL account</w:t>
      </w:r>
    </w:p>
    <w:bookmarkStart w:id="40" w:name="purpose"/>
    <w:p>
      <w:pPr>
        <w:pStyle w:val="Heading4"/>
      </w:pPr>
      <w:r>
        <w:rPr>
          <w:rStyle w:val="SectionNumber"/>
        </w:rPr>
        <w:t xml:space="preserve">1.1.0.1</w:t>
      </w:r>
      <w:r>
        <w:tab/>
      </w:r>
      <w:r>
        <w:t xml:space="preserve">Purpose</w:t>
      </w:r>
    </w:p>
    <w:p>
      <w:pPr>
        <w:pStyle w:val="FirstParagraph"/>
      </w:pPr>
      <w:r>
        <w:t xml:space="preserve">Students will create an AnVIL account and be added to a billing project by their instructor, which allows them to compute (run code) on AnVIL. They will then clone a workspace specific to their research project;</w:t>
      </w:r>
      <w:r>
        <w:t xml:space="preserve"> </w:t>
      </w:r>
      <w:r>
        <w:rPr>
          <w:bCs/>
          <w:b/>
        </w:rPr>
        <w:t xml:space="preserve">the steps in this section only need to be completed once.</w:t>
      </w:r>
    </w:p>
    <w:bookmarkEnd w:id="40"/>
    <w:bookmarkStart w:id="41" w:name="learning-objectives"/>
    <w:p>
      <w:pPr>
        <w:pStyle w:val="Heading4"/>
      </w:pPr>
      <w:r>
        <w:rPr>
          <w:rStyle w:val="SectionNumber"/>
        </w:rPr>
        <w:t xml:space="preserve">1.1.0.2</w:t>
      </w:r>
      <w:r>
        <w:tab/>
      </w:r>
      <w:r>
        <w:t xml:space="preserve">Learning Objectives</w:t>
      </w:r>
    </w:p>
    <w:p>
      <w:pPr>
        <w:numPr>
          <w:ilvl w:val="0"/>
          <w:numId w:val="1005"/>
        </w:numPr>
        <w:pStyle w:val="Compact"/>
      </w:pPr>
      <w:r>
        <w:t xml:space="preserve">Create an account on AnVIL</w:t>
      </w:r>
    </w:p>
    <w:p>
      <w:pPr>
        <w:numPr>
          <w:ilvl w:val="0"/>
          <w:numId w:val="1005"/>
        </w:numPr>
        <w:pStyle w:val="Compact"/>
      </w:pPr>
      <w:r>
        <w:t xml:space="preserve">Share your email address with your instructor</w:t>
      </w:r>
    </w:p>
    <w:p>
      <w:pPr>
        <w:numPr>
          <w:ilvl w:val="0"/>
          <w:numId w:val="1005"/>
        </w:numPr>
        <w:pStyle w:val="Compact"/>
      </w:pPr>
      <w:r>
        <w:t xml:space="preserve">Clone the workspace for your specific research project</w:t>
      </w:r>
    </w:p>
    <w:bookmarkEnd w:id="41"/>
    <w:bookmarkStart w:id="43" w:name="create-an-anvil-account"/>
    <w:p>
      <w:pPr>
        <w:pStyle w:val="Heading3"/>
      </w:pPr>
      <w:r>
        <w:rPr>
          <w:rStyle w:val="SectionNumber"/>
        </w:rPr>
        <w:t xml:space="preserve">1.1.1</w:t>
      </w:r>
      <w:r>
        <w:tab/>
      </w:r>
      <w:r>
        <w:t xml:space="preserve">Create an AnVIL account</w:t>
      </w:r>
    </w:p>
    <w:p>
      <w:pPr>
        <w:numPr>
          <w:ilvl w:val="0"/>
          <w:numId w:val="1006"/>
        </w:numPr>
        <w:pStyle w:val="Compact"/>
      </w:pPr>
      <w:r>
        <w:t xml:space="preserve">Open</w:t>
      </w:r>
      <w:r>
        <w:t xml:space="preserve"> </w:t>
      </w:r>
      <w:hyperlink r:id="rId42">
        <w:r>
          <w:rPr>
            <w:rStyle w:val="Hyperlink"/>
          </w:rPr>
          <w:t xml:space="preserve">anvil.terra.bio</w:t>
        </w:r>
      </w:hyperlink>
      <w:r>
        <w:t xml:space="preserve"> </w:t>
      </w:r>
      <w:r>
        <w:t xml:space="preserve">in</w:t>
      </w:r>
      <w:r>
        <w:t xml:space="preserve"> </w:t>
      </w:r>
      <w:r>
        <w:t xml:space="preserve"> </w:t>
      </w:r>
      <w:r>
        <w:rPr>
          <w:bCs/>
          <w:b/>
        </w:rPr>
        <w:t xml:space="preserve">Google Chrome</w:t>
      </w:r>
      <w:r>
        <w:t xml:space="preserve"> </w:t>
      </w:r>
      <w:r>
        <w:t xml:space="preserve">. Google Chrome is the only officially supported web browser for AnIVL.</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 the hamburger icon (3 horizontal lines) in the top left corner of the screen</w:t>
      </w:r>
    </w:p>
    <w:p>
      <w:pPr>
        <w:numPr>
          <w:ilvl w:val="0"/>
          <w:numId w:val="1006"/>
        </w:numPr>
        <w:pStyle w:val="Compact"/>
      </w:pPr>
      <w:r>
        <w:t xml:space="preserve">Click</w:t>
      </w:r>
      <w:r>
        <w:t xml:space="preserve"> </w:t>
      </w:r>
      <w:r>
        <w:t xml:space="preserve">“</w:t>
      </w:r>
      <w:r>
        <w:t xml:space="preserve">Sign in</w:t>
      </w:r>
      <w:r>
        <w:t xml:space="preserve">”</w:t>
      </w:r>
    </w:p>
    <w:p>
      <w:pPr>
        <w:numPr>
          <w:ilvl w:val="0"/>
          <w:numId w:val="1006"/>
        </w:numPr>
        <w:pStyle w:val="Compact"/>
      </w:pPr>
      <w:r>
        <w:t xml:space="preserve">Click</w:t>
      </w:r>
      <w:r>
        <w:t xml:space="preserve"> </w:t>
      </w:r>
      <w:r>
        <w:t xml:space="preserve">“</w:t>
      </w:r>
      <w:r>
        <w:t xml:space="preserve">Sign in with Google</w:t>
      </w:r>
      <w:r>
        <w:t xml:space="preserve">”</w:t>
      </w:r>
      <w:r>
        <w:t xml:space="preserve">.</w:t>
      </w:r>
    </w:p>
    <w:p>
      <w:pPr>
        <w:numPr>
          <w:ilvl w:val="0"/>
          <w:numId w:val="1006"/>
        </w:numPr>
        <w:pStyle w:val="Compact"/>
      </w:pPr>
      <w:r>
        <w:t xml:space="preserve">Sign in with a</w:t>
      </w:r>
      <w:r>
        <w:t xml:space="preserve"> </w:t>
      </w:r>
      <w:r>
        <w:rPr>
          <w:bCs/>
          <w:b/>
        </w:rPr>
        <w:t xml:space="preserve">Google associated email address</w:t>
      </w:r>
      <w:r>
        <w:t xml:space="preserve"> </w:t>
      </w:r>
      <w:r>
        <w:t xml:space="preserve">such as an institutional email that uses Gmail or a personal Gmail account. You must use a Google associated email address to gain access to Google Cloud computing resources.</w:t>
      </w:r>
    </w:p>
    <w:p>
      <w:pPr>
        <w:numPr>
          <w:ilvl w:val="0"/>
          <w:numId w:val="1006"/>
        </w:numPr>
        <w:pStyle w:val="Compact"/>
      </w:pPr>
      <w:r>
        <w:t xml:space="preserve">Follow all steps required to complete creating an account (ex. email verification of account)</w:t>
      </w:r>
    </w:p>
    <w:p>
      <w:pPr>
        <w:numPr>
          <w:ilvl w:val="0"/>
          <w:numId w:val="1006"/>
        </w:numPr>
        <w:pStyle w:val="Compact"/>
      </w:pPr>
      <w:r>
        <w:t xml:space="preserve">Share the email you used to sign up for AnVIL with your instructor.</w:t>
      </w:r>
    </w:p>
    <w:p>
      <w:pPr>
        <w:pStyle w:val="FirstParagraph"/>
      </w:pPr>
      <w:r>
        <w:rPr>
          <w:bCs/>
          <w:b/>
        </w:rPr>
        <w:t xml:space="preserve">Your instructor will add you to a billing project that will allow you to use computational resources on AnVIL. Until they do so, you will not be able to compute anything.</w:t>
      </w:r>
    </w:p>
    <w:bookmarkEnd w:id="43"/>
    <w:bookmarkStart w:id="44" w:name="clone-a-workspace-on-anvil"/>
    <w:p>
      <w:pPr>
        <w:pStyle w:val="Heading3"/>
      </w:pPr>
      <w:r>
        <w:rPr>
          <w:rStyle w:val="SectionNumber"/>
        </w:rPr>
        <w:t xml:space="preserve">1.1.2</w:t>
      </w:r>
      <w:r>
        <w:tab/>
      </w:r>
      <w:r>
        <w:t xml:space="preserve">Clone a workspace on AnVIL</w:t>
      </w:r>
    </w:p>
    <w:p>
      <w:pPr>
        <w:numPr>
          <w:ilvl w:val="0"/>
          <w:numId w:val="1008"/>
        </w:numPr>
        <w:pStyle w:val="Compact"/>
      </w:pPr>
      <w:r>
        <w:t xml:space="preserve">While logged into AnVIL, using the hamburger icon in the top left corner of the screen, navigate to the workspaces page</w:t>
      </w:r>
    </w:p>
    <w:p>
      <w:pPr>
        <w:numPr>
          <w:ilvl w:val="0"/>
          <w:numId w:val="1008"/>
        </w:numPr>
        <w:pStyle w:val="Compact"/>
      </w:pPr>
      <w:r>
        <w:t xml:space="preserve">Select the public tab</w:t>
      </w:r>
    </w:p>
    <w:p>
      <w:pPr>
        <w:numPr>
          <w:ilvl w:val="0"/>
          <w:numId w:val="1008"/>
        </w:numPr>
        <w:pStyle w:val="Compact"/>
      </w:pPr>
      <w:r>
        <w:t xml:space="preserve">Search for the desired workspace. Your instructor will tell you which workspace to look for (miniCURE-RNA-seq or miniCURE-16S-Human_Gut).</w:t>
      </w:r>
    </w:p>
    <w:p>
      <w:pPr>
        <w:numPr>
          <w:ilvl w:val="0"/>
          <w:numId w:val="1008"/>
        </w:numPr>
        <w:pStyle w:val="Compact"/>
      </w:pPr>
      <w:r>
        <w:t xml:space="preserve">Click on the more options icon on the right side of the desired workspace and click clone</w:t>
      </w:r>
    </w:p>
    <w:p>
      <w:pPr>
        <w:numPr>
          <w:ilvl w:val="0"/>
          <w:numId w:val="1008"/>
        </w:numPr>
        <w:pStyle w:val="Compact"/>
      </w:pPr>
      <w:r>
        <w:t xml:space="preserve">Give the cloned workspace a unique name, such as by adding your initials or last name. All workspaces must have unique names; if someone has already taken the workspace name you initially wanted, please try a different name.</w:t>
      </w:r>
    </w:p>
    <w:p>
      <w:pPr>
        <w:numPr>
          <w:ilvl w:val="0"/>
          <w:numId w:val="1008"/>
        </w:numPr>
        <w:pStyle w:val="Compact"/>
      </w:pPr>
      <w:r>
        <w:t xml:space="preserve">Confirm the billing project is the one your instructor has chosen.</w:t>
      </w:r>
    </w:p>
    <w:p>
      <w:pPr>
        <w:numPr>
          <w:ilvl w:val="0"/>
          <w:numId w:val="1008"/>
        </w:numPr>
        <w:pStyle w:val="Compact"/>
      </w:pPr>
      <w:r>
        <w:t xml:space="preserve">The rest of the options should be left as is. Clone the workspace. It may take a few minutes to clone.</w:t>
      </w:r>
    </w:p>
    <w:p>
      <w:pPr>
        <w:pStyle w:val="FirstParagraph"/>
      </w:pPr>
      <w:r>
        <w:rPr>
          <w:bCs/>
          <w:b/>
        </w:rPr>
        <w:t xml:space="preserve">You only have to clone the workspace once. From now on, use your cloned workspace.</w:t>
      </w:r>
      <w:r>
        <w:t xml:space="preserve"> </w:t>
      </w:r>
      <w:r>
        <w:t xml:space="preserve">After you clone the workspace you will automatically be directed to it. For all other times, your workspaces can be found using the hamburger icon in the top left.</w:t>
      </w:r>
    </w:p>
    <w:p>
      <w:pPr>
        <w:pStyle w:val="BodyText"/>
      </w:pPr>
    </w:p>
    <w:bookmarkEnd w:id="44"/>
    <w:bookmarkEnd w:id="45"/>
    <w:bookmarkStart w:id="52" w:name="running-modules-on-anvil"/>
    <w:p>
      <w:pPr>
        <w:pStyle w:val="Heading2"/>
      </w:pPr>
      <w:r>
        <w:rPr>
          <w:rStyle w:val="SectionNumber"/>
        </w:rPr>
        <w:t xml:space="preserve">1.2</w:t>
      </w:r>
      <w:r>
        <w:tab/>
      </w:r>
      <w:r>
        <w:t xml:space="preserve">Running modules on AnVIL</w:t>
      </w:r>
    </w:p>
    <w:bookmarkStart w:id="46" w:name="purpose-1"/>
    <w:p>
      <w:pPr>
        <w:pStyle w:val="Heading4"/>
      </w:pPr>
      <w:r>
        <w:rPr>
          <w:rStyle w:val="SectionNumber"/>
        </w:rPr>
        <w:t xml:space="preserve">1.2.0.1</w:t>
      </w:r>
      <w:r>
        <w:tab/>
      </w:r>
      <w:r>
        <w:t xml:space="preserve">Purpose</w:t>
      </w:r>
    </w:p>
    <w:p>
      <w:pPr>
        <w:pStyle w:val="FirstParagraph"/>
      </w:pPr>
      <w:r>
        <w:t xml:space="preserve">The purpose of this assignment is to learn how to access the modules for your course on AnVIL and properly close out your session when finished.</w:t>
      </w:r>
    </w:p>
    <w:bookmarkEnd w:id="46"/>
    <w:bookmarkStart w:id="47" w:name="learning-objectives-1"/>
    <w:p>
      <w:pPr>
        <w:pStyle w:val="Heading4"/>
      </w:pPr>
      <w:r>
        <w:rPr>
          <w:rStyle w:val="SectionNumber"/>
        </w:rPr>
        <w:t xml:space="preserve">1.2.0.2</w:t>
      </w:r>
      <w:r>
        <w:tab/>
      </w:r>
      <w:r>
        <w:t xml:space="preserve">Learning Objectives</w:t>
      </w:r>
    </w:p>
    <w:p>
      <w:pPr>
        <w:numPr>
          <w:ilvl w:val="0"/>
          <w:numId w:val="1009"/>
        </w:numPr>
        <w:pStyle w:val="Compact"/>
      </w:pPr>
      <w:r>
        <w:t xml:space="preserve">Start up a module on AnVIL using the RStudio environment</w:t>
      </w:r>
    </w:p>
    <w:p>
      <w:pPr>
        <w:numPr>
          <w:ilvl w:val="0"/>
          <w:numId w:val="1009"/>
        </w:numPr>
        <w:pStyle w:val="Compact"/>
      </w:pPr>
      <w:r>
        <w:t xml:space="preserve">Delete your RStudio environment when finished</w:t>
      </w:r>
    </w:p>
    <w:bookmarkEnd w:id="47"/>
    <w:bookmarkStart w:id="48" w:name="starting-a-module-on-anvil"/>
    <w:p>
      <w:pPr>
        <w:pStyle w:val="Heading3"/>
      </w:pPr>
      <w:r>
        <w:rPr>
          <w:rStyle w:val="SectionNumber"/>
        </w:rPr>
        <w:t xml:space="preserve">1.2.1</w:t>
      </w:r>
      <w:r>
        <w:tab/>
      </w:r>
      <w:r>
        <w:t xml:space="preserve">Starting a module on AnVIL</w:t>
      </w:r>
    </w:p>
    <w:p>
      <w:pPr>
        <w:pStyle w:val="FirstParagraph"/>
      </w:pPr>
      <w:r>
        <w:t xml:space="preserve">When you open the workspace, you will be on the dashboard tab by default. The dashboard contains the instructions on how to use the workspace, links to C-MOOR websites, and the startup script.</w:t>
      </w:r>
    </w:p>
    <w:p>
      <w:pPr>
        <w:numPr>
          <w:ilvl w:val="0"/>
          <w:numId w:val="1010"/>
        </w:numPr>
        <w:pStyle w:val="Compact"/>
      </w:pPr>
      <w:r>
        <w:rPr>
          <w:bCs/>
          <w:b/>
        </w:rPr>
        <w:t xml:space="preserve">Copy the startup script</w:t>
      </w:r>
      <w:r>
        <w:t xml:space="preserve">. Make sure there are no spaces before or after what you copy. This script is held in the original workspace everyone cloned. It does not have to be in your own workspace for it to work.</w:t>
      </w:r>
    </w:p>
    <w:p>
      <w:pPr>
        <w:numPr>
          <w:ilvl w:val="0"/>
          <w:numId w:val="1010"/>
        </w:numPr>
        <w:pStyle w:val="Compact"/>
      </w:pPr>
      <w:r>
        <w:t xml:space="preserve">Click on the Environment Configuration button (cloud with thunderbolt)</w:t>
      </w:r>
    </w:p>
    <w:p>
      <w:pPr>
        <w:pStyle w:val="FirstParagraph"/>
      </w:pPr>
    </w:p>
    <w:p>
      <w:pPr>
        <w:numPr>
          <w:ilvl w:val="0"/>
          <w:numId w:val="1011"/>
        </w:numPr>
        <w:pStyle w:val="Compact"/>
      </w:pPr>
      <w:r>
        <w:t xml:space="preserve">In the RStudio section, click Settings</w:t>
      </w:r>
    </w:p>
    <w:p>
      <w:pPr>
        <w:numPr>
          <w:ilvl w:val="0"/>
          <w:numId w:val="1011"/>
        </w:numPr>
        <w:pStyle w:val="Compact"/>
      </w:pPr>
      <w:r>
        <w:t xml:space="preserve">In application configuration, select Legacy RStudio (R 4.4.1, Bioconductor 3.19, Python 3.10.12).</w:t>
      </w:r>
    </w:p>
    <w:p>
      <w:pPr>
        <w:numPr>
          <w:ilvl w:val="0"/>
          <w:numId w:val="1011"/>
        </w:numPr>
        <w:pStyle w:val="Compact"/>
      </w:pPr>
      <w:r>
        <w:t xml:space="preserve">In the</w:t>
      </w:r>
      <w:r>
        <w:t xml:space="preserve"> </w:t>
      </w:r>
      <w:r>
        <w:rPr>
          <w:bCs/>
          <w:b/>
        </w:rPr>
        <w:t xml:space="preserve">startup script field, paste the startup script</w:t>
      </w:r>
    </w:p>
    <w:p>
      <w:pPr>
        <w:numPr>
          <w:ilvl w:val="0"/>
          <w:numId w:val="1011"/>
        </w:numPr>
        <w:pStyle w:val="Compact"/>
      </w:pPr>
      <w:r>
        <w:t xml:space="preserve">Scroll to the bottom of the window and click</w:t>
      </w:r>
      <w:r>
        <w:t xml:space="preserve"> </w:t>
      </w:r>
      <w:r>
        <w:t xml:space="preserve">“</w:t>
      </w:r>
      <w:r>
        <w:t xml:space="preserve">Create</w:t>
      </w:r>
      <w:r>
        <w:t xml:space="preserve">”</w:t>
      </w:r>
      <w:r>
        <w:t xml:space="preserve">.</w:t>
      </w:r>
    </w:p>
    <w:p>
      <w:pPr>
        <w:pStyle w:val="FirstParagraph"/>
      </w:pPr>
    </w:p>
    <w:p>
      <w:pPr>
        <w:pStyle w:val="BodyText"/>
      </w:pPr>
      <w:r>
        <w:t xml:space="preserve">It will take some time for the RStudio Environment to be created. You can keep track of the status of the environment based on the colored dot next to the RStudio icon. The dot will turn green when the environment is ready. While it is loading (blue), you cannot interact with it.</w:t>
      </w:r>
    </w:p>
    <w:p>
      <w:pPr>
        <w:pStyle w:val="BodyText"/>
      </w:pPr>
    </w:p>
    <w:p>
      <w:pPr>
        <w:numPr>
          <w:ilvl w:val="0"/>
          <w:numId w:val="1012"/>
        </w:numPr>
        <w:pStyle w:val="Compact"/>
      </w:pPr>
      <w:r>
        <w:t xml:space="preserve">When the environment is ready, use the Open RStudio button that will pop up. You can also access RStudio through the Analyses tab. If you hold down Ctrl as you click, you can open RStudio in a new window.</w:t>
      </w:r>
    </w:p>
    <w:p>
      <w:pPr>
        <w:pStyle w:val="FirstParagraph"/>
      </w:pPr>
    </w:p>
    <w:p>
      <w:pPr>
        <w:numPr>
          <w:ilvl w:val="0"/>
          <w:numId w:val="1013"/>
        </w:numPr>
        <w:pStyle w:val="Compact"/>
      </w:pPr>
      <w:r>
        <w:t xml:space="preserve">Use the file explorer in RStudio to navigate to your module of choice. From the folder called cure-rnaseq, go to tutorials, and then the folder of the module you want.</w:t>
      </w:r>
    </w:p>
    <w:p>
      <w:pPr>
        <w:pStyle w:val="FirstParagraph"/>
      </w:pPr>
    </w:p>
    <w:p>
      <w:pPr>
        <w:numPr>
          <w:ilvl w:val="0"/>
          <w:numId w:val="1014"/>
        </w:numPr>
        <w:pStyle w:val="Compact"/>
      </w:pPr>
      <w:r>
        <w:t xml:space="preserve">In the module’s directory, open the .Rmd file by double clicking its name.</w:t>
      </w:r>
    </w:p>
    <w:p>
      <w:pPr>
        <w:pStyle w:val="FirstParagraph"/>
      </w:pPr>
    </w:p>
    <w:p>
      <w:pPr>
        <w:numPr>
          <w:ilvl w:val="0"/>
          <w:numId w:val="1015"/>
        </w:numPr>
        <w:pStyle w:val="Compact"/>
      </w:pPr>
      <w:r>
        <w:t xml:space="preserve">Click Run Document in the open .Rmd file</w:t>
      </w:r>
    </w:p>
    <w:p>
      <w:pPr>
        <w:pStyle w:val="FirstParagraph"/>
      </w:pPr>
    </w:p>
    <w:p>
      <w:pPr>
        <w:pStyle w:val="BodyText"/>
      </w:pPr>
      <w:r>
        <w:rPr>
          <w:bCs/>
          <w:b/>
        </w:rPr>
        <w:t xml:space="preserve">When you are finished, make sure you close out your session properly to prevent runaway costs!</w:t>
      </w:r>
      <w:r>
        <w:t xml:space="preserve">.</w:t>
      </w:r>
    </w:p>
    <w:bookmarkEnd w:id="48"/>
    <w:bookmarkStart w:id="51" w:name="closing-out-a-session-on-anvil"/>
    <w:p>
      <w:pPr>
        <w:pStyle w:val="Heading3"/>
      </w:pPr>
      <w:r>
        <w:rPr>
          <w:rStyle w:val="SectionNumber"/>
        </w:rPr>
        <w:t xml:space="preserve">1.2.2</w:t>
      </w:r>
      <w:r>
        <w:tab/>
      </w:r>
      <w:r>
        <w:t xml:space="preserve">Closing out a session on AnVIL</w:t>
      </w:r>
    </w:p>
    <w:p>
      <w:pPr>
        <w:numPr>
          <w:ilvl w:val="0"/>
          <w:numId w:val="1016"/>
        </w:numPr>
        <w:pStyle w:val="Compact"/>
      </w:pPr>
      <w:r>
        <w:t xml:space="preserve">On the right side of the screen, click the Cloud Environment button. This is the Cloud with the lighting symbol.</w:t>
      </w:r>
    </w:p>
    <w:p>
      <w:pPr>
        <w:numPr>
          <w:ilvl w:val="0"/>
          <w:numId w:val="1016"/>
        </w:numPr>
        <w:pStyle w:val="Compact"/>
      </w:pPr>
      <w:r>
        <w:t xml:space="preserve">Under the RStudio section, click settings.</w:t>
      </w:r>
    </w:p>
    <w:p>
      <w:pPr>
        <w:numPr>
          <w:ilvl w:val="0"/>
          <w:numId w:val="1016"/>
        </w:numPr>
        <w:pStyle w:val="Compact"/>
      </w:pPr>
      <w:r>
        <w:t xml:space="preserve">Scroll to the bottom of the new window and click delete environment.</w:t>
      </w:r>
    </w:p>
    <w:p>
      <w:pPr>
        <w:numPr>
          <w:ilvl w:val="0"/>
          <w:numId w:val="1016"/>
        </w:numPr>
        <w:pStyle w:val="Compact"/>
      </w:pPr>
      <w:r>
        <w:t xml:space="preserve">Check</w:t>
      </w:r>
      <w:r>
        <w:t xml:space="preserve"> </w:t>
      </w:r>
      <w:r>
        <w:rPr>
          <w:bCs/>
          <w:b/>
        </w:rPr>
        <w:t xml:space="preserve">Delete everything, including the persistent disk or your instructor’s billing account will incur costs for storage</w:t>
      </w:r>
      <w:r>
        <w:t xml:space="preserve">.</w:t>
      </w:r>
    </w:p>
    <w:p>
      <w:pPr>
        <w:pStyle w:val="FirstParagraph"/>
      </w:pPr>
    </w:p>
    <w:bookmarkStart w:id="49" w:name="footnotes"/>
    <w:p>
      <w:pPr>
        <w:pStyle w:val="Heading4"/>
      </w:pPr>
      <w:r>
        <w:rPr>
          <w:rStyle w:val="SectionNumber"/>
        </w:rPr>
        <w:t xml:space="preserve">1.2.2.1</w:t>
      </w:r>
      <w:r>
        <w:tab/>
      </w:r>
      <w:r>
        <w:t xml:space="preserve">Footnotes</w:t>
      </w:r>
    </w:p>
    <w:bookmarkEnd w:id="49"/>
    <w:bookmarkStart w:id="50" w:name="contributions-and-affiliations"/>
    <w:p>
      <w:pPr>
        <w:pStyle w:val="Heading4"/>
      </w:pPr>
      <w:r>
        <w:rPr>
          <w:rStyle w:val="SectionNumber"/>
        </w:rPr>
        <w:t xml:space="preserve">1.2.2.2</w:t>
      </w:r>
      <w:r>
        <w:tab/>
      </w:r>
      <w:r>
        <w:t xml:space="preserve">Contributions and Affiliations</w:t>
      </w:r>
    </w:p>
    <w:p>
      <w:pPr>
        <w:numPr>
          <w:ilvl w:val="0"/>
          <w:numId w:val="1017"/>
        </w:numPr>
        <w:pStyle w:val="Compact"/>
      </w:pPr>
      <w:r>
        <w:t xml:space="preserve">Sayumi York, Notre Dame University of Maryland</w:t>
      </w:r>
    </w:p>
    <w:p>
      <w:pPr>
        <w:pStyle w:val="FirstParagraph"/>
      </w:pPr>
      <w:r>
        <w:t xml:space="preserve">Last Revised: July 16, 2025</w:t>
      </w:r>
    </w:p>
    <w:bookmarkEnd w:id="50"/>
    <w:bookmarkEnd w:id="51"/>
    <w:bookmarkEnd w:id="52"/>
    <w:bookmarkEnd w:id="53"/>
    <w:bookmarkStart w:id="79" w:name="join-sciserver"/>
    <w:p>
      <w:pPr>
        <w:pStyle w:val="Heading1"/>
      </w:pPr>
      <w:r>
        <w:rPr>
          <w:rStyle w:val="SectionNumber"/>
        </w:rPr>
        <w:t xml:space="preserve">2</w:t>
      </w:r>
      <w:r>
        <w:tab/>
      </w:r>
      <w:r>
        <w:t xml:space="preserve">Join SciServer</w:t>
      </w:r>
    </w:p>
    <w:bookmarkStart w:id="54" w:name="introduction-1"/>
    <w:p>
      <w:pPr>
        <w:pStyle w:val="Heading4"/>
      </w:pPr>
      <w:r>
        <w:rPr>
          <w:rStyle w:val="SectionNumber"/>
        </w:rPr>
        <w:t xml:space="preserve">2.0.0.1</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p>
      <w:pPr>
        <w:pStyle w:val="BodyText"/>
      </w:pPr>
    </w:p>
    <w:bookmarkEnd w:id="54"/>
    <w:bookmarkStart w:id="66" w:name="setup-your-sciserver-account"/>
    <w:p>
      <w:pPr>
        <w:pStyle w:val="Heading2"/>
      </w:pPr>
      <w:r>
        <w:rPr>
          <w:rStyle w:val="SectionNumber"/>
        </w:rPr>
        <w:t xml:space="preserve">2.1</w:t>
      </w:r>
      <w:r>
        <w:tab/>
      </w:r>
      <w:r>
        <w:t xml:space="preserve">Setup your SciServer account</w:t>
      </w:r>
    </w:p>
    <w:bookmarkStart w:id="55" w:name="purpose-2"/>
    <w:p>
      <w:pPr>
        <w:pStyle w:val="Heading4"/>
      </w:pPr>
      <w:r>
        <w:rPr>
          <w:rStyle w:val="SectionNumber"/>
        </w:rPr>
        <w:t xml:space="preserve">2.1.0.1</w:t>
      </w:r>
      <w:r>
        <w:tab/>
      </w:r>
      <w:r>
        <w:t xml:space="preserve">Purpose</w:t>
      </w:r>
    </w:p>
    <w:p>
      <w:pPr>
        <w:pStyle w:val="FirstParagraph"/>
      </w:pPr>
      <w:r>
        <w:t xml:space="preserve">Students will create a SciServer account and be added to a SciServer by their instructor, which gives them access to the images and data needed to access learning modules and complete their research project.</w:t>
      </w:r>
      <w:r>
        <w:t xml:space="preserve"> </w:t>
      </w:r>
      <w:r>
        <w:rPr>
          <w:bCs/>
          <w:b/>
        </w:rPr>
        <w:t xml:space="preserve">The steps in this section only need to be completed once.</w:t>
      </w:r>
    </w:p>
    <w:bookmarkEnd w:id="55"/>
    <w:bookmarkStart w:id="59" w:name="learning-objectives-2"/>
    <w:p>
      <w:pPr>
        <w:pStyle w:val="Heading4"/>
      </w:pPr>
      <w:r>
        <w:rPr>
          <w:rStyle w:val="SectionNumber"/>
        </w:rPr>
        <w:t xml:space="preserve">2.1.0.2</w:t>
      </w:r>
      <w:r>
        <w:tab/>
      </w:r>
      <w:r>
        <w:t xml:space="preserve">Learning Objectives</w:t>
      </w:r>
    </w:p>
    <w:p>
      <w:pPr>
        <w:numPr>
          <w:ilvl w:val="0"/>
          <w:numId w:val="1018"/>
        </w:numPr>
        <w:pStyle w:val="Compact"/>
      </w:pPr>
      <w:r>
        <w:t xml:space="preserve">Create an account on SciServer</w:t>
      </w:r>
    </w:p>
    <w:p>
      <w:pPr>
        <w:numPr>
          <w:ilvl w:val="0"/>
          <w:numId w:val="1018"/>
        </w:numPr>
        <w:pStyle w:val="Compact"/>
      </w:pPr>
      <w:r>
        <w:t xml:space="preserve">Confirm your email address</w:t>
      </w:r>
    </w:p>
    <w:p>
      <w:pPr>
        <w:numPr>
          <w:ilvl w:val="0"/>
          <w:numId w:val="1018"/>
        </w:numPr>
        <w:pStyle w:val="Compact"/>
      </w:pPr>
      <w:r>
        <w:t xml:space="preserve">Share your username with your instructor</w:t>
      </w:r>
    </w:p>
    <w:p>
      <w:pPr>
        <w:numPr>
          <w:ilvl w:val="0"/>
          <w:numId w:val="1018"/>
        </w:numPr>
        <w:pStyle w:val="Compact"/>
      </w:pPr>
      <w:r>
        <w:t xml:space="preserve">Confirm your access to class materials on SciServer</w:t>
      </w:r>
    </w:p>
    <w:p>
      <w:pPr>
        <w:pStyle w:val="FirstParagraph"/>
      </w:pPr>
      <w:r>
        <w:t xml:space="preserve">This video (</w:t>
      </w:r>
      <w:hyperlink r:id="rId56">
        <w:r>
          <w:rPr>
            <w:rStyle w:val="Hyperlink"/>
          </w:rPr>
          <w:t xml:space="preserve">video</w:t>
        </w:r>
      </w:hyperlink>
      <w:r>
        <w:t xml:space="preserve">)(</w:t>
      </w:r>
      <w:hyperlink r:id="rId57">
        <w:r>
          <w:rPr>
            <w:rStyle w:val="Hyperlink"/>
          </w:rPr>
          <w:t xml:space="preserve">slides</w:t>
        </w:r>
      </w:hyperlink>
      <w:r>
        <w:t xml:space="preserve">) shows you how to create a SciServer account. You can follow along with the video, or follow the steps below.</w:t>
      </w:r>
    </w:p>
    <w:p>
      <w:pPr>
        <w:numPr>
          <w:ilvl w:val="0"/>
          <w:numId w:val="1019"/>
        </w:numPr>
        <w:pStyle w:val="Compact"/>
      </w:pPr>
      <w:r>
        <w:t xml:space="preserve">Open</w:t>
      </w:r>
      <w:r>
        <w:t xml:space="preserve"> </w:t>
      </w:r>
      <w:hyperlink r:id="rId58">
        <w:r>
          <w:rPr>
            <w:rStyle w:val="Hyperlink"/>
          </w:rPr>
          <w:t xml:space="preserve">sciserver.org</w:t>
        </w:r>
      </w:hyperlink>
      <w:r>
        <w:t xml:space="preserve"> </w:t>
      </w:r>
      <w:r>
        <w:t xml:space="preserve">in a web browser</w:t>
      </w:r>
    </w:p>
    <w:p>
      <w:pPr>
        <w:numPr>
          <w:ilvl w:val="1"/>
          <w:numId w:val="1020"/>
        </w:numPr>
        <w:pStyle w:val="Compact"/>
      </w:pPr>
      <w:r>
        <w:t xml:space="preserve">It is a good idea to bookmark this page so that you can easily access it throughout the course.</w:t>
      </w:r>
    </w:p>
    <w:p>
      <w:pPr>
        <w:numPr>
          <w:ilvl w:val="0"/>
          <w:numId w:val="1019"/>
        </w:numPr>
        <w:pStyle w:val="Compact"/>
      </w:pPr>
      <w:r>
        <w:t xml:space="preserve">Click</w:t>
      </w:r>
      <w:r>
        <w:t xml:space="preserve"> </w:t>
      </w:r>
      <w:r>
        <w:t xml:space="preserve">“</w:t>
      </w:r>
      <w:r>
        <w:t xml:space="preserve">Login to SciServer</w:t>
      </w:r>
      <w:r>
        <w:t xml:space="preserve">”</w:t>
      </w:r>
    </w:p>
    <w:p>
      <w:pPr>
        <w:numPr>
          <w:ilvl w:val="0"/>
          <w:numId w:val="1019"/>
        </w:numPr>
        <w:pStyle w:val="Compact"/>
      </w:pPr>
      <w:r>
        <w:t xml:space="preserve">Click</w:t>
      </w:r>
      <w:r>
        <w:t xml:space="preserve"> </w:t>
      </w:r>
      <w:r>
        <w:t xml:space="preserve">“</w:t>
      </w:r>
      <w:r>
        <w:t xml:space="preserve">Create a new account</w:t>
      </w:r>
      <w:r>
        <w:t xml:space="preserve">”</w:t>
      </w:r>
    </w:p>
    <w:p>
      <w:pPr>
        <w:numPr>
          <w:ilvl w:val="0"/>
          <w:numId w:val="1019"/>
        </w:numPr>
        <w:pStyle w:val="Compact"/>
      </w:pPr>
      <w:r>
        <w:t xml:space="preserve">Enter a User name, Email, etc. and click</w:t>
      </w:r>
      <w:r>
        <w:t xml:space="preserve"> </w:t>
      </w:r>
      <w:r>
        <w:t xml:space="preserve">“</w:t>
      </w:r>
      <w:r>
        <w:t xml:space="preserve">Create account</w:t>
      </w:r>
      <w:r>
        <w:t xml:space="preserve">”</w:t>
      </w:r>
    </w:p>
    <w:p>
      <w:pPr>
        <w:numPr>
          <w:ilvl w:val="1"/>
          <w:numId w:val="1021"/>
        </w:numPr>
        <w:pStyle w:val="Compact"/>
      </w:pPr>
      <w:r>
        <w:t xml:space="preserve">Note that you cannot change your username once you have made your account</w:t>
      </w:r>
    </w:p>
    <w:bookmarkEnd w:id="59"/>
    <w:bookmarkStart w:id="60" w:name="confirm-your-email-address"/>
    <w:p>
      <w:pPr>
        <w:pStyle w:val="Heading4"/>
      </w:pPr>
      <w:r>
        <w:rPr>
          <w:rStyle w:val="SectionNumber"/>
        </w:rPr>
        <w:t xml:space="preserve">2.1.0.3</w:t>
      </w:r>
      <w:r>
        <w:tab/>
      </w:r>
      <w:r>
        <w:t xml:space="preserve">Confirm your email address</w:t>
      </w:r>
    </w:p>
    <w:p>
      <w:pPr>
        <w:numPr>
          <w:ilvl w:val="0"/>
          <w:numId w:val="1022"/>
        </w:numPr>
        <w:pStyle w:val="Compact"/>
      </w:pPr>
      <w:r>
        <w:rPr>
          <w:bCs/>
          <w:b/>
        </w:rPr>
        <w:t xml:space="preserve">Important!</w:t>
      </w:r>
      <w:r>
        <w:t xml:space="preserve">: Click the verification link in your email inbox.</w:t>
      </w:r>
    </w:p>
    <w:p>
      <w:pPr>
        <w:numPr>
          <w:ilvl w:val="1"/>
          <w:numId w:val="1023"/>
        </w:numPr>
        <w:pStyle w:val="Compact"/>
      </w:pPr>
      <w:r>
        <w:t xml:space="preserve">If you do not verify your account you will get locked out and will need to contact your instructor to unlock your account.</w:t>
      </w:r>
    </w:p>
    <w:p>
      <w:pPr>
        <w:numPr>
          <w:ilvl w:val="1"/>
          <w:numId w:val="1023"/>
        </w:numPr>
        <w:pStyle w:val="Compact"/>
      </w:pPr>
      <w:r>
        <w:t xml:space="preserve">If you do not see an email, try checking your spam folder.</w:t>
      </w:r>
    </w:p>
    <w:p>
      <w:pPr>
        <w:numPr>
          <w:ilvl w:val="0"/>
          <w:numId w:val="1022"/>
        </w:numPr>
        <w:pStyle w:val="Compact"/>
      </w:pPr>
      <w:r>
        <w:t xml:space="preserve">After clicking the verification link, confirm that your username appears in the upper right hand corner.</w:t>
      </w:r>
    </w:p>
    <w:bookmarkEnd w:id="60"/>
    <w:bookmarkStart w:id="61" w:name="share-your-username-with-your-instructor"/>
    <w:p>
      <w:pPr>
        <w:pStyle w:val="Heading4"/>
      </w:pPr>
      <w:r>
        <w:rPr>
          <w:rStyle w:val="SectionNumber"/>
        </w:rPr>
        <w:t xml:space="preserve">2.1.0.4</w:t>
      </w:r>
      <w:r>
        <w:tab/>
      </w:r>
      <w:r>
        <w:t xml:space="preserve">Share your username with your instructor</w:t>
      </w:r>
    </w:p>
    <w:p>
      <w:pPr>
        <w:pStyle w:val="FirstParagraph"/>
      </w:pPr>
      <w:r>
        <w:t xml:space="preserve">Refer to your instructor on how to share your username with them. Your instructor will add you to a group that will give you access to all the necessary resources.</w:t>
      </w:r>
    </w:p>
    <w:p>
      <w:pPr>
        <w:numPr>
          <w:ilvl w:val="0"/>
          <w:numId w:val="1024"/>
        </w:numPr>
        <w:pStyle w:val="Compact"/>
      </w:pPr>
      <w:r>
        <w:t xml:space="preserve">Share your username with you instructor and await invitation to the SciServer group</w:t>
      </w:r>
    </w:p>
    <w:bookmarkEnd w:id="61"/>
    <w:bookmarkStart w:id="64" w:name="Xac9329507eea05d4a87b50f1448dd11f977c1b7"/>
    <w:p>
      <w:pPr>
        <w:pStyle w:val="Heading4"/>
      </w:pPr>
      <w:r>
        <w:rPr>
          <w:rStyle w:val="SectionNumber"/>
        </w:rPr>
        <w:t xml:space="preserve">2.1.0.5</w:t>
      </w:r>
      <w:r>
        <w:tab/>
      </w:r>
      <w:r>
        <w:t xml:space="preserve">Accept invitation to join class SciServer group</w:t>
      </w:r>
    </w:p>
    <w:p>
      <w:pPr>
        <w:pStyle w:val="FirstParagraph"/>
      </w:pPr>
      <w:r>
        <w:t xml:space="preserve">This video (</w:t>
      </w:r>
      <w:hyperlink r:id="rId62">
        <w:r>
          <w:rPr>
            <w:rStyle w:val="Hyperlink"/>
          </w:rPr>
          <w:t xml:space="preserve">video</w:t>
        </w:r>
      </w:hyperlink>
      <w:r>
        <w:t xml:space="preserve">)(</w:t>
      </w:r>
      <w:hyperlink r:id="rId63">
        <w:r>
          <w:rPr>
            <w:rStyle w:val="Hyperlink"/>
          </w:rPr>
          <w:t xml:space="preserve">slides</w:t>
        </w:r>
      </w:hyperlink>
      <w:r>
        <w:t xml:space="preserve">) shows you how to join a SciServer group. You can follow along with the video, or follow the steps below.</w:t>
      </w:r>
    </w:p>
    <w:p>
      <w:pPr>
        <w:numPr>
          <w:ilvl w:val="0"/>
          <w:numId w:val="1025"/>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0"/>
          <w:numId w:val="1025"/>
        </w:numPr>
        <w:pStyle w:val="Compact"/>
      </w:pPr>
      <w:r>
        <w:t xml:space="preserve">Click</w:t>
      </w:r>
      <w:r>
        <w:t xml:space="preserve"> </w:t>
      </w:r>
      <w:r>
        <w:t xml:space="preserve">“</w:t>
      </w:r>
      <w:r>
        <w:t xml:space="preserve">Groups</w:t>
      </w:r>
      <w:r>
        <w:t xml:space="preserve">”</w:t>
      </w:r>
    </w:p>
    <w:p>
      <w:pPr>
        <w:numPr>
          <w:ilvl w:val="0"/>
          <w:numId w:val="102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26"/>
        </w:numPr>
        <w:pStyle w:val="Compact"/>
      </w:pPr>
      <w:r>
        <w:t xml:space="preserve">Your instructor must have your username to invite you to the group. If you do not see an invitation, contact your instructor with your SciServer username.</w:t>
      </w:r>
    </w:p>
    <w:p>
      <w:pPr>
        <w:numPr>
          <w:ilvl w:val="0"/>
          <w:numId w:val="1025"/>
        </w:numPr>
        <w:pStyle w:val="Compact"/>
      </w:pPr>
      <w:r>
        <w:t xml:space="preserve">Confirm that you can access course data</w:t>
      </w:r>
    </w:p>
    <w:p>
      <w:pPr>
        <w:numPr>
          <w:ilvl w:val="1"/>
          <w:numId w:val="1027"/>
        </w:numPr>
        <w:pStyle w:val="Compact"/>
      </w:pPr>
      <w:r>
        <w:t xml:space="preserve">On the top menu bar, click</w:t>
      </w:r>
      <w:r>
        <w:t xml:space="preserve"> </w:t>
      </w:r>
      <w:r>
        <w:t xml:space="preserve">“</w:t>
      </w:r>
      <w:r>
        <w:t xml:space="preserve">Files</w:t>
      </w:r>
      <w:r>
        <w:t xml:space="preserve">”</w:t>
      </w:r>
    </w:p>
    <w:p>
      <w:pPr>
        <w:numPr>
          <w:ilvl w:val="1"/>
          <w:numId w:val="1027"/>
        </w:numPr>
        <w:pStyle w:val="Compact"/>
      </w:pPr>
      <w:r>
        <w:t xml:space="preserve">On the left-hand menu, click</w:t>
      </w:r>
      <w:r>
        <w:t xml:space="preserve"> </w:t>
      </w:r>
      <w:r>
        <w:t xml:space="preserve">“</w:t>
      </w:r>
      <w:r>
        <w:t xml:space="preserve">Data Volumes</w:t>
      </w:r>
      <w:r>
        <w:t xml:space="preserve">”</w:t>
      </w:r>
    </w:p>
    <w:p>
      <w:pPr>
        <w:numPr>
          <w:ilvl w:val="1"/>
          <w:numId w:val="1027"/>
        </w:numPr>
        <w:pStyle w:val="Compact"/>
      </w:pPr>
      <w:r>
        <w:t xml:space="preserve">Confirm that you see</w:t>
      </w:r>
      <w:r>
        <w:t xml:space="preserve"> </w:t>
      </w:r>
      <w:r>
        <w:t xml:space="preserve">“</w:t>
      </w:r>
      <w:r>
        <w:t xml:space="preserve">C-MOOR-Data</w:t>
      </w:r>
      <w:r>
        <w:t xml:space="preserve">”</w:t>
      </w:r>
    </w:p>
    <w:p>
      <w:pPr>
        <w:numPr>
          <w:ilvl w:val="0"/>
          <w:numId w:val="1025"/>
        </w:numPr>
        <w:pStyle w:val="Compact"/>
      </w:pPr>
      <w:r>
        <w:t xml:space="preserve">Confirm that you can access course computing resources</w:t>
      </w:r>
    </w:p>
    <w:p>
      <w:pPr>
        <w:numPr>
          <w:ilvl w:val="1"/>
          <w:numId w:val="102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28"/>
        </w:numPr>
        <w:pStyle w:val="Compact"/>
      </w:pPr>
      <w:r>
        <w:t xml:space="preserve">Scroll down to the second set of boxes and click</w:t>
      </w:r>
      <w:r>
        <w:t xml:space="preserve"> </w:t>
      </w:r>
      <w:r>
        <w:t xml:space="preserve">“</w:t>
      </w:r>
      <w:r>
        <w:t xml:space="preserve">Compute</w:t>
      </w:r>
      <w:r>
        <w:t xml:space="preserve">”</w:t>
      </w:r>
    </w:p>
    <w:p>
      <w:pPr>
        <w:numPr>
          <w:ilvl w:val="1"/>
          <w:numId w:val="1028"/>
        </w:numPr>
        <w:pStyle w:val="Compact"/>
      </w:pPr>
      <w:r>
        <w:t xml:space="preserve">Click</w:t>
      </w:r>
      <w:r>
        <w:t xml:space="preserve"> </w:t>
      </w:r>
      <w:r>
        <w:t xml:space="preserve">“</w:t>
      </w:r>
      <w:r>
        <w:t xml:space="preserve">Create container</w:t>
      </w:r>
      <w:r>
        <w:t xml:space="preserve">”</w:t>
      </w:r>
    </w:p>
    <w:p>
      <w:pPr>
        <w:numPr>
          <w:ilvl w:val="1"/>
          <w:numId w:val="102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2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2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End w:id="64"/>
    <w:bookmarkStart w:id="65" w:name="troubleshooting"/>
    <w:p>
      <w:pPr>
        <w:pStyle w:val="Heading4"/>
      </w:pPr>
      <w:r>
        <w:rPr>
          <w:rStyle w:val="SectionNumber"/>
        </w:rPr>
        <w:t xml:space="preserve">2.1.0.6</w:t>
      </w:r>
      <w:r>
        <w:tab/>
      </w:r>
      <w:r>
        <w:t xml:space="preserve">Troubleshooting</w:t>
      </w:r>
    </w:p>
    <w:p>
      <w:pPr>
        <w:numPr>
          <w:ilvl w:val="0"/>
          <w:numId w:val="1029"/>
        </w:numPr>
        <w:pStyle w:val="Compact"/>
      </w:pPr>
      <w:r>
        <w:t xml:space="preserve">Some students have had issues signing up or logging into SciServer but were successful at a later date/time. We suggest giving students time to sign up well in advance of their first module on SciServer in case of technical difficulties.</w:t>
      </w:r>
    </w:p>
    <w:bookmarkEnd w:id="65"/>
    <w:bookmarkEnd w:id="66"/>
    <w:bookmarkStart w:id="78" w:name="running-modules-on-sciserver"/>
    <w:p>
      <w:pPr>
        <w:pStyle w:val="Heading2"/>
      </w:pPr>
      <w:r>
        <w:rPr>
          <w:rStyle w:val="SectionNumber"/>
        </w:rPr>
        <w:t xml:space="preserve">2.2</w:t>
      </w:r>
      <w:r>
        <w:tab/>
      </w:r>
      <w:r>
        <w:t xml:space="preserve">Running modules on SciServer</w:t>
      </w:r>
    </w:p>
    <w:bookmarkStart w:id="67" w:name="purpose-3"/>
    <w:p>
      <w:pPr>
        <w:pStyle w:val="Heading4"/>
      </w:pPr>
      <w:r>
        <w:rPr>
          <w:rStyle w:val="SectionNumber"/>
        </w:rPr>
        <w:t xml:space="preserve">2.2.0.1</w:t>
      </w:r>
      <w:r>
        <w:tab/>
      </w:r>
      <w:r>
        <w:t xml:space="preserve">Purpose</w:t>
      </w:r>
    </w:p>
    <w:p>
      <w:pPr>
        <w:pStyle w:val="FirstParagraph"/>
      </w:pPr>
      <w:r>
        <w:t xml:space="preserve">The purpose of this assignment is to learn how to access the modules for your course on SciServer and properly close out your session when finished.</w:t>
      </w:r>
    </w:p>
    <w:bookmarkEnd w:id="67"/>
    <w:bookmarkStart w:id="68" w:name="learning-objectives-3"/>
    <w:p>
      <w:pPr>
        <w:pStyle w:val="Heading4"/>
      </w:pPr>
      <w:r>
        <w:rPr>
          <w:rStyle w:val="SectionNumber"/>
        </w:rPr>
        <w:t xml:space="preserve">2.2.0.2</w:t>
      </w:r>
      <w:r>
        <w:tab/>
      </w:r>
      <w:r>
        <w:t xml:space="preserve">Learning Objectives</w:t>
      </w:r>
    </w:p>
    <w:p>
      <w:pPr>
        <w:numPr>
          <w:ilvl w:val="0"/>
          <w:numId w:val="1030"/>
        </w:numPr>
        <w:pStyle w:val="Compact"/>
      </w:pPr>
      <w:r>
        <w:t xml:space="preserve">Start up a C-MOOR LearnR compute container</w:t>
      </w:r>
    </w:p>
    <w:p>
      <w:pPr>
        <w:numPr>
          <w:ilvl w:val="0"/>
          <w:numId w:val="1030"/>
        </w:numPr>
        <w:pStyle w:val="Compact"/>
      </w:pPr>
      <w:r>
        <w:t xml:space="preserve">Access a C-MOOR module</w:t>
      </w:r>
    </w:p>
    <w:p>
      <w:pPr>
        <w:numPr>
          <w:ilvl w:val="0"/>
          <w:numId w:val="1030"/>
        </w:numPr>
        <w:pStyle w:val="Compact"/>
      </w:pPr>
      <w:r>
        <w:t xml:space="preserve">Delete your C-MOOR LearnR compute container when finished</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There are two C-MOOR compute containers on SciServer:</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can work on your own data analysis projects. This assignment shows you how to set up the C-MOOR LearnR compute container and start up your first tutorial.</w:t>
      </w:r>
    </w:p>
    <w:bookmarkEnd w:id="68"/>
    <w:bookmarkStart w:id="71" w:name="X2c7a087c35483d9d7d04a018181c967f1b49c2c"/>
    <w:p>
      <w:pPr>
        <w:pStyle w:val="Heading3"/>
      </w:pPr>
      <w:r>
        <w:rPr>
          <w:rStyle w:val="SectionNumber"/>
        </w:rPr>
        <w:t xml:space="preserve">2.2.1</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69">
        <w:r>
          <w:rPr>
            <w:rStyle w:val="Hyperlink"/>
          </w:rPr>
          <w:t xml:space="preserve">video</w:t>
        </w:r>
      </w:hyperlink>
      <w:r>
        <w:t xml:space="preserve">)(</w:t>
      </w:r>
      <w:hyperlink r:id="rId70">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31"/>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1"/>
          <w:numId w:val="1032"/>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31"/>
        </w:numPr>
        <w:pStyle w:val="Compact"/>
      </w:pPr>
      <w:r>
        <w:t xml:space="preserve">Scroll down to the second set of boxes and click</w:t>
      </w:r>
      <w:r>
        <w:t xml:space="preserve"> </w:t>
      </w:r>
      <w:r>
        <w:t xml:space="preserve">“</w:t>
      </w:r>
      <w:r>
        <w:t xml:space="preserve">Compute</w:t>
      </w:r>
      <w:r>
        <w:t xml:space="preserve">”</w:t>
      </w:r>
    </w:p>
    <w:p>
      <w:pPr>
        <w:numPr>
          <w:ilvl w:val="0"/>
          <w:numId w:val="1031"/>
        </w:numPr>
        <w:pStyle w:val="Compact"/>
      </w:pPr>
      <w:r>
        <w:t xml:space="preserve">Click</w:t>
      </w:r>
      <w:r>
        <w:t xml:space="preserve"> </w:t>
      </w:r>
      <w:r>
        <w:t xml:space="preserve">“</w:t>
      </w:r>
      <w:r>
        <w:t xml:space="preserve">Create container</w:t>
      </w:r>
      <w:r>
        <w:t xml:space="preserve">”</w:t>
      </w:r>
    </w:p>
    <w:p>
      <w:pPr>
        <w:numPr>
          <w:ilvl w:val="1"/>
          <w:numId w:val="1033"/>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33"/>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 the</w:t>
      </w:r>
      <w:r>
        <w:t xml:space="preserve"> </w:t>
      </w:r>
      <w:r>
        <w:t xml:space="preserve">“</w:t>
      </w:r>
      <w:r>
        <w:rPr>
          <w:bCs/>
          <w:b/>
        </w:rPr>
        <w:t xml:space="preserve">C-MOOR LearnR that your instructor chooses</w:t>
      </w:r>
      <w:r>
        <w:t xml:space="preserve">”</w:t>
      </w:r>
    </w:p>
    <w:p>
      <w:pPr>
        <w:numPr>
          <w:ilvl w:val="1"/>
          <w:numId w:val="1033"/>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33"/>
        </w:numPr>
        <w:pStyle w:val="Compact"/>
      </w:pPr>
      <w:r>
        <w:t xml:space="preserve">Click</w:t>
      </w:r>
      <w:r>
        <w:t xml:space="preserve"> </w:t>
      </w:r>
      <w:r>
        <w:t xml:space="preserve">“</w:t>
      </w:r>
      <w:r>
        <w:t xml:space="preserve">Create</w:t>
      </w:r>
      <w:r>
        <w:t xml:space="preserve">”</w:t>
      </w:r>
      <w:r>
        <w:t xml:space="preserve">. This may take a moment.</w:t>
      </w:r>
    </w:p>
    <w:p>
      <w:pPr>
        <w:numPr>
          <w:ilvl w:val="0"/>
          <w:numId w:val="1031"/>
        </w:numPr>
        <w:pStyle w:val="Compact"/>
      </w:pPr>
      <w:r>
        <w:t xml:space="preserve">You should now see a new entry in your list of containers</w:t>
      </w:r>
    </w:p>
    <w:p>
      <w:pPr>
        <w:numPr>
          <w:ilvl w:val="1"/>
          <w:numId w:val="1034"/>
        </w:numPr>
        <w:pStyle w:val="Compact"/>
      </w:pPr>
      <w:r>
        <w:t xml:space="preserve">“</w:t>
      </w:r>
      <w:r>
        <w:t xml:space="preserve">Created At</w:t>
      </w:r>
      <w:r>
        <w:t xml:space="preserve">”</w:t>
      </w:r>
      <w:r>
        <w:t xml:space="preserve"> </w:t>
      </w:r>
      <w:r>
        <w:t xml:space="preserve">should be a few moments ago.</w:t>
      </w:r>
    </w:p>
    <w:p>
      <w:pPr>
        <w:numPr>
          <w:ilvl w:val="1"/>
          <w:numId w:val="1034"/>
        </w:numPr>
        <w:pStyle w:val="Compact"/>
      </w:pPr>
      <w:r>
        <w:t xml:space="preserve">“</w:t>
      </w:r>
      <w:r>
        <w:t xml:space="preserve">Name</w:t>
      </w:r>
      <w:r>
        <w:t xml:space="preserve">”</w:t>
      </w:r>
      <w:r>
        <w:t xml:space="preserve"> </w:t>
      </w:r>
      <w:r>
        <w:t xml:space="preserve">should be the name you chose</w:t>
      </w:r>
    </w:p>
    <w:p>
      <w:pPr>
        <w:numPr>
          <w:ilvl w:val="1"/>
          <w:numId w:val="1034"/>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31"/>
        </w:numPr>
        <w:pStyle w:val="Compact"/>
      </w:pPr>
      <w:r>
        <w:t xml:space="preserve">Start your C-MOOR LearnR container by clicking on its name (whatever name you chose when you created it). This will open in a new tab.</w:t>
      </w:r>
    </w:p>
    <w:p>
      <w:pPr>
        <w:numPr>
          <w:ilvl w:val="1"/>
          <w:numId w:val="1035"/>
        </w:numPr>
        <w:pStyle w:val="Compact"/>
      </w:pPr>
      <w:r>
        <w:t xml:space="preserve">You should see a list of tutorials, organized by topic.</w:t>
      </w:r>
    </w:p>
    <w:p>
      <w:pPr>
        <w:pStyle w:val="FirstParagraph"/>
      </w:pPr>
    </w:p>
    <w:p>
      <w:pPr>
        <w:numPr>
          <w:ilvl w:val="0"/>
          <w:numId w:val="1036"/>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p>
    <w:p>
      <w:pPr>
        <w:pStyle w:val="FirstParagraph"/>
      </w:pPr>
    </w:p>
    <w:p>
      <w:pPr>
        <w:numPr>
          <w:ilvl w:val="0"/>
          <w:numId w:val="1037"/>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71"/>
    <w:bookmarkStart w:id="72" w:name="opening-c-moor-modules"/>
    <w:p>
      <w:pPr>
        <w:pStyle w:val="Heading3"/>
      </w:pPr>
      <w:r>
        <w:rPr>
          <w:rStyle w:val="SectionNumber"/>
        </w:rPr>
        <w:t xml:space="preserve">2.2.2</w:t>
      </w:r>
      <w:r>
        <w:tab/>
      </w:r>
      <w:r>
        <w:t xml:space="preserve">Opening C-MOOR modules</w:t>
      </w:r>
    </w:p>
    <w:p>
      <w:pPr>
        <w:numPr>
          <w:ilvl w:val="0"/>
          <w:numId w:val="1038"/>
        </w:numPr>
        <w:pStyle w:val="Compact"/>
      </w:pPr>
      <w:r>
        <w:t xml:space="preserve">If you’re not there already, go to the SciServer compute page and start up the C-MOOR LearnR container.</w:t>
      </w:r>
    </w:p>
    <w:p>
      <w:pPr>
        <w:numPr>
          <w:ilvl w:val="1"/>
          <w:numId w:val="1039"/>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1"/>
          <w:numId w:val="1039"/>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9"/>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9"/>
        </w:numPr>
        <w:pStyle w:val="Compact"/>
      </w:pPr>
      <w:r>
        <w:t xml:space="preserve">Start your C-MOOR LearnR container by clicking on its name.</w:t>
      </w:r>
    </w:p>
    <w:p>
      <w:pPr>
        <w:numPr>
          <w:ilvl w:val="0"/>
          <w:numId w:val="1038"/>
        </w:numPr>
        <w:pStyle w:val="Compact"/>
      </w:pPr>
      <w:r>
        <w:t xml:space="preserve">Click on the module chosen by your instructor. The tutorial will open in a new tab.</w:t>
      </w:r>
    </w:p>
    <w:p>
      <w:pPr>
        <w:numPr>
          <w:ilvl w:val="0"/>
          <w:numId w:val="1038"/>
        </w:numPr>
        <w:pStyle w:val="Compact"/>
      </w:pPr>
      <w:r>
        <w:t xml:space="preserve">Complete the tutorial.</w:t>
      </w:r>
    </w:p>
    <w:bookmarkEnd w:id="72"/>
    <w:bookmarkStart w:id="77" w:name="Xe94b27ae2a879111c4fad30bea4fb2e46adfcd9"/>
    <w:p>
      <w:pPr>
        <w:pStyle w:val="Heading3"/>
      </w:pPr>
      <w:r>
        <w:rPr>
          <w:rStyle w:val="SectionNumber"/>
        </w:rPr>
        <w:t xml:space="preserve">2.2.3</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if any updates are made to the C-MOOR LearnR container,</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w:t>
      </w:r>
    </w:p>
    <w:p>
      <w:pPr>
        <w:pStyle w:val="BodyText"/>
      </w:pPr>
      <w:r>
        <w:t xml:space="preserve">To delete a container:</w:t>
      </w:r>
    </w:p>
    <w:p>
      <w:pPr>
        <w:numPr>
          <w:ilvl w:val="0"/>
          <w:numId w:val="1040"/>
        </w:numPr>
        <w:pStyle w:val="Compact"/>
      </w:pPr>
      <w:r>
        <w:t xml:space="preserve">If you’re not there already, go to the SciServer compute page.</w:t>
      </w:r>
    </w:p>
    <w:p>
      <w:pPr>
        <w:numPr>
          <w:ilvl w:val="1"/>
          <w:numId w:val="1041"/>
        </w:numPr>
        <w:pStyle w:val="Compact"/>
      </w:pPr>
      <w:r>
        <w:t xml:space="preserve">Open</w:t>
      </w:r>
      <w:r>
        <w:t xml:space="preserve"> </w:t>
      </w:r>
      <w:hyperlink r:id="rId58">
        <w:r>
          <w:rPr>
            <w:rStyle w:val="Hyperlink"/>
          </w:rPr>
          <w:t xml:space="preserve">sciserver.org</w:t>
        </w:r>
      </w:hyperlink>
      <w:r>
        <w:t xml:space="preserve"> </w:t>
      </w:r>
      <w:r>
        <w:t xml:space="preserve">in a web browser and log in to your account.</w:t>
      </w:r>
    </w:p>
    <w:p>
      <w:pPr>
        <w:numPr>
          <w:ilvl w:val="1"/>
          <w:numId w:val="104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41"/>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0"/>
          <w:numId w:val="1040"/>
        </w:numPr>
        <w:pStyle w:val="Compact"/>
      </w:pPr>
      <w:r>
        <w:t xml:space="preserve">Find the container you want to delete.</w:t>
      </w:r>
    </w:p>
    <w:p>
      <w:pPr>
        <w:numPr>
          <w:ilvl w:val="0"/>
          <w:numId w:val="1040"/>
        </w:numPr>
        <w:pStyle w:val="Compact"/>
      </w:pPr>
      <w:r>
        <w:t xml:space="preserve">Click on the red</w:t>
      </w:r>
      <w:r>
        <w:t xml:space="preserve"> </w:t>
      </w:r>
      <w:r>
        <w:t xml:space="preserve">“</w:t>
      </w:r>
      <w:r>
        <w:t xml:space="preserve">X</w:t>
      </w:r>
      <w:r>
        <w:t xml:space="preserve">”</w:t>
      </w:r>
      <w:r>
        <w:t xml:space="preserve"> </w:t>
      </w:r>
      <w:r>
        <w:t xml:space="preserve">in the last column.</w:t>
      </w:r>
    </w:p>
    <w:p>
      <w:pPr>
        <w:pStyle w:val="FirstParagraph"/>
      </w:pPr>
    </w:p>
    <w:bookmarkStart w:id="73" w:name="footnotes-1"/>
    <w:p>
      <w:pPr>
        <w:pStyle w:val="Heading4"/>
      </w:pPr>
      <w:r>
        <w:rPr>
          <w:rStyle w:val="SectionNumber"/>
        </w:rPr>
        <w:t xml:space="preserve">2.2.3.1</w:t>
      </w:r>
      <w:r>
        <w:tab/>
      </w:r>
      <w:r>
        <w:t xml:space="preserve">Footnotes</w:t>
      </w:r>
    </w:p>
    <w:bookmarkEnd w:id="73"/>
    <w:bookmarkStart w:id="75" w:name="resources"/>
    <w:p>
      <w:pPr>
        <w:pStyle w:val="Heading4"/>
      </w:pPr>
      <w:r>
        <w:rPr>
          <w:rStyle w:val="SectionNumber"/>
        </w:rPr>
        <w:t xml:space="preserve">2.2.3.2</w:t>
      </w:r>
      <w:r>
        <w:tab/>
      </w:r>
      <w:r>
        <w:t xml:space="preserve">Resources</w:t>
      </w:r>
    </w:p>
    <w:p>
      <w:pPr>
        <w:numPr>
          <w:ilvl w:val="0"/>
          <w:numId w:val="1042"/>
        </w:numPr>
        <w:pStyle w:val="Compact"/>
      </w:pPr>
      <w:hyperlink r:id="rId58">
        <w:r>
          <w:rPr>
            <w:rStyle w:val="Hyperlink"/>
          </w:rPr>
          <w:t xml:space="preserve">sciserver.org</w:t>
        </w:r>
      </w:hyperlink>
    </w:p>
    <w:p>
      <w:pPr>
        <w:numPr>
          <w:ilvl w:val="0"/>
          <w:numId w:val="1042"/>
        </w:numPr>
        <w:pStyle w:val="Compact"/>
      </w:pPr>
      <w:hyperlink r:id="rId74">
        <w:r>
          <w:rPr>
            <w:rStyle w:val="Hyperlink"/>
          </w:rPr>
          <w:t xml:space="preserve">Get help with SciServer on the C-MOOR Discourse</w:t>
        </w:r>
      </w:hyperlink>
    </w:p>
    <w:bookmarkEnd w:id="75"/>
    <w:bookmarkStart w:id="76" w:name="contributions-and-affiliations-1"/>
    <w:p>
      <w:pPr>
        <w:pStyle w:val="Heading4"/>
      </w:pPr>
      <w:r>
        <w:rPr>
          <w:rStyle w:val="SectionNumber"/>
        </w:rPr>
        <w:t xml:space="preserve">2.2.3.3</w:t>
      </w:r>
      <w:r>
        <w:tab/>
      </w:r>
      <w:r>
        <w:t xml:space="preserve">Contributions and Affiliations</w:t>
      </w:r>
    </w:p>
    <w:p>
      <w:pPr>
        <w:numPr>
          <w:ilvl w:val="0"/>
          <w:numId w:val="1043"/>
        </w:numPr>
        <w:pStyle w:val="Compact"/>
      </w:pPr>
      <w:r>
        <w:t xml:space="preserve">Katherine Cox, Johns Hopkins University</w:t>
      </w:r>
    </w:p>
    <w:p>
      <w:pPr>
        <w:numPr>
          <w:ilvl w:val="0"/>
          <w:numId w:val="1043"/>
        </w:numPr>
        <w:pStyle w:val="Compact"/>
      </w:pPr>
      <w:r>
        <w:t xml:space="preserve">Frederick Tan, Carnegie Institution</w:t>
      </w:r>
    </w:p>
    <w:p>
      <w:pPr>
        <w:pStyle w:val="FirstParagraph"/>
      </w:pPr>
      <w:r>
        <w:t xml:space="preserve">Last Revised: May 13, 2021</w:t>
      </w:r>
    </w:p>
    <w:bookmarkEnd w:id="76"/>
    <w:bookmarkEnd w:id="77"/>
    <w:bookmarkEnd w:id="78"/>
    <w:bookmarkEnd w:id="79"/>
    <w:bookmarkStart w:id="115" w:name="scientific-literature"/>
    <w:p>
      <w:pPr>
        <w:pStyle w:val="Heading1"/>
      </w:pPr>
      <w:r>
        <w:rPr>
          <w:rStyle w:val="SectionNumber"/>
        </w:rPr>
        <w:t xml:space="preserve">3</w:t>
      </w:r>
      <w:r>
        <w:tab/>
      </w:r>
      <w:r>
        <w:t xml:space="preserve">Scientific Literature</w:t>
      </w:r>
    </w:p>
    <w:bookmarkStart w:id="93" w:name="pre-lab---scientific-literature"/>
    <w:p>
      <w:pPr>
        <w:pStyle w:val="Heading2"/>
      </w:pPr>
      <w:r>
        <w:rPr>
          <w:rStyle w:val="SectionNumber"/>
        </w:rPr>
        <w:t xml:space="preserve">3.1</w:t>
      </w:r>
      <w:r>
        <w:tab/>
      </w:r>
      <w:r>
        <w:t xml:space="preserve">Pre-lab - Scientific literature</w:t>
      </w:r>
    </w:p>
    <w:p>
      <w:pPr>
        <w:pStyle w:val="FirstParagraph"/>
      </w:pPr>
      <w:r>
        <w:drawing>
          <wp:inline>
            <wp:extent cx="5334000" cy="3000375"/>
            <wp:effectExtent b="0" l="0" r="0" t="0"/>
            <wp:docPr descr="" title="" id="81" name="Picture"/>
            <a:graphic>
              <a:graphicData uri="http://schemas.openxmlformats.org/drawingml/2006/picture">
                <pic:pic>
                  <pic:nvPicPr>
                    <pic:cNvPr descr="resources/images/scientific-literature_files/figure-docx//1dEZtb0TgLbzhbr3HxQElwg8hENur2HMIzseg19OGd0g_g33d73503c03_0_51.png" id="82" name="Picture"/>
                    <pic:cNvPicPr>
                      <a:picLocks noChangeArrowheads="1" noChangeAspect="1"/>
                    </pic:cNvPicPr>
                  </pic:nvPicPr>
                  <pic:blipFill>
                    <a:blip r:embed="rId80"/>
                    <a:stretch>
                      <a:fillRect/>
                    </a:stretch>
                  </pic:blipFill>
                  <pic:spPr bwMode="auto">
                    <a:xfrm>
                      <a:off x="0" y="0"/>
                      <a:ext cx="5334000" cy="3000375"/>
                    </a:xfrm>
                    <a:prstGeom prst="rect">
                      <a:avLst/>
                    </a:prstGeom>
                    <a:noFill/>
                    <a:ln w="9525">
                      <a:noFill/>
                      <a:headEnd/>
                      <a:tailEnd/>
                    </a:ln>
                  </pic:spPr>
                </pic:pic>
              </a:graphicData>
            </a:graphic>
          </wp:inline>
        </w:drawing>
      </w:r>
    </w:p>
    <w:bookmarkStart w:id="83" w:name="purpose-4"/>
    <w:p>
      <w:pPr>
        <w:pStyle w:val="Heading3"/>
      </w:pPr>
      <w:r>
        <w:rPr>
          <w:rStyle w:val="SectionNumber"/>
        </w:rPr>
        <w:t xml:space="preserve">3.1.1</w:t>
      </w:r>
      <w:r>
        <w:tab/>
      </w:r>
      <w:r>
        <w:t xml:space="preserve">Purpose</w:t>
      </w:r>
    </w:p>
    <w:p>
      <w:pPr>
        <w:pStyle w:val="FirstParagraph"/>
      </w:pPr>
      <w:r>
        <w:t xml:space="preserve">We’ve all heard the saying. The best way to learn is by doing. So, let’s jump right in and read a science paper! As you read through the paper, keep in mind that</w:t>
      </w:r>
      <w:r>
        <w:t xml:space="preserve"> </w:t>
      </w:r>
      <w:r>
        <w:rPr>
          <w:bCs/>
          <w:b/>
        </w:rPr>
        <w:t xml:space="preserve">you are not expected to understand everything the first time through</w:t>
      </w:r>
      <w:r>
        <w:t xml:space="preserve">. We will go through the paper in detail in the lab.</w:t>
      </w:r>
    </w:p>
    <w:p>
      <w:pPr>
        <w:pStyle w:val="BodyText"/>
      </w:pPr>
      <w:r>
        <w:t xml:space="preserve">Reading this paper will give us a first taste of scientific literature and start familiarizing ourselves with the 16S rRNA analyses you will complete as a part of your research project.</w:t>
      </w:r>
    </w:p>
    <w:bookmarkEnd w:id="83"/>
    <w:bookmarkStart w:id="84" w:name="grading-criteria"/>
    <w:p>
      <w:pPr>
        <w:pStyle w:val="Heading3"/>
      </w:pPr>
      <w:r>
        <w:rPr>
          <w:rStyle w:val="SectionNumber"/>
        </w:rPr>
        <w:t xml:space="preserve">3.1.2</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84"/>
    <w:bookmarkStart w:id="88" w:name="activity"/>
    <w:p>
      <w:pPr>
        <w:pStyle w:val="Heading3"/>
      </w:pPr>
      <w:r>
        <w:rPr>
          <w:rStyle w:val="SectionNumber"/>
        </w:rPr>
        <w:t xml:space="preserve">3.1.3</w:t>
      </w:r>
      <w:r>
        <w:tab/>
      </w:r>
      <w:r>
        <w:t xml:space="preserve">Activity</w:t>
      </w:r>
    </w:p>
    <w:p>
      <w:pPr>
        <w:pStyle w:val="FirstParagraph"/>
      </w:pPr>
      <w:r>
        <w:rPr>
          <w:iCs/>
          <w:i/>
        </w:rPr>
        <w:t xml:space="preserve">Estimated time: 30 minutes</w:t>
      </w:r>
    </w:p>
    <w:bookmarkStart w:id="86" w:name="instructions"/>
    <w:p>
      <w:pPr>
        <w:pStyle w:val="Heading4"/>
      </w:pPr>
      <w:r>
        <w:rPr>
          <w:rStyle w:val="SectionNumber"/>
        </w:rPr>
        <w:t xml:space="preserve">3.1.3.1</w:t>
      </w:r>
      <w:r>
        <w:tab/>
      </w:r>
      <w:r>
        <w:t xml:space="preserve">Instructions</w:t>
      </w:r>
    </w:p>
    <w:p>
      <w:pPr>
        <w:pStyle w:val="FirstParagraph"/>
      </w:pPr>
      <w:r>
        <w:t xml:space="preserve">Read the paper</w:t>
      </w:r>
      <w:r>
        <w:t xml:space="preserve"> </w:t>
      </w:r>
      <w:hyperlink r:id="rId85">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r>
        <w:t xml:space="preserve"> </w:t>
      </w:r>
      <w:r>
        <w:t xml:space="preserve">and answer the following questions.</w:t>
      </w:r>
    </w:p>
    <w:bookmarkEnd w:id="86"/>
    <w:bookmarkStart w:id="87" w:name="questions"/>
    <w:p>
      <w:pPr>
        <w:pStyle w:val="Heading4"/>
      </w:pPr>
      <w:r>
        <w:rPr>
          <w:rStyle w:val="SectionNumber"/>
        </w:rPr>
        <w:t xml:space="preserve">3.1.3.2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87"/>
    <w:bookmarkEnd w:id="88"/>
    <w:bookmarkStart w:id="92" w:name="footnotes-2"/>
    <w:p>
      <w:pPr>
        <w:pStyle w:val="Heading3"/>
      </w:pPr>
      <w:r>
        <w:rPr>
          <w:rStyle w:val="SectionNumber"/>
        </w:rPr>
        <w:t xml:space="preserve">3.1.4</w:t>
      </w:r>
      <w:r>
        <w:tab/>
      </w:r>
      <w:r>
        <w:t xml:space="preserve">Footnotes</w:t>
      </w:r>
    </w:p>
    <w:bookmarkStart w:id="90" w:name="resources-1"/>
    <w:p>
      <w:pPr>
        <w:pStyle w:val="Heading4"/>
      </w:pPr>
      <w:r>
        <w:rPr>
          <w:rStyle w:val="SectionNumber"/>
        </w:rPr>
        <w:t xml:space="preserve">3.1.4.1</w:t>
      </w:r>
      <w:r>
        <w:tab/>
      </w:r>
      <w:r>
        <w:t xml:space="preserve">Resources</w:t>
      </w:r>
    </w:p>
    <w:p>
      <w:pPr>
        <w:numPr>
          <w:ilvl w:val="0"/>
          <w:numId w:val="1044"/>
        </w:numPr>
      </w:pPr>
      <w:hyperlink r:id="rId89">
        <w:r>
          <w:rPr>
            <w:rStyle w:val="Hyperlink"/>
          </w:rPr>
          <w:t xml:space="preserve">Google Doc</w:t>
        </w:r>
      </w:hyperlink>
    </w:p>
    <w:p>
      <w:pPr>
        <w:numPr>
          <w:ilvl w:val="0"/>
          <w:numId w:val="1044"/>
        </w:numPr>
      </w:pPr>
      <w:hyperlink r:id="rId85">
        <w:r>
          <w:rPr>
            <w:rStyle w:val="Hyperlink"/>
          </w:rPr>
          <w:t xml:space="preserve">Paper</w:t>
        </w:r>
      </w:hyperlink>
    </w:p>
    <w:bookmarkEnd w:id="90"/>
    <w:bookmarkStart w:id="91" w:name="contributions-and-affiliations-2"/>
    <w:p>
      <w:pPr>
        <w:pStyle w:val="Heading4"/>
      </w:pPr>
      <w:r>
        <w:rPr>
          <w:rStyle w:val="SectionNumber"/>
        </w:rPr>
        <w:t xml:space="preserve">3.1.4.2</w:t>
      </w:r>
      <w:r>
        <w:tab/>
      </w:r>
      <w:r>
        <w:t xml:space="preserve">Contributions and affiliations</w:t>
      </w:r>
    </w:p>
    <w:p>
      <w:pPr>
        <w:numPr>
          <w:ilvl w:val="0"/>
          <w:numId w:val="1045"/>
        </w:numPr>
        <w:pStyle w:val="Compact"/>
      </w:pPr>
      <w:r>
        <w:t xml:space="preserve">Valeriya Gaysinskaya, Johns Hopkins University</w:t>
      </w:r>
    </w:p>
    <w:p>
      <w:pPr>
        <w:numPr>
          <w:ilvl w:val="0"/>
          <w:numId w:val="1045"/>
        </w:numPr>
        <w:pStyle w:val="Compact"/>
      </w:pPr>
      <w:r>
        <w:t xml:space="preserve">Frederick Tan, Johns Hopkins University</w:t>
      </w:r>
    </w:p>
    <w:p>
      <w:pPr>
        <w:numPr>
          <w:ilvl w:val="0"/>
          <w:numId w:val="1045"/>
        </w:numPr>
        <w:pStyle w:val="Compact"/>
      </w:pPr>
      <w:r>
        <w:t xml:space="preserve">Katherine Cox, Johns Hopkins University</w:t>
      </w:r>
    </w:p>
    <w:p>
      <w:pPr>
        <w:numPr>
          <w:ilvl w:val="0"/>
          <w:numId w:val="1045"/>
        </w:numPr>
        <w:pStyle w:val="Compact"/>
      </w:pPr>
      <w:r>
        <w:t xml:space="preserve">Sayumi York, Notre Dame of Maryland University</w:t>
      </w:r>
    </w:p>
    <w:p>
      <w:pPr>
        <w:numPr>
          <w:ilvl w:val="0"/>
          <w:numId w:val="1045"/>
        </w:numPr>
        <w:pStyle w:val="Compact"/>
      </w:pPr>
      <w:r>
        <w:t xml:space="preserve">Stephanie Coffman, Clovis Community College</w:t>
      </w:r>
    </w:p>
    <w:p>
      <w:pPr>
        <w:numPr>
          <w:ilvl w:val="0"/>
          <w:numId w:val="1045"/>
        </w:numPr>
        <w:pStyle w:val="Compact"/>
      </w:pPr>
      <w:r>
        <w:t xml:space="preserve">Rosa Alcazar, Clovis Community College</w:t>
      </w:r>
    </w:p>
    <w:bookmarkEnd w:id="91"/>
    <w:bookmarkEnd w:id="92"/>
    <w:bookmarkEnd w:id="93"/>
    <w:bookmarkStart w:id="98" w:name="lecture---reading-a-paper"/>
    <w:p>
      <w:pPr>
        <w:pStyle w:val="Heading2"/>
      </w:pPr>
      <w:r>
        <w:rPr>
          <w:rStyle w:val="SectionNumber"/>
        </w:rPr>
        <w:t xml:space="preserve">3.2</w:t>
      </w:r>
      <w:r>
        <w:tab/>
      </w:r>
      <w:r>
        <w:t xml:space="preserve">Lecture - Reading a paper</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95" name="Picture"/>
            <a:graphic>
              <a:graphicData uri="http://schemas.openxmlformats.org/drawingml/2006/picture">
                <pic:pic>
                  <pic:nvPicPr>
                    <pic:cNvPr descr="resources/images/scientific-literature_files/figure-docx//1mibD1XUpgRZcDPbYj5XOMUASuScuJoUBVV7RkT5nnSc_g36d36570436_0_413.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Lecture</w:t>
        </w:r>
      </w:hyperlink>
    </w:p>
    <w:bookmarkEnd w:id="98"/>
    <w:bookmarkStart w:id="114" w:name="activity---scientific-literature"/>
    <w:p>
      <w:pPr>
        <w:pStyle w:val="Heading2"/>
      </w:pPr>
      <w:r>
        <w:rPr>
          <w:rStyle w:val="SectionNumber"/>
        </w:rPr>
        <w:t xml:space="preserve">3.3</w:t>
      </w:r>
      <w:r>
        <w:tab/>
      </w:r>
      <w:r>
        <w:t xml:space="preserve">Activity - Scientific Literature</w:t>
      </w:r>
    </w:p>
    <w:bookmarkStart w:id="99" w:name="purpose-5"/>
    <w:p>
      <w:pPr>
        <w:pStyle w:val="Heading3"/>
      </w:pPr>
      <w:r>
        <w:rPr>
          <w:rStyle w:val="SectionNumber"/>
        </w:rPr>
        <w:t xml:space="preserve">3.3.1</w:t>
      </w:r>
      <w:r>
        <w:tab/>
      </w:r>
      <w:r>
        <w:t xml:space="preserve">Purpose</w:t>
      </w:r>
    </w:p>
    <w:p>
      <w:pPr>
        <w:pStyle w:val="FirstParagraph"/>
      </w:pPr>
      <w:r>
        <w:t xml:space="preserve">Examine research where a 16S rRNA-based approach is used to compare metagenomic diversity in children with Clostridioides difficile infection (CDI), before and after fecal microbiota transplantation (FMT) by reading:</w:t>
      </w:r>
      <w:r>
        <w:t xml:space="preserve"> </w:t>
      </w:r>
      <w:hyperlink r:id="rId85">
        <w:r>
          <w:rPr>
            <w:rStyle w:val="Hyperlink"/>
          </w:rPr>
          <w:t xml:space="preserve">“</w:t>
        </w:r>
        <w:r>
          <w:rPr>
            <w:rStyle w:val="Hyperlink"/>
          </w:rPr>
          <w:t xml:space="preserve">Fecal transplant in children with Clostridioides difficile gives sustained reduction in antimicrobial resistance and potential pathogen burden</w:t>
        </w:r>
        <w:r>
          <w:rPr>
            <w:rStyle w:val="Hyperlink"/>
          </w:rPr>
          <w:t xml:space="preserve">”</w:t>
        </w:r>
        <w:r>
          <w:rPr>
            <w:rStyle w:val="Hyperlink"/>
          </w:rPr>
          <w:t xml:space="preserve"> </w:t>
        </w:r>
        <w:r>
          <w:rPr>
            <w:rStyle w:val="Hyperlink"/>
          </w:rPr>
          <w:t xml:space="preserve">by Hourigan et al. (2019)</w:t>
        </w:r>
      </w:hyperlink>
    </w:p>
    <w:bookmarkEnd w:id="99"/>
    <w:bookmarkStart w:id="100" w:name="learning-objectives-4"/>
    <w:p>
      <w:pPr>
        <w:pStyle w:val="Heading3"/>
      </w:pPr>
      <w:r>
        <w:rPr>
          <w:rStyle w:val="SectionNumber"/>
        </w:rPr>
        <w:t xml:space="preserve">3.3.2</w:t>
      </w:r>
      <w:r>
        <w:tab/>
      </w:r>
      <w:r>
        <w:t xml:space="preserve">Learning Objectives</w:t>
      </w:r>
    </w:p>
    <w:p>
      <w:pPr>
        <w:numPr>
          <w:ilvl w:val="0"/>
          <w:numId w:val="1046"/>
        </w:numPr>
        <w:pStyle w:val="Compact"/>
      </w:pPr>
      <w:r>
        <w:t xml:space="preserve">Understand the purpose and experimental setup of the paper</w:t>
      </w:r>
    </w:p>
    <w:p>
      <w:pPr>
        <w:numPr>
          <w:ilvl w:val="0"/>
          <w:numId w:val="1046"/>
        </w:numPr>
        <w:pStyle w:val="Compact"/>
      </w:pPr>
      <w:r>
        <w:t xml:space="preserve">Understand the presented evidence (Figures and Tables) of the paper</w:t>
      </w:r>
    </w:p>
    <w:bookmarkEnd w:id="100"/>
    <w:bookmarkStart w:id="101" w:name="introduction-2"/>
    <w:p>
      <w:pPr>
        <w:pStyle w:val="Heading3"/>
      </w:pPr>
      <w:r>
        <w:rPr>
          <w:rStyle w:val="SectionNumber"/>
        </w:rPr>
        <w:t xml:space="preserve">3.3.3</w:t>
      </w:r>
      <w:r>
        <w:tab/>
      </w:r>
      <w:r>
        <w:t xml:space="preserve">Introduction</w:t>
      </w:r>
    </w:p>
    <w:p>
      <w:pPr>
        <w:pStyle w:val="FirstParagraph"/>
      </w:pPr>
      <w:r>
        <w:t xml:space="preserve">In this study, the effect of fecal transplantation on microbial composition and diversity in children with CDI is examined using short read shotgun metagenomics. Data visualization and taxonomic comparison between the samples was performed using R-based phyloseq, a tool you will use for 16S rDNA amplicon-seq analysis later in the course. Using phyloseq authors measure alpha diversity between samples, examine beta diversity with Principal Coordinate Analysis(PCoA) plots and use taxonomy barplots for comparing relative abundance of microbes.</w:t>
      </w:r>
    </w:p>
    <w:bookmarkEnd w:id="101"/>
    <w:bookmarkStart w:id="102" w:name="instructions-1"/>
    <w:p>
      <w:pPr>
        <w:pStyle w:val="Heading3"/>
      </w:pPr>
      <w:r>
        <w:rPr>
          <w:rStyle w:val="SectionNumber"/>
        </w:rPr>
        <w:t xml:space="preserve">3.3.4</w:t>
      </w:r>
      <w:r>
        <w:tab/>
      </w:r>
      <w:r>
        <w:t xml:space="preserve">Instructions</w:t>
      </w:r>
    </w:p>
    <w:p>
      <w:pPr>
        <w:pStyle w:val="FirstParagraph"/>
      </w:pPr>
      <w:r>
        <w:t xml:space="preserve">Based on the study, answer the following questions. The main text of the paper can be found below, in the</w:t>
      </w:r>
      <w:r>
        <w:t xml:space="preserve"> </w:t>
      </w:r>
      <w:r>
        <w:t xml:space="preserve">‘</w:t>
      </w:r>
      <w:r>
        <w:t xml:space="preserve">Resources</w:t>
      </w:r>
      <w:r>
        <w:t xml:space="preserve">’</w:t>
      </w:r>
      <w:r>
        <w:t xml:space="preserve"> </w:t>
      </w:r>
      <w:r>
        <w:t xml:space="preserve">section of this assignment.</w:t>
      </w:r>
    </w:p>
    <w:bookmarkEnd w:id="102"/>
    <w:bookmarkStart w:id="103" w:name="activity-1---overview-of-the-paper"/>
    <w:p>
      <w:pPr>
        <w:pStyle w:val="Heading3"/>
      </w:pPr>
      <w:r>
        <w:rPr>
          <w:rStyle w:val="SectionNumber"/>
        </w:rPr>
        <w:t xml:space="preserve">3.3.5</w:t>
      </w:r>
      <w:r>
        <w:tab/>
      </w:r>
      <w:r>
        <w:t xml:space="preserve">Activity 1 - Overview of the paper</w:t>
      </w:r>
    </w:p>
    <w:p>
      <w:pPr>
        <w:pStyle w:val="FirstParagraph"/>
      </w:pPr>
      <w:r>
        <w:rPr>
          <w:iCs/>
          <w:i/>
        </w:rPr>
        <w:t xml:space="preserve">Estimated time: 30 minutes</w:t>
      </w:r>
      <w:r>
        <w:t xml:space="preserve"> </w:t>
      </w:r>
      <w:r>
        <w:t xml:space="preserve">Determine the main objectives and purpose of the paper.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purpose of this study?</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hypothesis in this study?</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What were the main conclusions the authors made in this study?</w:t>
            </w:r>
          </w:p>
        </w:tc>
      </w:tr>
      <w:tr>
        <w:tc>
          <w:tcPr/>
          <w:p>
            <w:pPr>
              <w:pStyle w:val="Compact"/>
              <w:jc w:val="left"/>
            </w:pPr>
          </w:p>
        </w:tc>
      </w:tr>
    </w:tbl>
    <w:p>
      <w:pPr>
        <w:pStyle w:val="BodyText"/>
      </w:pPr>
    </w:p>
    <w:bookmarkEnd w:id="103"/>
    <w:bookmarkStart w:id="108" w:name="X79a1c5953bce93f527c577d09a31e174a0dca84"/>
    <w:p>
      <w:pPr>
        <w:pStyle w:val="Heading3"/>
      </w:pPr>
      <w:r>
        <w:rPr>
          <w:rStyle w:val="SectionNumber"/>
        </w:rPr>
        <w:t xml:space="preserve">3.3.6</w:t>
      </w:r>
      <w:r>
        <w:tab/>
      </w:r>
      <w:r>
        <w:t xml:space="preserve">Activity 2 - Methods and Figure Analysis (in class and homework)</w:t>
      </w:r>
    </w:p>
    <w:p>
      <w:pPr>
        <w:pStyle w:val="FirstParagraph"/>
      </w:pPr>
      <w:r>
        <w:rPr>
          <w:iCs/>
          <w:i/>
        </w:rPr>
        <w:t xml:space="preserve">Estimated time: 45 minutes</w:t>
      </w:r>
    </w:p>
    <w:bookmarkStart w:id="104" w:name="X4d2dd1c27837ce92fb39d1b5ac256ed44ba63dd"/>
    <w:p>
      <w:pPr>
        <w:pStyle w:val="Heading4"/>
      </w:pPr>
      <w:r>
        <w:rPr>
          <w:rStyle w:val="SectionNumber"/>
        </w:rPr>
        <w:t xml:space="preserve">3.3.6.1</w:t>
      </w:r>
      <w:r>
        <w:tab/>
      </w:r>
      <w:r>
        <w:t xml:space="preserve">Activity 2.1 – Examine the Methods and Data presented in this study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Summarize one aspect of sample-associated metadata used for this study? e.g. What is the range of subjects’ age; what is the spectrum of subjects’ medical problems?</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Discuss one method or analysis used in this paper.</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Summarize one figure presented in this paper.</w:t>
            </w:r>
          </w:p>
        </w:tc>
      </w:tr>
      <w:tr>
        <w:tc>
          <w:tcPr/>
          <w:p>
            <w:pPr>
              <w:pStyle w:val="Compact"/>
              <w:jc w:val="left"/>
            </w:pPr>
          </w:p>
        </w:tc>
      </w:tr>
    </w:tbl>
    <w:p>
      <w:pPr>
        <w:pStyle w:val="BodyText"/>
      </w:pPr>
    </w:p>
    <w:bookmarkEnd w:id="104"/>
    <w:bookmarkStart w:id="105" w:name="activity-2.2---figures-and-a-table"/>
    <w:p>
      <w:pPr>
        <w:pStyle w:val="Heading4"/>
      </w:pPr>
      <w:r>
        <w:rPr>
          <w:rStyle w:val="SectionNumber"/>
        </w:rPr>
        <w:t xml:space="preserve">3.3.6.2</w:t>
      </w:r>
      <w:r>
        <w:tab/>
      </w:r>
      <w:r>
        <w:t xml:space="preserve">Activity 2.2 - Figures and a Table</w:t>
      </w:r>
    </w:p>
    <w:p>
      <w:pPr>
        <w:pStyle w:val="FirstParagraph"/>
      </w:pPr>
      <w:r>
        <w:rPr>
          <w:bCs/>
          <w:b/>
        </w:rPr>
        <w:t xml:space="preserve">Describe the method/approach used to generate this data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Method/Approach</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p>
      <w:pPr>
        <w:pStyle w:val="BodyText"/>
      </w:pPr>
      <w:r>
        <w:rPr>
          <w:bCs/>
          <w:b/>
        </w:rPr>
        <w:t xml:space="preserve">Describe the main result/observation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jc w:val="right"/>
            </w:pPr>
            <w:r>
              <w:t xml:space="preserve">Main result/Observation</w:t>
            </w:r>
          </w:p>
        </w:tc>
      </w:tr>
      <w:tr>
        <w:tc>
          <w:tcPr/>
          <w:p>
            <w:pPr>
              <w:pStyle w:val="Compact"/>
              <w:jc w:val="left"/>
            </w:pPr>
            <w:r>
              <w:t xml:space="preserve">Table 1</w:t>
            </w:r>
          </w:p>
        </w:tc>
        <w:tc>
          <w:tcPr/>
          <w:p>
            <w:pPr>
              <w:pStyle w:val="Compact"/>
            </w:pPr>
          </w:p>
        </w:tc>
      </w:tr>
      <w:tr>
        <w:tc>
          <w:tcPr/>
          <w:p>
            <w:pPr>
              <w:pStyle w:val="Compact"/>
              <w:jc w:val="left"/>
            </w:pPr>
            <w:r>
              <w:t xml:space="preserve">Fig. 2</w:t>
            </w:r>
          </w:p>
        </w:tc>
        <w:tc>
          <w:tcPr/>
          <w:p>
            <w:pPr>
              <w:pStyle w:val="Compact"/>
            </w:pPr>
          </w:p>
        </w:tc>
      </w:tr>
      <w:tr>
        <w:tc>
          <w:tcPr/>
          <w:p>
            <w:pPr>
              <w:pStyle w:val="Compact"/>
              <w:jc w:val="left"/>
            </w:pPr>
            <w:r>
              <w:t xml:space="preserve">Fig. 3A</w:t>
            </w:r>
          </w:p>
        </w:tc>
        <w:tc>
          <w:tcPr/>
          <w:p>
            <w:pPr>
              <w:pStyle w:val="Compact"/>
            </w:pPr>
          </w:p>
        </w:tc>
      </w:tr>
      <w:tr>
        <w:tc>
          <w:tcPr/>
          <w:p>
            <w:pPr>
              <w:pStyle w:val="Compact"/>
              <w:jc w:val="left"/>
            </w:pPr>
            <w:r>
              <w:t xml:space="preserve">Fig. 3B</w:t>
            </w:r>
          </w:p>
        </w:tc>
        <w:tc>
          <w:tcPr/>
          <w:p>
            <w:pPr>
              <w:pStyle w:val="Compact"/>
            </w:pPr>
          </w:p>
        </w:tc>
      </w:tr>
    </w:tbl>
    <w:p>
      <w:pPr>
        <w:pStyle w:val="BodyText"/>
      </w:pPr>
    </w:p>
    <w:bookmarkEnd w:id="105"/>
    <w:bookmarkStart w:id="106" w:name="activity-3-conclusions"/>
    <w:p>
      <w:pPr>
        <w:pStyle w:val="Heading4"/>
      </w:pPr>
      <w:r>
        <w:rPr>
          <w:rStyle w:val="SectionNumber"/>
        </w:rPr>
        <w:t xml:space="preserve">3.3.6.3</w:t>
      </w:r>
      <w:r>
        <w:tab/>
      </w:r>
      <w:r>
        <w:t xml:space="preserve">Activity 3 Conclusions</w:t>
      </w:r>
    </w:p>
    <w:p>
      <w:pPr>
        <w:pStyle w:val="FirstParagraph"/>
      </w:pPr>
      <w:r>
        <w:rPr>
          <w:iCs/>
          <w:i/>
        </w:rPr>
        <w:t xml:space="preserve">Estimated time: 10 min</w:t>
      </w:r>
    </w:p>
    <w:p>
      <w:pPr>
        <w:pStyle w:val="BodyText"/>
      </w:pPr>
      <w:r>
        <w:rPr>
          <w:bCs/>
          <w:b/>
        </w:rPr>
        <w:t xml:space="preserve">1. Compare your conclusions to author conclusions.</w:t>
      </w:r>
    </w:p>
    <w:p>
      <w:pPr>
        <w:numPr>
          <w:ilvl w:val="0"/>
          <w:numId w:val="1047"/>
        </w:numPr>
        <w:pStyle w:val="Compact"/>
      </w:pPr>
      <w:r>
        <w:t xml:space="preserve">How similar are the conclusions you came up with to the authors?</w:t>
      </w:r>
    </w:p>
    <w:p>
      <w:pPr>
        <w:numPr>
          <w:ilvl w:val="0"/>
          <w:numId w:val="1047"/>
        </w:numPr>
        <w:pStyle w:val="Compact"/>
      </w:pPr>
      <w:r>
        <w:t xml:space="preserve">Were there any differences in interpreting the data?</w:t>
      </w:r>
    </w:p>
    <w:p>
      <w:pPr>
        <w:numPr>
          <w:ilvl w:val="0"/>
          <w:numId w:val="1047"/>
        </w:numPr>
        <w:pStyle w:val="Compact"/>
      </w:pPr>
      <w:r>
        <w:t xml:space="preserve">Do you think they are over-stating their findings? Do you think their conclusions are accurate and appropriate?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Summarize one figure presented in this paper.</w:t>
            </w:r>
          </w:p>
        </w:tc>
      </w:tr>
      <w:tr>
        <w:tc>
          <w:tcPr/>
          <w:p>
            <w:pPr>
              <w:pStyle w:val="Compact"/>
              <w:jc w:val="left"/>
            </w:pPr>
          </w:p>
        </w:tc>
      </w:tr>
    </w:tbl>
    <w:p>
      <w:pPr>
        <w:pStyle w:val="BodyText"/>
      </w:pPr>
    </w:p>
    <w:bookmarkEnd w:id="106"/>
    <w:bookmarkStart w:id="107" w:name="activity-4-future-directions"/>
    <w:p>
      <w:pPr>
        <w:pStyle w:val="Heading4"/>
      </w:pPr>
      <w:r>
        <w:rPr>
          <w:rStyle w:val="SectionNumber"/>
        </w:rPr>
        <w:t xml:space="preserve">3.3.6.4</w:t>
      </w:r>
      <w:r>
        <w:tab/>
      </w:r>
      <w:r>
        <w:t xml:space="preserve">Activity 4 Future Directions</w:t>
      </w:r>
    </w:p>
    <w:p>
      <w:pPr>
        <w:pStyle w:val="FirstParagraph"/>
      </w:pPr>
      <w:r>
        <w:rPr>
          <w:iCs/>
          <w:i/>
        </w:rPr>
        <w:t xml:space="preserve">Estimated time: 10 min</w:t>
      </w:r>
    </w:p>
    <w:p>
      <w:pPr>
        <w:pStyle w:val="BodyText"/>
      </w:pPr>
      <w:r>
        <w:rPr>
          <w:bCs/>
          <w:b/>
        </w:rPr>
        <w:t xml:space="preserve">1. Scientific work builds on previous studies. What do you believe could be the next step to further the work these researchers did?</w:t>
      </w:r>
      <w:r>
        <w:t xml:space="preserve"> </w:t>
      </w:r>
      <w:r>
        <w:t xml:space="preserve">- What follow-up question(s) do you have for the authors?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2. What is the impact of this research area in general (or this study in particular?)</w:t>
      </w:r>
      <w:r>
        <w:t xml:space="preserve"> </w:t>
      </w:r>
      <w:r>
        <w:t xml:space="preserve">- Do you believe further research in this area may benefit society? Can we build on what this study found?</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07"/>
    <w:bookmarkEnd w:id="108"/>
    <w:bookmarkStart w:id="109" w:name="grading-criteria-1"/>
    <w:p>
      <w:pPr>
        <w:pStyle w:val="Heading3"/>
      </w:pPr>
      <w:r>
        <w:rPr>
          <w:rStyle w:val="SectionNumber"/>
        </w:rPr>
        <w:t xml:space="preserve">3.3.7</w:t>
      </w:r>
      <w:r>
        <w:tab/>
      </w:r>
      <w:r>
        <w:t xml:space="preserve">Grading criteria</w:t>
      </w:r>
    </w:p>
    <w:p>
      <w:pPr>
        <w:pStyle w:val="FirstParagraph"/>
      </w:pPr>
      <w:r>
        <w:t xml:space="preserve">Download the assignment to your local computer as a .docx, complete it, and upload the assignment to your LMS (Blackboard, Canvas, Google Classroom).</w:t>
      </w:r>
    </w:p>
    <w:bookmarkEnd w:id="109"/>
    <w:bookmarkStart w:id="113" w:name="footnotes-3"/>
    <w:p>
      <w:pPr>
        <w:pStyle w:val="Heading3"/>
      </w:pPr>
      <w:r>
        <w:rPr>
          <w:rStyle w:val="SectionNumber"/>
        </w:rPr>
        <w:t xml:space="preserve">3.3.8</w:t>
      </w:r>
      <w:r>
        <w:tab/>
      </w:r>
      <w:r>
        <w:t xml:space="preserve">Footnotes</w:t>
      </w:r>
    </w:p>
    <w:bookmarkStart w:id="111" w:name="resources-2"/>
    <w:p>
      <w:pPr>
        <w:pStyle w:val="Heading4"/>
      </w:pPr>
      <w:r>
        <w:rPr>
          <w:rStyle w:val="SectionNumber"/>
        </w:rPr>
        <w:t xml:space="preserve">3.3.8.1</w:t>
      </w:r>
      <w:r>
        <w:tab/>
      </w:r>
      <w:r>
        <w:t xml:space="preserve">Resources</w:t>
      </w:r>
    </w:p>
    <w:p>
      <w:pPr>
        <w:numPr>
          <w:ilvl w:val="0"/>
          <w:numId w:val="1048"/>
        </w:numPr>
      </w:pPr>
      <w:hyperlink r:id="rId110">
        <w:r>
          <w:rPr>
            <w:rStyle w:val="Hyperlink"/>
          </w:rPr>
          <w:t xml:space="preserve">Google Doc</w:t>
        </w:r>
      </w:hyperlink>
    </w:p>
    <w:p>
      <w:pPr>
        <w:numPr>
          <w:ilvl w:val="0"/>
          <w:numId w:val="1048"/>
        </w:numPr>
      </w:pPr>
      <w:hyperlink r:id="rId85">
        <w:r>
          <w:rPr>
            <w:rStyle w:val="Hyperlink"/>
          </w:rPr>
          <w:t xml:space="preserve">Paper</w:t>
        </w:r>
      </w:hyperlink>
    </w:p>
    <w:bookmarkEnd w:id="111"/>
    <w:bookmarkStart w:id="112" w:name="contributions-and-affiliations-3"/>
    <w:p>
      <w:pPr>
        <w:pStyle w:val="Heading4"/>
      </w:pPr>
      <w:r>
        <w:rPr>
          <w:rStyle w:val="SectionNumber"/>
        </w:rPr>
        <w:t xml:space="preserve">3.3.8.2</w:t>
      </w:r>
      <w:r>
        <w:tab/>
      </w:r>
      <w:r>
        <w:t xml:space="preserve">Contributions and affiliations</w:t>
      </w:r>
    </w:p>
    <w:p>
      <w:pPr>
        <w:numPr>
          <w:ilvl w:val="0"/>
          <w:numId w:val="1049"/>
        </w:numPr>
        <w:pStyle w:val="Compact"/>
      </w:pPr>
      <w:r>
        <w:t xml:space="preserve">Valeriya Gaysinskaya, Johns Hopkins University</w:t>
      </w:r>
    </w:p>
    <w:p>
      <w:pPr>
        <w:numPr>
          <w:ilvl w:val="0"/>
          <w:numId w:val="1049"/>
        </w:numPr>
        <w:pStyle w:val="Compact"/>
      </w:pPr>
      <w:r>
        <w:t xml:space="preserve">Frederick Tan, Johns Hopkins University</w:t>
      </w:r>
    </w:p>
    <w:p>
      <w:pPr>
        <w:numPr>
          <w:ilvl w:val="0"/>
          <w:numId w:val="1049"/>
        </w:numPr>
        <w:pStyle w:val="Compact"/>
      </w:pPr>
      <w:r>
        <w:t xml:space="preserve">Sayumi York, Notre Dame of Maryland University</w:t>
      </w:r>
    </w:p>
    <w:bookmarkEnd w:id="112"/>
    <w:bookmarkEnd w:id="113"/>
    <w:bookmarkEnd w:id="114"/>
    <w:bookmarkEnd w:id="115"/>
    <w:bookmarkStart w:id="137" w:name="meet-the-miso-study"/>
    <w:p>
      <w:pPr>
        <w:pStyle w:val="Heading1"/>
      </w:pPr>
      <w:r>
        <w:rPr>
          <w:rStyle w:val="SectionNumber"/>
        </w:rPr>
        <w:t xml:space="preserve">4</w:t>
      </w:r>
      <w:r>
        <w:tab/>
      </w:r>
      <w:r>
        <w:t xml:space="preserve">Meet the MISO study</w:t>
      </w:r>
    </w:p>
    <w:p>
      <w:pPr>
        <w:pStyle w:val="FirstParagraph"/>
      </w:pPr>
      <w:r>
        <w:t xml:space="preserve">Let’s get prepared to do some research using 16S rRNA data! In this section, we’ll be exploring data from</w:t>
      </w:r>
      <w:r>
        <w:t xml:space="preserve"> </w:t>
      </w:r>
      <w:r>
        <w:rPr>
          <w:iCs/>
          <w:i/>
        </w:rPr>
        <w:t xml:space="preserve">Impact of a 7-day homogeneous diet on interpersonal variation in human gut microbiomes and metabolomes</w:t>
      </w:r>
      <w:r>
        <w:t xml:space="preserve"> </w:t>
      </w:r>
      <w:r>
        <w:t xml:space="preserve">by Guthrie et al. (2022). This study is one of many that explores the relationship between diet and the human gut microbiome and will help familiarize us with the format that 16S rRNA data takes. We’ll start slow and look at just a few lines of data in Google Sheets and then use phyloseq and DESeq2 in R to take our analysis to the next level.</w:t>
      </w:r>
    </w:p>
    <w:p>
      <w:pPr>
        <w:pStyle w:val="BodyText"/>
      </w:pPr>
      <w:r>
        <w:t xml:space="preserve">Human diet has been implicated heavily in the establishment and maintenance of the gut microbiome [REFs]. For example, human babies undergo a drastic change in the gut microbiome following the transition to solid food [REF], and microbes that assist in the breakdown of seaweed are found in Japanese gut microbiomes.</w:t>
      </w:r>
    </w:p>
    <w:p>
      <w:pPr>
        <w:pStyle w:val="BodyText"/>
      </w:pPr>
      <w:r>
        <w:t xml:space="preserve">It’s difficult to capture the mechanisms and effects of diet on the gut microbiome given the sheer number of variables involved. The microbiome individuality and stability over time (MISO) study aimed to explore the connection between diet, microbiome, and metabolites by looking at the effect of feeding a standardized diet to people over 7 days.</w:t>
      </w:r>
    </w:p>
    <w:bookmarkStart w:id="119" w:name="miso-study-diet-and-sampling-schedule"/>
    <w:p>
      <w:pPr>
        <w:pStyle w:val="Heading3"/>
      </w:pPr>
      <w:r>
        <w:rPr>
          <w:rStyle w:val="SectionNumber"/>
        </w:rPr>
        <w:t xml:space="preserve">4.0.1</w:t>
      </w:r>
      <w:r>
        <w:tab/>
      </w:r>
      <w:r>
        <w:t xml:space="preserve">MISO study diet and sampling schedule</w:t>
      </w:r>
    </w:p>
    <w:p>
      <w:pPr>
        <w:pStyle w:val="FirstParagraph"/>
      </w:pPr>
      <w:r>
        <w:drawing>
          <wp:inline>
            <wp:extent cx="5334000" cy="3000375"/>
            <wp:effectExtent b="0" l="0" r="0" t="0"/>
            <wp:docPr descr="" title="" id="117" name="Picture"/>
            <a:graphic>
              <a:graphicData uri="http://schemas.openxmlformats.org/drawingml/2006/picture">
                <pic:pic>
                  <pic:nvPicPr>
                    <pic:cNvPr descr="resources/images/meet-MISO_files/figure-docx//1dEZtb0TgLbzhbr3HxQElwg8hENur2HMIzseg19OGd0g_g33d6fd7d4b6_0_27.png" id="118"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figure above shows the study design for the MISO study. You do not need to memorize all these details; feel free to refer to this page throughout the project:</w:t>
      </w:r>
    </w:p>
    <w:p>
      <w:pPr>
        <w:numPr>
          <w:ilvl w:val="0"/>
          <w:numId w:val="1050"/>
        </w:numPr>
        <w:pStyle w:val="Compact"/>
      </w:pPr>
      <w:r>
        <w:t xml:space="preserve">Participants eat their usual,</w:t>
      </w:r>
      <w:r>
        <w:t xml:space="preserve"> </w:t>
      </w:r>
      <w:r>
        <w:rPr>
          <w:bCs/>
          <w:b/>
        </w:rPr>
        <w:t xml:space="preserve">baseline diet (BD) for 14 days</w:t>
      </w:r>
    </w:p>
    <w:p>
      <w:pPr>
        <w:numPr>
          <w:ilvl w:val="0"/>
          <w:numId w:val="1050"/>
        </w:numPr>
        <w:pStyle w:val="Compact"/>
      </w:pPr>
      <w:r>
        <w:t xml:space="preserve">Participants all eat the same diet, the</w:t>
      </w:r>
      <w:r>
        <w:t xml:space="preserve"> </w:t>
      </w:r>
      <w:r>
        <w:rPr>
          <w:bCs/>
          <w:b/>
        </w:rPr>
        <w:t xml:space="preserve">homogenized diet (HD), for 7 days</w:t>
      </w:r>
    </w:p>
    <w:p>
      <w:pPr>
        <w:numPr>
          <w:ilvl w:val="0"/>
          <w:numId w:val="1050"/>
        </w:numPr>
        <w:pStyle w:val="Compact"/>
      </w:pPr>
      <w:r>
        <w:t xml:space="preserve">Participants return to their usual diet during the</w:t>
      </w:r>
      <w:r>
        <w:t xml:space="preserve"> </w:t>
      </w:r>
      <w:r>
        <w:rPr>
          <w:bCs/>
          <w:b/>
        </w:rPr>
        <w:t xml:space="preserve">washout (WO) period for 7 days</w:t>
      </w:r>
    </w:p>
    <w:p>
      <w:pPr>
        <w:pStyle w:val="FirstParagraph"/>
      </w:pPr>
      <w:r>
        <w:t xml:space="preserve">The study lasts a total of 28 days. Samples from the blood, stool, and urine, our metabolite and 16S rRNA data are taken at 5 different timepoints:</w:t>
      </w:r>
    </w:p>
    <w:p>
      <w:pPr>
        <w:numPr>
          <w:ilvl w:val="0"/>
          <w:numId w:val="1051"/>
        </w:numPr>
        <w:pStyle w:val="Compact"/>
      </w:pPr>
      <w:r>
        <w:rPr>
          <w:bCs/>
          <w:b/>
        </w:rPr>
        <w:t xml:space="preserve">Timepoint 1:</w:t>
      </w:r>
      <w:r>
        <w:t xml:space="preserve"> </w:t>
      </w:r>
      <w:r>
        <w:t xml:space="preserve">Day 0 (the start of the study)</w:t>
      </w:r>
    </w:p>
    <w:p>
      <w:pPr>
        <w:numPr>
          <w:ilvl w:val="0"/>
          <w:numId w:val="1051"/>
        </w:numPr>
        <w:pStyle w:val="Compact"/>
      </w:pPr>
      <w:r>
        <w:rPr>
          <w:bCs/>
          <w:b/>
        </w:rPr>
        <w:t xml:space="preserve">Timepoint 2:</w:t>
      </w:r>
      <w:r>
        <w:t xml:space="preserve"> </w:t>
      </w:r>
      <w:r>
        <w:t xml:space="preserve">Day 13</w:t>
      </w:r>
    </w:p>
    <w:p>
      <w:pPr>
        <w:numPr>
          <w:ilvl w:val="0"/>
          <w:numId w:val="1051"/>
        </w:numPr>
        <w:pStyle w:val="Compact"/>
      </w:pPr>
      <w:r>
        <w:rPr>
          <w:bCs/>
          <w:b/>
        </w:rPr>
        <w:t xml:space="preserve">Timepoint 3:</w:t>
      </w:r>
      <w:r>
        <w:t xml:space="preserve"> </w:t>
      </w:r>
      <w:r>
        <w:t xml:space="preserve">Day 17</w:t>
      </w:r>
    </w:p>
    <w:p>
      <w:pPr>
        <w:numPr>
          <w:ilvl w:val="0"/>
          <w:numId w:val="1051"/>
        </w:numPr>
        <w:pStyle w:val="Compact"/>
      </w:pPr>
      <w:r>
        <w:rPr>
          <w:bCs/>
          <w:b/>
        </w:rPr>
        <w:t xml:space="preserve">Timepoint 4:</w:t>
      </w:r>
      <w:r>
        <w:t xml:space="preserve"> </w:t>
      </w:r>
      <w:r>
        <w:t xml:space="preserve">Day 21</w:t>
      </w:r>
    </w:p>
    <w:p>
      <w:pPr>
        <w:numPr>
          <w:ilvl w:val="0"/>
          <w:numId w:val="1051"/>
        </w:numPr>
        <w:pStyle w:val="Compact"/>
      </w:pPr>
      <w:r>
        <w:rPr>
          <w:bCs/>
          <w:b/>
        </w:rPr>
        <w:t xml:space="preserve">Timepoint 5:</w:t>
      </w:r>
      <w:r>
        <w:t xml:space="preserve"> </w:t>
      </w:r>
      <w:r>
        <w:t xml:space="preserve">Day 28</w:t>
      </w:r>
    </w:p>
    <w:bookmarkEnd w:id="119"/>
    <w:bookmarkStart w:id="126" w:name="miso-study-variables-and-factors"/>
    <w:p>
      <w:pPr>
        <w:pStyle w:val="Heading3"/>
      </w:pPr>
      <w:r>
        <w:rPr>
          <w:rStyle w:val="SectionNumber"/>
        </w:rPr>
        <w:t xml:space="preserve">4.0.2</w:t>
      </w:r>
      <w:r>
        <w:tab/>
      </w:r>
      <w:r>
        <w:t xml:space="preserve">MISO study variables and factors</w:t>
      </w:r>
    </w:p>
    <w:p>
      <w:pPr>
        <w:pStyle w:val="FirstParagraph"/>
      </w:pPr>
      <w:r>
        <w:drawing>
          <wp:inline>
            <wp:extent cx="5334000" cy="3000375"/>
            <wp:effectExtent b="0" l="0" r="0" t="0"/>
            <wp:docPr descr="" title="" id="121" name="Picture"/>
            <a:graphic>
              <a:graphicData uri="http://schemas.openxmlformats.org/drawingml/2006/picture">
                <pic:pic>
                  <pic:nvPicPr>
                    <pic:cNvPr descr="resources/images/meet-MISO_files/figure-docx//1dEZtb0TgLbzhbr3HxQElwg8hENur2HMIzseg19OGd0g_g33d6fd7d4b6_0_61.png" id="122"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have a number of variables we can use in our analysis. Notice that the variables for the study and subjects are in lowercase. This is also how you will access these variables in R.</w:t>
      </w:r>
    </w:p>
    <w:bookmarkStart w:id="123" w:name="study-design-variables"/>
    <w:p>
      <w:pPr>
        <w:pStyle w:val="Heading4"/>
      </w:pPr>
      <w:r>
        <w:rPr>
          <w:rStyle w:val="SectionNumber"/>
        </w:rPr>
        <w:t xml:space="preserve">4.0.2.1</w:t>
      </w:r>
      <w:r>
        <w:tab/>
      </w:r>
      <w:r>
        <w:t xml:space="preserve">Study design variables</w:t>
      </w:r>
    </w:p>
    <w:tbl>
      <w:tblPr>
        <w:tblStyle w:val="Table"/>
        <w:tblW w:type="pct" w:w="5000"/>
        <w:tblLook w:firstRow="1" w:lastRow="0" w:firstColumn="0" w:lastColumn="0" w:noHBand="0" w:noVBand="0" w:val="0020"/>
        <w:jc w:val="start"/>
      </w:tblPr>
      <w:tblGrid>
        <w:gridCol w:w="1650"/>
        <w:gridCol w:w="4620"/>
        <w:gridCol w:w="165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timepoint</w:t>
            </w:r>
          </w:p>
        </w:tc>
        <w:tc>
          <w:tcPr/>
          <w:p>
            <w:pPr>
              <w:pStyle w:val="Compact"/>
              <w:jc w:val="left"/>
            </w:pPr>
            <w:r>
              <w:t xml:space="preserve">The 5 samplings that occur on days 0, 13, 17, 21, and 28 coded as timepoints 1 through 5</w:t>
            </w:r>
          </w:p>
        </w:tc>
        <w:tc>
          <w:tcPr/>
          <w:p>
            <w:pPr>
              <w:pStyle w:val="Compact"/>
              <w:jc w:val="right"/>
            </w:pPr>
            <w:r>
              <w:t xml:space="preserve">1, 2, 3, 4, 5</w:t>
            </w:r>
          </w:p>
        </w:tc>
      </w:tr>
      <w:tr>
        <w:tc>
          <w:tcPr/>
          <w:p>
            <w:pPr>
              <w:pStyle w:val="Compact"/>
              <w:jc w:val="left"/>
            </w:pPr>
            <w:r>
              <w:t xml:space="preserve">timepoint group</w:t>
            </w:r>
          </w:p>
        </w:tc>
        <w:tc>
          <w:tcPr/>
          <w:p>
            <w:pPr>
              <w:pStyle w:val="Compact"/>
              <w:jc w:val="left"/>
            </w:pPr>
            <w:r>
              <w:t xml:space="preserve">The diet the subject was on during the sampling</w:t>
            </w:r>
          </w:p>
        </w:tc>
        <w:tc>
          <w:tcPr/>
          <w:p>
            <w:pPr>
              <w:pStyle w:val="Compact"/>
              <w:jc w:val="right"/>
            </w:pPr>
            <w:r>
              <w:t xml:space="preserve">BD, HD, WO</w:t>
            </w:r>
          </w:p>
        </w:tc>
      </w:tr>
      <w:tr>
        <w:tc>
          <w:tcPr/>
          <w:p>
            <w:pPr>
              <w:pStyle w:val="Compact"/>
              <w:jc w:val="left"/>
            </w:pPr>
            <w:r>
              <w:t xml:space="preserve">phase</w:t>
            </w:r>
          </w:p>
        </w:tc>
        <w:tc>
          <w:tcPr/>
          <w:p>
            <w:pPr>
              <w:pStyle w:val="Compact"/>
              <w:jc w:val="left"/>
            </w:pPr>
            <w:r>
              <w:t xml:space="preserve">Whether the subject was on their usual diet or the homogenized diet during sampling</w:t>
            </w:r>
          </w:p>
        </w:tc>
        <w:tc>
          <w:tcPr/>
          <w:p>
            <w:pPr>
              <w:pStyle w:val="Compact"/>
              <w:jc w:val="right"/>
            </w:pPr>
            <w:r>
              <w:t xml:space="preserve">non-miso, miso</w:t>
            </w:r>
          </w:p>
        </w:tc>
      </w:tr>
    </w:tbl>
    <w:bookmarkEnd w:id="123"/>
    <w:bookmarkStart w:id="124" w:name="subject-variables"/>
    <w:p>
      <w:pPr>
        <w:pStyle w:val="Heading4"/>
      </w:pPr>
      <w:r>
        <w:rPr>
          <w:rStyle w:val="SectionNumber"/>
        </w:rPr>
        <w:t xml:space="preserve">4.0.2.2</w:t>
      </w:r>
      <w:r>
        <w:tab/>
      </w:r>
      <w:r>
        <w:t xml:space="preserve">Subject variables</w:t>
      </w:r>
    </w:p>
    <w:tbl>
      <w:tblPr>
        <w:tblStyle w:val="Table"/>
        <w:tblW w:type="pct" w:w="5000"/>
        <w:tblLook w:firstRow="1" w:lastRow="0" w:firstColumn="0" w:lastColumn="0" w:noHBand="0" w:noVBand="0" w:val="0020"/>
        <w:jc w:val="start"/>
      </w:tblPr>
      <w:tblGrid>
        <w:gridCol w:w="1440"/>
        <w:gridCol w:w="2880"/>
        <w:gridCol w:w="360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subject</w:t>
            </w:r>
          </w:p>
        </w:tc>
        <w:tc>
          <w:tcPr/>
          <w:p>
            <w:pPr>
              <w:pStyle w:val="Compact"/>
              <w:jc w:val="left"/>
            </w:pPr>
            <w:r>
              <w:t xml:space="preserve">A unique ID given to each subject (participant)</w:t>
            </w:r>
          </w:p>
        </w:tc>
        <w:tc>
          <w:tcPr/>
          <w:p>
            <w:pPr>
              <w:pStyle w:val="Compact"/>
              <w:jc w:val="right"/>
            </w:pPr>
            <w:r>
              <w:t xml:space="preserve">S## (ex. S02 is subject 2. Note that while there are a total of 21 subjects in the study, but their subject numbers are not 1 through 20</w:t>
            </w:r>
          </w:p>
        </w:tc>
      </w:tr>
      <w:tr>
        <w:tc>
          <w:tcPr/>
          <w:p>
            <w:pPr>
              <w:pStyle w:val="Compact"/>
              <w:jc w:val="left"/>
            </w:pPr>
            <w:r>
              <w:t xml:space="preserve">sample</w:t>
            </w:r>
          </w:p>
        </w:tc>
        <w:tc>
          <w:tcPr/>
          <w:p>
            <w:pPr>
              <w:pStyle w:val="Compact"/>
              <w:jc w:val="left"/>
            </w:pPr>
            <w:r>
              <w:t xml:space="preserve">A unique ID given to every sample taken during the study that includes the subject and timepoint of the sample</w:t>
            </w:r>
          </w:p>
        </w:tc>
        <w:tc>
          <w:tcPr/>
          <w:p>
            <w:pPr>
              <w:pStyle w:val="Compact"/>
              <w:jc w:val="right"/>
            </w:pPr>
            <w:r>
              <w:t xml:space="preserve">MISO-Subject##-Sample# (ex. MISO1-S02-1 is the sample from subject 2 at timepoint 1)</w:t>
            </w:r>
          </w:p>
        </w:tc>
      </w:tr>
      <w:tr>
        <w:tc>
          <w:tcPr/>
          <w:p>
            <w:pPr>
              <w:pStyle w:val="Compact"/>
              <w:jc w:val="left"/>
            </w:pPr>
            <w:r>
              <w:t xml:space="preserve">gender</w:t>
            </w:r>
          </w:p>
        </w:tc>
        <w:tc>
          <w:tcPr/>
          <w:p>
            <w:pPr>
              <w:pStyle w:val="Compact"/>
              <w:jc w:val="left"/>
            </w:pPr>
            <w:r>
              <w:t xml:space="preserve">The gender of the subject</w:t>
            </w:r>
          </w:p>
        </w:tc>
        <w:tc>
          <w:tcPr/>
          <w:p>
            <w:pPr>
              <w:pStyle w:val="Compact"/>
              <w:jc w:val="right"/>
            </w:pPr>
            <w:r>
              <w:t xml:space="preserve">M, F. All subjects were cisgender</w:t>
            </w:r>
          </w:p>
        </w:tc>
      </w:tr>
      <w:tr>
        <w:tc>
          <w:tcPr/>
          <w:p>
            <w:pPr>
              <w:pStyle w:val="Compact"/>
              <w:jc w:val="left"/>
            </w:pPr>
            <w:r>
              <w:t xml:space="preserve">age</w:t>
            </w:r>
          </w:p>
        </w:tc>
        <w:tc>
          <w:tcPr/>
          <w:p>
            <w:pPr>
              <w:pStyle w:val="Compact"/>
              <w:jc w:val="left"/>
            </w:pPr>
            <w:r>
              <w:t xml:space="preserve">The age in years of the subject</w:t>
            </w:r>
          </w:p>
        </w:tc>
        <w:tc>
          <w:tcPr/>
          <w:p>
            <w:pPr>
              <w:pStyle w:val="Compact"/>
              <w:jc w:val="right"/>
            </w:pPr>
            <w:r>
              <w:t xml:space="preserve">A continuous variable from 23 to 75 years old</w:t>
            </w:r>
          </w:p>
        </w:tc>
      </w:tr>
      <w:tr>
        <w:tc>
          <w:tcPr/>
          <w:p>
            <w:pPr>
              <w:pStyle w:val="Compact"/>
              <w:jc w:val="left"/>
            </w:pPr>
            <w:r>
              <w:t xml:space="preserve">bsa</w:t>
            </w:r>
          </w:p>
        </w:tc>
        <w:tc>
          <w:tcPr/>
          <w:p>
            <w:pPr>
              <w:pStyle w:val="Compact"/>
              <w:jc w:val="left"/>
            </w:pPr>
            <w:r>
              <w:t xml:space="preserve">Body surface area; a measure of body size</w:t>
            </w:r>
          </w:p>
        </w:tc>
        <w:tc>
          <w:tcPr/>
          <w:p>
            <w:pPr>
              <w:pStyle w:val="Compact"/>
              <w:jc w:val="right"/>
            </w:pPr>
            <w:r>
              <w:t xml:space="preserve">A continuous variable from 1.6 to 2.8</w:t>
            </w:r>
          </w:p>
        </w:tc>
      </w:tr>
    </w:tbl>
    <w:bookmarkEnd w:id="124"/>
    <w:bookmarkStart w:id="125" w:name="metabolite-variables"/>
    <w:p>
      <w:pPr>
        <w:pStyle w:val="Heading4"/>
      </w:pPr>
      <w:r>
        <w:rPr>
          <w:rStyle w:val="SectionNumber"/>
        </w:rPr>
        <w:t xml:space="preserve">4.0.2.3</w:t>
      </w:r>
      <w:r>
        <w:tab/>
      </w:r>
      <w:r>
        <w:t xml:space="preserve">Metabolite variables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Variable</w:t>
            </w:r>
          </w:p>
        </w:tc>
        <w:tc>
          <w:tcPr/>
          <w:p>
            <w:pPr>
              <w:pStyle w:val="Compact"/>
              <w:jc w:val="left"/>
            </w:pPr>
            <w:r>
              <w:t xml:space="preserve">What is it?</w:t>
            </w:r>
          </w:p>
        </w:tc>
        <w:tc>
          <w:tcPr/>
          <w:p>
            <w:pPr>
              <w:pStyle w:val="Compact"/>
              <w:jc w:val="right"/>
            </w:pPr>
            <w:r>
              <w:t xml:space="preserve">Factors</w:t>
            </w:r>
          </w:p>
        </w:tc>
      </w:tr>
      <w:tr>
        <w:tc>
          <w:tcPr/>
          <w:p>
            <w:pPr>
              <w:pStyle w:val="Compact"/>
              <w:jc w:val="left"/>
            </w:pPr>
            <w:r>
              <w:t xml:space="preserve">Creatinine</w:t>
            </w:r>
          </w:p>
        </w:tc>
        <w:tc>
          <w:tcPr/>
          <w:p>
            <w:pPr>
              <w:pStyle w:val="Compact"/>
              <w:jc w:val="left"/>
            </w:pPr>
            <w:r>
              <w:t xml:space="preserve">Creatinine</w:t>
            </w:r>
          </w:p>
        </w:tc>
        <w:tc>
          <w:tcPr/>
          <w:p>
            <w:pPr>
              <w:pStyle w:val="Compact"/>
              <w:jc w:val="right"/>
            </w:pPr>
            <w:r>
              <w:t xml:space="preserve">A continuous variable from 1072 to 3971</w:t>
            </w:r>
          </w:p>
        </w:tc>
      </w:tr>
      <w:tr>
        <w:tc>
          <w:tcPr/>
          <w:p>
            <w:pPr>
              <w:pStyle w:val="Compact"/>
              <w:jc w:val="left"/>
            </w:pPr>
            <w:r>
              <w:t xml:space="preserve">PCS</w:t>
            </w:r>
          </w:p>
        </w:tc>
        <w:tc>
          <w:tcPr/>
          <w:p>
            <w:pPr>
              <w:pStyle w:val="Compact"/>
              <w:jc w:val="left"/>
            </w:pPr>
            <w:r>
              <w:rPr>
                <w:iCs/>
                <w:i/>
              </w:rPr>
              <w:t xml:space="preserve">p</w:t>
            </w:r>
            <w:r>
              <w:t xml:space="preserve">-cresol sulfate</w:t>
            </w:r>
          </w:p>
        </w:tc>
        <w:tc>
          <w:tcPr/>
          <w:p>
            <w:pPr>
              <w:pStyle w:val="Compact"/>
              <w:jc w:val="right"/>
            </w:pPr>
            <w:r>
              <w:t xml:space="preserve">A continuous variable from 2 to 95</w:t>
            </w:r>
          </w:p>
        </w:tc>
      </w:tr>
      <w:tr>
        <w:tc>
          <w:tcPr/>
          <w:p>
            <w:pPr>
              <w:pStyle w:val="Compact"/>
              <w:jc w:val="left"/>
            </w:pPr>
            <w:r>
              <w:t xml:space="preserve">IS</w:t>
            </w:r>
          </w:p>
        </w:tc>
        <w:tc>
          <w:tcPr/>
          <w:p>
            <w:pPr>
              <w:pStyle w:val="Compact"/>
              <w:jc w:val="left"/>
            </w:pPr>
            <w:r>
              <w:t xml:space="preserve">Indoxyl sulfate</w:t>
            </w:r>
          </w:p>
        </w:tc>
        <w:tc>
          <w:tcPr/>
          <w:p>
            <w:pPr>
              <w:pStyle w:val="Compact"/>
              <w:jc w:val="right"/>
            </w:pPr>
            <w:r>
              <w:t xml:space="preserve">A continuous variable from 3 to 58</w:t>
            </w:r>
          </w:p>
        </w:tc>
      </w:tr>
      <w:tr>
        <w:tc>
          <w:tcPr/>
          <w:p>
            <w:pPr>
              <w:pStyle w:val="Compact"/>
              <w:jc w:val="left"/>
            </w:pPr>
            <w:r>
              <w:t xml:space="preserve">HIPP</w:t>
            </w:r>
          </w:p>
        </w:tc>
        <w:tc>
          <w:tcPr/>
          <w:p>
            <w:pPr>
              <w:pStyle w:val="Compact"/>
              <w:jc w:val="left"/>
            </w:pPr>
            <w:r>
              <w:t xml:space="preserve">Hippuric acid</w:t>
            </w:r>
          </w:p>
        </w:tc>
        <w:tc>
          <w:tcPr/>
          <w:p>
            <w:pPr>
              <w:pStyle w:val="Compact"/>
              <w:jc w:val="right"/>
            </w:pPr>
            <w:r>
              <w:t xml:space="preserve">A continuous variable from 16 to 1119</w:t>
            </w:r>
          </w:p>
        </w:tc>
      </w:tr>
      <w:tr>
        <w:tc>
          <w:tcPr/>
          <w:p>
            <w:pPr>
              <w:pStyle w:val="Compact"/>
              <w:jc w:val="left"/>
            </w:pPr>
            <w:r>
              <w:t xml:space="preserve">PAG</w:t>
            </w:r>
          </w:p>
        </w:tc>
        <w:tc>
          <w:tcPr/>
          <w:p>
            <w:pPr>
              <w:pStyle w:val="Compact"/>
              <w:jc w:val="left"/>
            </w:pPr>
            <w:r>
              <w:t xml:space="preserve">Phenylacetylglutamine</w:t>
            </w:r>
          </w:p>
        </w:tc>
        <w:tc>
          <w:tcPr/>
          <w:p>
            <w:pPr>
              <w:pStyle w:val="Compact"/>
              <w:jc w:val="right"/>
            </w:pPr>
            <w:r>
              <w:t xml:space="preserve">A continuous variable from 16 to 318</w:t>
            </w:r>
          </w:p>
        </w:tc>
      </w:tr>
    </w:tbl>
    <w:bookmarkEnd w:id="125"/>
    <w:bookmarkEnd w:id="126"/>
    <w:bookmarkStart w:id="133" w:name="amplicon-sequence-variants-asvs-data"/>
    <w:p>
      <w:pPr>
        <w:pStyle w:val="Heading3"/>
      </w:pPr>
      <w:r>
        <w:rPr>
          <w:rStyle w:val="SectionNumber"/>
        </w:rPr>
        <w:t xml:space="preserve">4.0.3</w:t>
      </w:r>
      <w:r>
        <w:tab/>
      </w:r>
      <w:r>
        <w:t xml:space="preserve">Amplicon sequence variants (ASVs) data</w:t>
      </w:r>
    </w:p>
    <w:p>
      <w:pPr>
        <w:pStyle w:val="FirstParagraph"/>
      </w:pPr>
      <w:r>
        <w:t xml:space="preserve">Finally we have our microbe count data, or our</w:t>
      </w:r>
      <w:r>
        <w:t xml:space="preserve"> </w:t>
      </w:r>
      <w:r>
        <w:rPr>
          <w:iCs/>
          <w:i/>
        </w:rPr>
        <w:t xml:space="preserve">Amplicon Sequence Variants (ASVs)</w:t>
      </w:r>
      <w:r>
        <w:t xml:space="preserve">. Each ASV is a unique sequences that differs by as little as a single nucleotide from other ASVs and represents a specific microbe. We have assigned taxonomy to these microbes, but not all microbes have taxonomic data through the species level. These missing fields will appear as NA in the data.</w:t>
      </w:r>
    </w:p>
    <w:p>
      <w:pPr>
        <w:pStyle w:val="BodyText"/>
      </w:pPr>
      <w:r>
        <w:drawing>
          <wp:inline>
            <wp:extent cx="5334000" cy="3000375"/>
            <wp:effectExtent b="0" l="0" r="0" t="0"/>
            <wp:docPr descr="" title="" id="128" name="Picture"/>
            <a:graphic>
              <a:graphicData uri="http://schemas.openxmlformats.org/drawingml/2006/picture">
                <pic:pic>
                  <pic:nvPicPr>
                    <pic:cNvPr descr="resources/images/meet-MISO_files/figure-docx//1dEZtb0TgLbzhbr3HxQElwg8hENur2HMIzseg19OGd0g_g33d6fd7d4b6_0_136.png" id="129" name="Picture"/>
                    <pic:cNvPicPr>
                      <a:picLocks noChangeArrowheads="1" noChangeAspect="1"/>
                    </pic:cNvPicPr>
                  </pic:nvPicPr>
                  <pic:blipFill>
                    <a:blip r:embed="rId1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may see the word Operational Taxonomic Unit (OTU) in phyloseq and in other published studies.</w:t>
      </w:r>
      <w:r>
        <w:t xml:space="preserve"> </w:t>
      </w:r>
      <w:r>
        <w:rPr>
          <w:bCs/>
          <w:b/>
        </w:rPr>
        <w:t xml:space="preserve">ASVs and OTUs have some differences between them but they both represent distinct units of microbial taxa</w:t>
      </w:r>
      <w:r>
        <w:t xml:space="preserve">, although they have some key differences.</w:t>
      </w:r>
    </w:p>
    <w:p>
      <w:pPr>
        <w:pStyle w:val="BodyText"/>
      </w:pPr>
      <w:r>
        <w:t xml:space="preserve">Each sample is associated with a count of each ASV. We can compare the counts of these ASVs between samples to determine differences in the composition of the microbiome between samples.</w:t>
      </w:r>
    </w:p>
    <w:p>
      <w:pPr>
        <w:pStyle w:val="BodyText"/>
      </w:pPr>
      <w:r>
        <w:drawing>
          <wp:inline>
            <wp:extent cx="5334000" cy="3000375"/>
            <wp:effectExtent b="0" l="0" r="0" t="0"/>
            <wp:docPr descr="" title="" id="131" name="Picture"/>
            <a:graphic>
              <a:graphicData uri="http://schemas.openxmlformats.org/drawingml/2006/picture">
                <pic:pic>
                  <pic:nvPicPr>
                    <pic:cNvPr descr="resources/images/meet-MISO_files/figure-docx//1dEZtb0TgLbzhbr3HxQElwg8hENur2HMIzseg19OGd0g_g33d6fd7d4b6_0_113.png" id="132"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bookmarkEnd w:id="133"/>
    <w:bookmarkStart w:id="136" w:name="footnotes-4"/>
    <w:p>
      <w:pPr>
        <w:pStyle w:val="Heading3"/>
      </w:pPr>
      <w:r>
        <w:rPr>
          <w:rStyle w:val="SectionNumber"/>
        </w:rPr>
        <w:t xml:space="preserve">4.0.4</w:t>
      </w:r>
      <w:r>
        <w:tab/>
      </w:r>
      <w:r>
        <w:t xml:space="preserve">Footnotes</w:t>
      </w:r>
    </w:p>
    <w:bookmarkStart w:id="134" w:name="resources-3"/>
    <w:p>
      <w:pPr>
        <w:pStyle w:val="Heading4"/>
      </w:pPr>
      <w:r>
        <w:rPr>
          <w:rStyle w:val="SectionNumber"/>
        </w:rPr>
        <w:t xml:space="preserve">4.0.4.1</w:t>
      </w:r>
      <w:r>
        <w:tab/>
      </w:r>
      <w:r>
        <w:t xml:space="preserve">Resources</w:t>
      </w:r>
    </w:p>
    <w:bookmarkEnd w:id="134"/>
    <w:bookmarkStart w:id="135" w:name="contributions-and-affiliations-4"/>
    <w:p>
      <w:pPr>
        <w:pStyle w:val="Heading4"/>
      </w:pPr>
      <w:r>
        <w:rPr>
          <w:rStyle w:val="SectionNumber"/>
        </w:rPr>
        <w:t xml:space="preserve">4.0.4.2</w:t>
      </w:r>
      <w:r>
        <w:tab/>
      </w:r>
      <w:r>
        <w:t xml:space="preserve">Contributions and affiliations</w:t>
      </w:r>
    </w:p>
    <w:p>
      <w:pPr>
        <w:numPr>
          <w:ilvl w:val="0"/>
          <w:numId w:val="1052"/>
        </w:numPr>
        <w:pStyle w:val="Compact"/>
      </w:pPr>
      <w:r>
        <w:t xml:space="preserve">Sayumi York, Notre Dame of Maryland University</w:t>
      </w:r>
    </w:p>
    <w:bookmarkEnd w:id="135"/>
    <w:bookmarkEnd w:id="136"/>
    <w:bookmarkEnd w:id="137"/>
    <w:bookmarkStart w:id="168" w:name="s-rrna-data-in-spreadsheets"/>
    <w:p>
      <w:pPr>
        <w:pStyle w:val="Heading1"/>
      </w:pPr>
      <w:r>
        <w:rPr>
          <w:rStyle w:val="SectionNumber"/>
        </w:rPr>
        <w:t xml:space="preserve">5</w:t>
      </w:r>
      <w:r>
        <w:tab/>
      </w:r>
      <w:r>
        <w:t xml:space="preserve">16S rRNA Data in spreadsheets</w:t>
      </w:r>
    </w:p>
    <w:bookmarkStart w:id="138" w:name="exploring-16s-rrna-data-in-spreadsheets"/>
    <w:p>
      <w:pPr>
        <w:pStyle w:val="Heading2"/>
      </w:pPr>
      <w:r>
        <w:rPr>
          <w:rStyle w:val="SectionNumber"/>
        </w:rPr>
        <w:t xml:space="preserve">5.1</w:t>
      </w:r>
      <w:r>
        <w:tab/>
      </w:r>
      <w:r>
        <w:t xml:space="preserve">Exploring 16S rRNA data in spreadsheets</w:t>
      </w:r>
    </w:p>
    <w:p>
      <w:pPr>
        <w:pStyle w:val="FirstParagraph"/>
      </w:pPr>
      <w:r>
        <w:t xml:space="preserve">In this section we will look at 16S data in a spreadsheet via Google Sheets. We will familiarize ourselves with the format of 16S data and manipulate just a few ASVs to better understand what kinds of research questions we can ask with the data. Through this exercise we will also come to understand the necessity of more powerful analysis tools in R; sorting through trends in a spreadsheet could take years!</w:t>
      </w:r>
    </w:p>
    <w:bookmarkEnd w:id="138"/>
    <w:bookmarkStart w:id="143" w:name="Xa4adffd64d730ef6c179c36c2b3e5f3e9720550"/>
    <w:p>
      <w:pPr>
        <w:pStyle w:val="Heading2"/>
      </w:pPr>
      <w:r>
        <w:rPr>
          <w:rStyle w:val="SectionNumber"/>
        </w:rPr>
        <w:t xml:space="preserve">5.2</w:t>
      </w:r>
      <w:r>
        <w:tab/>
      </w:r>
      <w:r>
        <w:t xml:space="preserve">Lecture - Introducing 16S rRNA Data Using Spreadsheets</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40" name="Picture"/>
            <a:graphic>
              <a:graphicData uri="http://schemas.openxmlformats.org/drawingml/2006/picture">
                <pic:pic>
                  <pic:nvPicPr>
                    <pic:cNvPr descr="resources/images/introducing-16S-data_files/figure-docx//14E26SbzaLEDJxAaZ1qjaZcJehAI8q2GHuTokNPKKDTc_g35f391192_00.png" id="141"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2">
        <w:r>
          <w:rPr>
            <w:rStyle w:val="Hyperlink"/>
          </w:rPr>
          <w:t xml:space="preserve">Lecture</w:t>
        </w:r>
      </w:hyperlink>
    </w:p>
    <w:bookmarkEnd w:id="143"/>
    <w:bookmarkStart w:id="167" w:name="X38d67995e004189abbfdb85032bc1f607a0e112"/>
    <w:p>
      <w:pPr>
        <w:pStyle w:val="Heading2"/>
      </w:pPr>
      <w:r>
        <w:rPr>
          <w:rStyle w:val="SectionNumber"/>
        </w:rPr>
        <w:t xml:space="preserve">5.3</w:t>
      </w:r>
      <w:r>
        <w:tab/>
      </w:r>
      <w:r>
        <w:t xml:space="preserve">Activity - Introducing 16S rRNA Data Using Spreadsheet</w:t>
      </w:r>
    </w:p>
    <w:bookmarkStart w:id="144" w:name="learning-objectives-5"/>
    <w:p>
      <w:pPr>
        <w:pStyle w:val="Heading3"/>
      </w:pPr>
      <w:r>
        <w:rPr>
          <w:rStyle w:val="SectionNumber"/>
        </w:rPr>
        <w:t xml:space="preserve">5.3.1</w:t>
      </w:r>
      <w:r>
        <w:tab/>
      </w:r>
      <w:r>
        <w:t xml:space="preserve">Learning objectives</w:t>
      </w:r>
    </w:p>
    <w:p>
      <w:pPr>
        <w:numPr>
          <w:ilvl w:val="0"/>
          <w:numId w:val="1053"/>
        </w:numPr>
        <w:pStyle w:val="Compact"/>
      </w:pPr>
      <w:r>
        <w:t xml:space="preserve">Explore Amplicon Sequence Variants (ASVs) through the taxonomy profile of select ASVs, and sample metadata for a subset of ASVs.</w:t>
      </w:r>
    </w:p>
    <w:p>
      <w:pPr>
        <w:numPr>
          <w:ilvl w:val="0"/>
          <w:numId w:val="1053"/>
        </w:numPr>
        <w:pStyle w:val="Compact"/>
      </w:pPr>
      <w:r>
        <w:t xml:space="preserve">Generate initial research questions based on the above exploratory data analysis</w:t>
      </w:r>
    </w:p>
    <w:bookmarkEnd w:id="144"/>
    <w:bookmarkStart w:id="145" w:name="introduction-3"/>
    <w:p>
      <w:pPr>
        <w:pStyle w:val="Heading3"/>
      </w:pPr>
      <w:r>
        <w:rPr>
          <w:rStyle w:val="SectionNumber"/>
        </w:rPr>
        <w:t xml:space="preserve">5.3.2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are defined as separate ASVs and as little as 1% difference in ASV sequence can be associated with different species. In this activity you will be exploring ASVs generated with sequencing 250 nucleotides (nt) Illumina sequencing, where Amplicon sequence variants (ASVs) were identified.</w:t>
      </w:r>
    </w:p>
    <w:bookmarkEnd w:id="145"/>
    <w:bookmarkStart w:id="148" w:name="Xaa0d1fbde33bae56a2031a1e7d334da13785e1c"/>
    <w:p>
      <w:pPr>
        <w:pStyle w:val="Heading3"/>
      </w:pPr>
      <w:r>
        <w:rPr>
          <w:rStyle w:val="SectionNumber"/>
        </w:rPr>
        <w:t xml:space="preserve">5.3.3</w:t>
      </w:r>
      <w:r>
        <w:tab/>
      </w:r>
      <w:r>
        <w:t xml:space="preserve">Activity 1 – Quick data overview based on 1 sample</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familiarize ourselves with the data by exploring data from 1 sample only.</w:t>
      </w:r>
    </w:p>
    <w:bookmarkStart w:id="147" w:name="X831cde4a382edecbe3380b97771df7523800efd"/>
    <w:p>
      <w:pPr>
        <w:pStyle w:val="Heading4"/>
      </w:pPr>
      <w:r>
        <w:rPr>
          <w:rStyle w:val="SectionNumber"/>
        </w:rPr>
        <w:t xml:space="preserve">5.3.3.1</w:t>
      </w:r>
      <w:r>
        <w:tab/>
      </w:r>
      <w:r>
        <w:t xml:space="preserve">Activity 1-1. Explore data contents using one sample only, namely MISO1-S02-1 (subject 2, timepoint 1).</w:t>
      </w:r>
    </w:p>
    <w:p>
      <w:pPr>
        <w:pStyle w:val="FirstParagraph"/>
      </w:pPr>
      <w:r>
        <w:t xml:space="preserve">Access</w:t>
      </w:r>
      <w:r>
        <w:t xml:space="preserve"> </w:t>
      </w:r>
      <w:hyperlink r:id="rId146">
        <w:r>
          <w:rPr>
            <w:rStyle w:val="Hyperlink"/>
          </w:rPr>
          <w:t xml:space="preserve">‘</w:t>
        </w:r>
        <w:r>
          <w:rPr>
            <w:rStyle w:val="Hyperlink"/>
          </w:rPr>
          <w:t xml:space="preserve">MISO_PS_Leah_SY_Sample1</w:t>
        </w:r>
        <w:r>
          <w:rPr>
            <w:rStyle w:val="Hyperlink"/>
          </w:rPr>
          <w:t xml:space="preserve">’</w:t>
        </w:r>
      </w:hyperlink>
      <w:r>
        <w:t xml:space="preserve"> </w:t>
      </w:r>
      <w:r>
        <w:t xml:space="preserve">file and open it with Google Sheets.</w:t>
      </w:r>
    </w:p>
    <w:p>
      <w:pPr>
        <w:numPr>
          <w:ilvl w:val="0"/>
          <w:numId w:val="1054"/>
        </w:numPr>
        <w:pStyle w:val="Compact"/>
      </w:pPr>
      <w:r>
        <w:t xml:space="preserve">Rows = ASVs</w:t>
      </w:r>
    </w:p>
    <w:p>
      <w:pPr>
        <w:numPr>
          <w:ilvl w:val="0"/>
          <w:numId w:val="1054"/>
        </w:numPr>
        <w:pStyle w:val="Compact"/>
      </w:pPr>
      <w:r>
        <w:t xml:space="preserve">Columns = Samples and taxonomy:</w:t>
      </w:r>
    </w:p>
    <w:p>
      <w:pPr>
        <w:numPr>
          <w:ilvl w:val="1"/>
          <w:numId w:val="1055"/>
        </w:numPr>
        <w:pStyle w:val="Compact"/>
      </w:pPr>
      <w:r>
        <w:t xml:space="preserve">Col A = ASV id</w:t>
      </w:r>
    </w:p>
    <w:p>
      <w:pPr>
        <w:numPr>
          <w:ilvl w:val="1"/>
          <w:numId w:val="1055"/>
        </w:numPr>
        <w:pStyle w:val="Compact"/>
      </w:pPr>
      <w:r>
        <w:t xml:space="preserve">Cols B-H = Taxonomic information</w:t>
      </w:r>
    </w:p>
    <w:p>
      <w:pPr>
        <w:numPr>
          <w:ilvl w:val="1"/>
          <w:numId w:val="1055"/>
        </w:numPr>
        <w:pStyle w:val="Compact"/>
      </w:pPr>
      <w:r>
        <w:t xml:space="preserve">Col I = ASV counts (for sample MISO1-SO2-1)</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1-1.1 How many ASVs are there? HINT: Scroll down to see how many rows are there!</w:t>
            </w:r>
          </w:p>
        </w:tc>
      </w:tr>
      <w:tr>
        <w:tc>
          <w:tcPr/>
          <w:p>
            <w:pPr>
              <w:pStyle w:val="Compact"/>
              <w:jc w:val="left"/>
            </w:pPr>
          </w:p>
        </w:tc>
      </w:tr>
    </w:tbl>
    <w:p>
      <w:pPr>
        <w:pStyle w:val="BodyText"/>
      </w:pPr>
      <w:r>
        <w:rPr>
          <w:bCs/>
          <w:b/>
        </w:rPr>
        <w:t xml:space="preserve">1-1.2 How many microbes are there in an individual? In other words, what is the total number of ASVs per sample?</w:t>
      </w:r>
    </w:p>
    <w:p>
      <w:pPr>
        <w:pStyle w:val="BodyText"/>
      </w:pPr>
      <w:r>
        <w:t xml:space="preserve">IMPORTANT: An ASV is associated with an individual if it is NOT a zero. Zero means that particular ASV was not found in the individual, so you need to exclude zeroes from your calculations.</w:t>
      </w:r>
    </w:p>
    <w:p>
      <w:pPr>
        <w:numPr>
          <w:ilvl w:val="0"/>
          <w:numId w:val="1056"/>
        </w:numPr>
        <w:pStyle w:val="Compact"/>
      </w:pPr>
      <w:r>
        <w:t xml:space="preserve">Create an empty new first row for temporary calculations by clicking to insert 1 row above.</w:t>
      </w:r>
    </w:p>
    <w:p>
      <w:pPr>
        <w:numPr>
          <w:ilvl w:val="0"/>
          <w:numId w:val="1056"/>
        </w:numPr>
        <w:pStyle w:val="Compact"/>
      </w:pPr>
      <w:r>
        <w:t xml:space="preserve">In the new row, calculate the number of ASVs per sample 1 (excluding the zeroes) using the following formula: =COUNTIF(range,</w:t>
      </w:r>
      <w:r>
        <w:t xml:space="preserve"> </w:t>
      </w:r>
      <w:r>
        <w:t xml:space="preserve">“</w:t>
      </w:r>
      <w:r>
        <w:t xml:space="preserve">&lt;&gt;0</w:t>
      </w:r>
      <w:r>
        <w:t xml:space="preserve">”</w:t>
      </w:r>
      <w:r>
        <w:t xml:space="preserve">). For sample 1 (MISO1-S02-1) enter formula =COUNTIF(I2:I2185,</w:t>
      </w:r>
      <w:r>
        <w:t xml:space="preserve"> </w:t>
      </w:r>
      <w:r>
        <w:t xml:space="preserve">“</w:t>
      </w:r>
      <w:r>
        <w:t xml:space="preserve">&lt;&gt;0</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1-1.3 What taxonomy is associated with ASV1? Include all taxonomic ranks.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1-1.4 What taxonomy is associated with ASV2? Include all taxonomic ranks.</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1-1.5 For sample 1 (MISO1-S02-1) what is the ASV1 count?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1-1.6 For sample 1 (MISO1-S02-1) what is the ASV2 count?</w:t>
            </w:r>
          </w:p>
        </w:tc>
      </w:tr>
      <w:tr>
        <w:tc>
          <w:tcPr/>
          <w:p>
            <w:pPr>
              <w:pStyle w:val="Compact"/>
              <w:jc w:val="left"/>
            </w:pPr>
          </w:p>
        </w:tc>
      </w:tr>
    </w:tbl>
    <w:p>
      <w:pPr>
        <w:pStyle w:val="BodyText"/>
      </w:pPr>
      <w:r>
        <w:rPr>
          <w:bCs/>
          <w:b/>
        </w:rPr>
        <w:t xml:space="preserve">1-1.7 Plot ASV counts distribution (range of ASV abundance) for sample 1 ( (MISO1-S02-1).</w:t>
      </w:r>
    </w:p>
    <w:p>
      <w:pPr>
        <w:pStyle w:val="BodyText"/>
      </w:pPr>
      <w:r>
        <w:rPr>
          <w:bCs/>
          <w:b/>
        </w:rPr>
        <w:t xml:space="preserve">A) Make a bar graph of ASV distribution.</w:t>
      </w:r>
      <w:r>
        <w:t xml:space="preserve"> </w:t>
      </w:r>
      <w:r>
        <w:t xml:space="preserve">To make a bar graph, hold Command key (or Ctrl on Windows, allows you to select data that are not next to each other) and then highlight columns A, with ASV ids (column</w:t>
      </w:r>
      <w:r>
        <w:t xml:space="preserve"> </w:t>
      </w:r>
      <w:r>
        <w:t xml:space="preserve">“</w:t>
      </w:r>
      <w:r>
        <w:t xml:space="preserve">ASV</w:t>
      </w:r>
      <w:r>
        <w:t xml:space="preserve">”</w:t>
      </w:r>
      <w:r>
        <w:t xml:space="preserve">) and I, with ASV counts (column</w:t>
      </w:r>
      <w:r>
        <w:t xml:space="preserve"> </w:t>
      </w:r>
      <w:r>
        <w:t xml:space="preserve">“</w:t>
      </w:r>
      <w:r>
        <w:t xml:space="preserve">MISO1-S02-1</w:t>
      </w:r>
      <w:r>
        <w:t xml:space="preserve">”</w:t>
      </w:r>
      <w:r>
        <w:t xml:space="preserve">) and go to Insert Chart.</w:t>
      </w:r>
    </w:p>
    <w:p>
      <w:pPr>
        <w:numPr>
          <w:ilvl w:val="0"/>
          <w:numId w:val="1057"/>
        </w:numPr>
        <w:pStyle w:val="Compact"/>
      </w:pPr>
      <w:r>
        <w:t xml:space="preserve">Make sure your graph is a bar plot: click on the 3 dots in the top right corner of the plot → edit chart and in the Chart editor, under Chart type, selecting Column Chart.</w:t>
      </w:r>
    </w:p>
    <w:p>
      <w:pPr>
        <w:numPr>
          <w:ilvl w:val="0"/>
          <w:numId w:val="1057"/>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highest abundance ASV in sample 1? A simple way to get an answer is to hover over the highest bar in your ASV distribution plot from activity at its highest point.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Describe abundance pattern between ASVs. E.g., is abundance even or spotty and what does that say about ASV/taxa variation?</w:t>
            </w:r>
          </w:p>
        </w:tc>
      </w:tr>
      <w:tr>
        <w:tc>
          <w:tcPr/>
          <w:p>
            <w:pPr>
              <w:pStyle w:val="Compact"/>
              <w:jc w:val="left"/>
            </w:pPr>
          </w:p>
        </w:tc>
      </w:tr>
    </w:tbl>
    <w:bookmarkEnd w:id="147"/>
    <w:bookmarkEnd w:id="148"/>
    <w:bookmarkStart w:id="152" w:name="Xe0a69a9212b769e6c2500824c8f02943646fd62"/>
    <w:p>
      <w:pPr>
        <w:pStyle w:val="Heading3"/>
      </w:pPr>
      <w:r>
        <w:rPr>
          <w:rStyle w:val="SectionNumber"/>
        </w:rPr>
        <w:t xml:space="preserve">5.3.4</w:t>
      </w:r>
      <w:r>
        <w:tab/>
      </w:r>
      <w:r>
        <w:t xml:space="preserve">Activity 2 – Explore variation between individuals</w:t>
      </w:r>
    </w:p>
    <w:p>
      <w:pPr>
        <w:pStyle w:val="FirstParagraph"/>
      </w:pPr>
      <w:r>
        <w:rPr>
          <w:iCs/>
          <w:i/>
        </w:rPr>
        <w:t xml:space="preserve">Estimated time: 10 min</w:t>
      </w:r>
    </w:p>
    <w:p>
      <w:pPr>
        <w:pStyle w:val="BodyText"/>
      </w:pPr>
      <w:r>
        <w:t xml:space="preserve">One aspect of Guthrie et al. study is the extent to which diet contributes to interpersonal microbiome variation (variation in microbiome between individuals). To this end, authors</w:t>
      </w:r>
      <w:r>
        <w:t xml:space="preserve"> </w:t>
      </w:r>
      <w:r>
        <w:t xml:space="preserve">‘</w:t>
      </w:r>
      <w:r>
        <w:t xml:space="preserve">normalize</w:t>
      </w:r>
      <w:r>
        <w:t xml:space="preserve">’</w:t>
      </w:r>
      <w:r>
        <w:t xml:space="preserve"> </w:t>
      </w:r>
      <w:r>
        <w:t xml:space="preserve">the diet for all individuals with the same Homogenized Diet (HD) to evaluate how much of an effect the diet has.</w:t>
      </w:r>
      <w:r>
        <w:t xml:space="preserve"> </w:t>
      </w:r>
      <w:r>
        <w:rPr>
          <w:bCs/>
          <w:b/>
        </w:rPr>
        <w:t xml:space="preserve">The study period is 28 days.</w:t>
      </w:r>
      <w:r>
        <w:t xml:space="preserve"> </w:t>
      </w:r>
      <w:r>
        <w:t xml:space="preserve">The study has 3 dietary conditions: 1)</w:t>
      </w:r>
      <w:r>
        <w:t xml:space="preserve"> </w:t>
      </w:r>
      <w:r>
        <w:rPr>
          <w:bCs/>
          <w:b/>
        </w:rPr>
        <w:t xml:space="preserve">BD</w:t>
      </w:r>
      <w:r>
        <w:t xml:space="preserve"> </w:t>
      </w:r>
      <w:r>
        <w:t xml:space="preserve">(Baseline Diet) which lasted 14 days (2 time points collected), followed by 2)</w:t>
      </w:r>
      <w:r>
        <w:t xml:space="preserve"> </w:t>
      </w:r>
      <w:r>
        <w:rPr>
          <w:bCs/>
          <w:b/>
        </w:rPr>
        <w:t xml:space="preserve">HD</w:t>
      </w:r>
      <w:r>
        <w:t xml:space="preserve"> </w:t>
      </w:r>
      <w:r>
        <w:t xml:space="preserve">which lasted 7 days (2 time points collected), followed by 3)</w:t>
      </w:r>
      <w:r>
        <w:t xml:space="preserve"> </w:t>
      </w:r>
      <w:r>
        <w:rPr>
          <w:bCs/>
          <w:b/>
        </w:rPr>
        <w:t xml:space="preserve">WO</w:t>
      </w:r>
      <w:r>
        <w:t xml:space="preserve"> </w:t>
      </w:r>
      <w:r>
        <w:t xml:space="preserve">(washout diet), which lasted for 7 days and simply marks the return to baseline, regular diet (1 time point).</w:t>
      </w:r>
    </w:p>
    <w:p>
      <w:pPr>
        <w:pStyle w:val="BodyText"/>
      </w:pPr>
      <w:r>
        <w:rPr>
          <w:bCs/>
          <w:b/>
        </w:rPr>
        <w:t xml:space="preserve">To explore variation between individuals, here we simplify the dietary variation to a single condition, WO.</w:t>
      </w:r>
    </w:p>
    <w:p>
      <w:pPr>
        <w:numPr>
          <w:ilvl w:val="0"/>
          <w:numId w:val="1058"/>
        </w:numPr>
      </w:pPr>
      <w:r>
        <w:t xml:space="preserve">For this activity, the data file</w:t>
      </w:r>
      <w:r>
        <w:t xml:space="preserve"> </w:t>
      </w:r>
      <w:hyperlink r:id="rId149">
        <w:r>
          <w:rPr>
            <w:rStyle w:val="Hyperlink"/>
          </w:rPr>
          <w:t xml:space="preserve">MISO_PS_Leah_SY_WO-select</w:t>
        </w:r>
      </w:hyperlink>
      <w:r>
        <w:t xml:space="preserve"> </w:t>
      </w:r>
      <w:r>
        <w:t xml:space="preserve">contains samples pre-filtered for WO condition only (and excludes samples corresponding to BD and HD).</w:t>
      </w:r>
    </w:p>
    <w:p>
      <w:pPr>
        <w:numPr>
          <w:ilvl w:val="0"/>
          <w:numId w:val="1058"/>
        </w:numPr>
      </w:pPr>
      <w:r>
        <w:t xml:space="preserve">Since there is only 1 WO datapoint per individual, each WO sample corresponds to a different individual, so you should see 21 samples.</w:t>
      </w:r>
    </w:p>
    <w:bookmarkStart w:id="150" w:name="X9376faab03f12c2bf3d4a1a46987838618b4ed3"/>
    <w:p>
      <w:pPr>
        <w:pStyle w:val="Heading4"/>
      </w:pPr>
      <w:r>
        <w:rPr>
          <w:rStyle w:val="SectionNumber"/>
        </w:rPr>
        <w:t xml:space="preserve">5.3.4.1</w:t>
      </w:r>
      <w:r>
        <w:tab/>
      </w:r>
      <w:r>
        <w:t xml:space="preserve">Activity 2-1 - What are the most common ASVs between individuals?</w:t>
      </w:r>
    </w:p>
    <w:p>
      <w:pPr>
        <w:pStyle w:val="FirstParagraph"/>
      </w:pPr>
      <w:r>
        <w:t xml:space="preserve">IMPORTANT: An ASV is associated with an individual if it is NOT a zero. Zero means that particular ASV was not found in the individual, so you need to exclude zeroes from your calculations.</w:t>
      </w:r>
    </w:p>
    <w:p>
      <w:pPr>
        <w:pStyle w:val="BodyText"/>
      </w:pPr>
      <w:r>
        <w:rPr>
          <w:bCs/>
          <w:b/>
        </w:rPr>
        <w:t xml:space="preserve">A) Calculate the number of samples associated with each ASVs. Record first 5 values below.</w:t>
      </w:r>
    </w:p>
    <w:p>
      <w:pPr>
        <w:numPr>
          <w:ilvl w:val="0"/>
          <w:numId w:val="1059"/>
        </w:numPr>
        <w:pStyle w:val="Compact"/>
      </w:pPr>
      <w:r>
        <w:t xml:space="preserve">Create an empty new first column for temporary calculations by inserting new column A (via clicking on column A and selecting to Insert 1 column to the left). Label new column</w:t>
      </w:r>
      <w:r>
        <w:t xml:space="preserve"> </w:t>
      </w:r>
      <w:r>
        <w:t xml:space="preserve">“</w:t>
      </w:r>
      <w:r>
        <w:t xml:space="preserve">Occurrence</w:t>
      </w:r>
      <w:r>
        <w:t xml:space="preserve">”</w:t>
      </w:r>
      <w:r>
        <w:t xml:space="preserve">.</w:t>
      </w:r>
    </w:p>
    <w:p>
      <w:pPr>
        <w:numPr>
          <w:ilvl w:val="0"/>
          <w:numId w:val="1059"/>
        </w:numPr>
        <w:pStyle w:val="Compact"/>
      </w:pPr>
      <w:r>
        <w:t xml:space="preserve">Starting with the first ASV in row 3, in an empty cell A3 use the following formula: =COUNTIF(range,</w:t>
      </w:r>
      <w:r>
        <w:t xml:space="preserve"> </w:t>
      </w:r>
      <w:r>
        <w:t xml:space="preserve">“</w:t>
      </w:r>
      <w:r>
        <w:t xml:space="preserve">&lt;&gt;0</w:t>
      </w:r>
      <w:r>
        <w:t xml:space="preserve">”</w:t>
      </w:r>
      <w:r>
        <w:t xml:space="preserve">). For example, for ASV1 enter formula = COUNTIF(C3:W3,</w:t>
      </w:r>
      <w:r>
        <w:t xml:space="preserve"> </w:t>
      </w:r>
      <w:r>
        <w:t xml:space="preserve">“</w:t>
      </w:r>
      <w:r>
        <w:t xml:space="preserve">&lt;&gt;0</w:t>
      </w:r>
      <w:r>
        <w:t xml:space="preserve">”</w:t>
      </w:r>
      <w:r>
        <w:t xml:space="preserve">). The answer should be 17 (so 17 of 21 WO samples have ASV1).</w:t>
      </w:r>
    </w:p>
    <w:p>
      <w:pPr>
        <w:numPr>
          <w:ilvl w:val="0"/>
          <w:numId w:val="1059"/>
        </w:numPr>
        <w:pStyle w:val="Compact"/>
      </w:pPr>
      <w:r>
        <w:t xml:space="preserve">Extend the function to all ASVs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Calculate % of samples associated with each ASV and record the first top 5.</w:t>
      </w:r>
    </w:p>
    <w:p>
      <w:pPr>
        <w:numPr>
          <w:ilvl w:val="0"/>
          <w:numId w:val="1060"/>
        </w:numPr>
        <w:pStyle w:val="Compact"/>
      </w:pPr>
      <w:r>
        <w:t xml:space="preserve">Create another new column A and label it</w:t>
      </w:r>
      <w:r>
        <w:t xml:space="preserve"> </w:t>
      </w:r>
      <w:r>
        <w:t xml:space="preserve">“</w:t>
      </w:r>
      <w:r>
        <w:t xml:space="preserve">% Occurrence</w:t>
      </w:r>
      <w:r>
        <w:t xml:space="preserve">”</w:t>
      </w:r>
      <w:r>
        <w:t xml:space="preserve">.</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C) How many ASVs are present in all 21 individuals and what are their ids? Simply find which ASVs are present in 100% of samples.</w:t>
      </w:r>
    </w:p>
    <w:p>
      <w:pPr>
        <w:numPr>
          <w:ilvl w:val="0"/>
          <w:numId w:val="1061"/>
        </w:numPr>
        <w:pStyle w:val="Compact"/>
      </w:pPr>
      <w:r>
        <w:t xml:space="preserve">Copy columns A (% samples) and C (ASV id) into a new sheet and Paste Special → Values only</w:t>
      </w:r>
    </w:p>
    <w:p>
      <w:pPr>
        <w:numPr>
          <w:ilvl w:val="0"/>
          <w:numId w:val="1061"/>
        </w:numPr>
        <w:pStyle w:val="Compact"/>
      </w:pPr>
      <w:r>
        <w:t xml:space="preserve">Delete empty row 1</w:t>
      </w:r>
    </w:p>
    <w:p>
      <w:pPr>
        <w:numPr>
          <w:ilvl w:val="0"/>
          <w:numId w:val="1061"/>
        </w:numPr>
        <w:pStyle w:val="Compact"/>
      </w:pPr>
      <w:r>
        <w:t xml:space="preserve">Right-click on Row 1 to Create a filter, then Sort Z to A</w:t>
      </w:r>
    </w:p>
    <w:p>
      <w:pPr>
        <w:numPr>
          <w:ilvl w:val="0"/>
          <w:numId w:val="1061"/>
        </w:numPr>
        <w:pStyle w:val="Compact"/>
      </w:pPr>
      <w:r>
        <w:t xml:space="preserve">Count the ASVs that have 100 in % samples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0"/>
    <w:bookmarkStart w:id="151" w:name="X83ac6f08d95f19f935f67e5ccc63f53d26f14c8"/>
    <w:p>
      <w:pPr>
        <w:pStyle w:val="Heading4"/>
      </w:pPr>
      <w:r>
        <w:rPr>
          <w:rStyle w:val="SectionNumber"/>
        </w:rPr>
        <w:t xml:space="preserve">5.3.4.2</w:t>
      </w:r>
      <w:r>
        <w:tab/>
      </w:r>
      <w:r>
        <w:t xml:space="preserve">Activity 2-2. Explore most common ASV taxonomy</w:t>
      </w:r>
    </w:p>
    <w:p>
      <w:pPr>
        <w:numPr>
          <w:ilvl w:val="0"/>
          <w:numId w:val="1062"/>
        </w:numPr>
      </w:pPr>
      <w:r>
        <w:t xml:space="preserve">Go the original MISO_PS_Leah_SY_Sample1 google docs and record taxonomic information for most common ASV from the activity above.</w:t>
      </w:r>
    </w:p>
    <w:p>
      <w:pPr>
        <w:numPr>
          <w:ilvl w:val="0"/>
          <w:numId w:val="1062"/>
        </w:numPr>
      </w:pPr>
      <w:r>
        <w:t xml:space="preserve">In MISO_PS_Leah_SY_Sample1, Columns B-H correspond to taxonomic information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2-2.1 What is the taxonomy assigned to the most common ASV you found in Activity above?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2-2.2 According to the taxonomy for most common ASV above, what might be the most abundant phyla in the human gut?</w:t>
            </w:r>
          </w:p>
        </w:tc>
      </w:tr>
      <w:tr>
        <w:tc>
          <w:tcPr/>
          <w:p>
            <w:pPr>
              <w:pStyle w:val="Compact"/>
              <w:jc w:val="left"/>
            </w:pPr>
          </w:p>
        </w:tc>
      </w:tr>
    </w:tbl>
    <w:bookmarkEnd w:id="151"/>
    <w:bookmarkEnd w:id="152"/>
    <w:bookmarkStart w:id="153" w:name="Xd3160f07db318521396fa25fabb140c7f509a07"/>
    <w:p>
      <w:pPr>
        <w:pStyle w:val="Heading3"/>
      </w:pPr>
      <w:r>
        <w:rPr>
          <w:rStyle w:val="SectionNumber"/>
        </w:rPr>
        <w:t xml:space="preserve">5.3.5</w:t>
      </w:r>
      <w:r>
        <w:tab/>
      </w:r>
      <w:r>
        <w:t xml:space="preserve">Activity 2-3. Plot individual variation in abundance of the most common ASV</w:t>
      </w:r>
    </w:p>
    <w:p>
      <w:pPr>
        <w:pStyle w:val="FirstParagraph"/>
      </w:pPr>
      <w:r>
        <w:rPr>
          <w:bCs/>
          <w:b/>
        </w:rPr>
        <w:t xml:space="preserve">A) Make a bar graph of most common ASV distribution across 21 individuals</w:t>
      </w:r>
      <w:r>
        <w:t xml:space="preserve"> </w:t>
      </w:r>
      <w:r>
        <w:t xml:space="preserve">1. In the original MISO_PS_Leah_SY_WO-select find the row corresponding to the most common ASV, from Activity 2-1 above.</w:t>
      </w:r>
      <w:r>
        <w:t xml:space="preserve"> </w:t>
      </w:r>
      <w:r>
        <w:t xml:space="preserve">2. Highlight the header row (corresponding to sample IDs) and the row corresponding to most common ASV and go to Insert Chart. Make sure you don’t include the columns with the # of samples with that ASV and % samples columns.</w:t>
      </w:r>
    </w:p>
    <w:p>
      <w:pPr>
        <w:numPr>
          <w:ilvl w:val="0"/>
          <w:numId w:val="1063"/>
        </w:numPr>
      </w:pPr>
      <w:r>
        <w:t xml:space="preserve">Make sure your bar graph is a bar plot: click on the 3 dots in the top right corner of the plot → edit chart and in the Chart editor, under Chart type, selecting Column Chart.</w:t>
      </w:r>
    </w:p>
    <w:p>
      <w:pPr>
        <w:numPr>
          <w:ilvl w:val="0"/>
          <w:numId w:val="1063"/>
        </w:numPr>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Comment on the chart above - how similar is the ASV abundance between individuals?</w:t>
            </w:r>
          </w:p>
        </w:tc>
      </w:tr>
      <w:tr>
        <w:tc>
          <w:tcPr/>
          <w:p>
            <w:pPr>
              <w:pStyle w:val="Compact"/>
              <w:jc w:val="left"/>
            </w:pPr>
          </w:p>
        </w:tc>
      </w:tr>
    </w:tbl>
    <w:bookmarkEnd w:id="153"/>
    <w:bookmarkStart w:id="156" w:name="Xef23b50a219e4632b5da6f886c45cb6084129e6"/>
    <w:p>
      <w:pPr>
        <w:pStyle w:val="Heading3"/>
      </w:pPr>
      <w:r>
        <w:rPr>
          <w:rStyle w:val="SectionNumber"/>
        </w:rPr>
        <w:t xml:space="preserve">5.3.6</w:t>
      </w:r>
      <w:r>
        <w:tab/>
      </w:r>
      <w:r>
        <w:t xml:space="preserve">Activity 3 – Explore variation within a single individual associated with diet</w:t>
      </w:r>
    </w:p>
    <w:p>
      <w:pPr>
        <w:pStyle w:val="FirstParagraph"/>
      </w:pPr>
      <w:r>
        <w:rPr>
          <w:iCs/>
          <w:i/>
        </w:rPr>
        <w:t xml:space="preserve">Estimated time: 10 min</w:t>
      </w:r>
    </w:p>
    <w:p>
      <w:pPr>
        <w:pStyle w:val="BodyText"/>
      </w:pPr>
      <w:r>
        <w:t xml:space="preserve">Although the full dataset contains 105 samples from 21 subjects and 5 timepoints (representing 3 dietary conditions), in this activity we will zoom into ASV counts data for 1 individual (comprised of 5 samples representing the 5 timepoints collected from that individual).</w:t>
      </w:r>
    </w:p>
    <w:p>
      <w:pPr>
        <w:numPr>
          <w:ilvl w:val="0"/>
          <w:numId w:val="1064"/>
        </w:numPr>
        <w:pStyle w:val="Compact"/>
      </w:pPr>
      <w:r>
        <w:t xml:space="preserve">Timepoints 1 and 2: BD (Baseline diet) prior to normalization with homogenized diet</w:t>
      </w:r>
    </w:p>
    <w:p>
      <w:pPr>
        <w:numPr>
          <w:ilvl w:val="0"/>
          <w:numId w:val="1064"/>
        </w:numPr>
        <w:pStyle w:val="Compact"/>
      </w:pPr>
      <w:r>
        <w:t xml:space="preserve">Timepoints 3 and 4: HD (Homogenized diet): normalized to be same for all</w:t>
      </w:r>
    </w:p>
    <w:p>
      <w:pPr>
        <w:numPr>
          <w:ilvl w:val="0"/>
          <w:numId w:val="1064"/>
        </w:numPr>
        <w:pStyle w:val="Compact"/>
      </w:pPr>
      <w:r>
        <w:t xml:space="preserve">Timepoint 5: WO (Washout diet), which simply involves individuals going back to their baseline, regular diet</w:t>
      </w:r>
    </w:p>
    <w:bookmarkStart w:id="154" w:name="Xab8d6493b7cf61e1c3a9cfd4807734799394094"/>
    <w:p>
      <w:pPr>
        <w:pStyle w:val="Heading4"/>
      </w:pPr>
      <w:r>
        <w:rPr>
          <w:rStyle w:val="SectionNumber"/>
        </w:rPr>
        <w:t xml:space="preserve">5.3.6.1</w:t>
      </w:r>
      <w:r>
        <w:tab/>
      </w:r>
      <w:r>
        <w:t xml:space="preserve">Activity 3-1 Access</w:t>
      </w:r>
      <w:r>
        <w:t xml:space="preserve"> </w:t>
      </w:r>
      <w:r>
        <w:t xml:space="preserve">‘</w:t>
      </w:r>
      <w:r>
        <w:t xml:space="preserve">MISO_PS_Leah_SY_Subject1</w:t>
      </w:r>
      <w:r>
        <w:t xml:space="preserve">’</w:t>
      </w:r>
      <w:r>
        <w:t xml:space="preserve"> </w:t>
      </w:r>
      <w:r>
        <w:t xml:space="preserve">file and open it with Google Sheets, then explore differences between dietary changes in individual 1 by exploring differences between the 5 sample timepoints.</w:t>
      </w:r>
    </w:p>
    <w:p>
      <w:pPr>
        <w:pStyle w:val="FirstParagraph"/>
      </w:pPr>
      <w:r>
        <w:rPr>
          <w:bCs/>
          <w:b/>
        </w:rPr>
        <w:t xml:space="preserve">3-1.1 Calculate variation in ASV abundance within individual 1 (MISO1-S02) and record the first 5 values below.</w:t>
      </w:r>
      <w:r>
        <w:t xml:space="preserve"> </w:t>
      </w:r>
      <w:r>
        <w:t xml:space="preserve">This involves plotting counts for ASV 1-10 for MISO1-SO2 timepoints 1 through 5.</w:t>
      </w:r>
      <w:r>
        <w:t xml:space="preserve"> </w:t>
      </w:r>
      <w:r>
        <w:t xml:space="preserve">To calculate variation within a sample, we will use the VAR.S function in google sheets to calculate variance of a sample.</w:t>
      </w:r>
    </w:p>
    <w:p>
      <w:pPr>
        <w:numPr>
          <w:ilvl w:val="0"/>
          <w:numId w:val="1065"/>
        </w:numPr>
        <w:pStyle w:val="Compact"/>
      </w:pPr>
      <w:r>
        <w:t xml:space="preserve">Label an empty Column G</w:t>
      </w:r>
      <w:r>
        <w:t xml:space="preserve"> </w:t>
      </w:r>
      <w:r>
        <w:t xml:space="preserve">“</w:t>
      </w:r>
      <w:r>
        <w:t xml:space="preserve">VAR</w:t>
      </w:r>
      <w:r>
        <w:t xml:space="preserve">”</w:t>
      </w:r>
      <w:r>
        <w:t xml:space="preserve">. Use this column to calculate variance.</w:t>
      </w:r>
    </w:p>
    <w:p>
      <w:pPr>
        <w:numPr>
          <w:ilvl w:val="0"/>
          <w:numId w:val="1065"/>
        </w:numPr>
        <w:pStyle w:val="Compact"/>
      </w:pPr>
      <w:r>
        <w:t xml:space="preserve">Starting with the first ASV use the following formula: =VAR.S(range) to calculate ASV abundance variation in the 5 samples/timepoints collected for individual MISO1-SO2. For example, for ASV1 enter formula =VAR.S(B2:F2). The answer should be 14947547.8.</w:t>
      </w:r>
    </w:p>
    <w:p>
      <w:pPr>
        <w:numPr>
          <w:ilvl w:val="0"/>
          <w:numId w:val="1065"/>
        </w:numPr>
        <w:pStyle w:val="Compact"/>
      </w:pPr>
      <w:r>
        <w:t xml:space="preserve">Extend the function to all ASVs and record the first 5 variance values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3-1.2 Plot ASVs with highest variance.</w:t>
      </w:r>
    </w:p>
    <w:p>
      <w:pPr>
        <w:pStyle w:val="BodyText"/>
      </w:pPr>
      <w:r>
        <w:rPr>
          <w:bCs/>
          <w:b/>
        </w:rPr>
        <w:t xml:space="preserve">A) Sort Variance column and record the top 5 values below.</w:t>
      </w:r>
      <w:r>
        <w:t xml:space="preserve"> </w:t>
      </w:r>
      <w:r>
        <w:t xml:space="preserve">To sort the variance column:</w:t>
      </w:r>
    </w:p>
    <w:p>
      <w:pPr>
        <w:numPr>
          <w:ilvl w:val="0"/>
          <w:numId w:val="1066"/>
        </w:numPr>
        <w:pStyle w:val="Compact"/>
      </w:pPr>
      <w:r>
        <w:t xml:space="preserve">Click on the 1st (header) row</w:t>
      </w:r>
    </w:p>
    <w:p>
      <w:pPr>
        <w:numPr>
          <w:ilvl w:val="0"/>
          <w:numId w:val="1066"/>
        </w:numPr>
        <w:pStyle w:val="Compact"/>
      </w:pPr>
      <w:r>
        <w:t xml:space="preserve">Right-click to select</w:t>
      </w:r>
      <w:r>
        <w:t xml:space="preserve"> </w:t>
      </w:r>
      <w:r>
        <w:t xml:space="preserve">‘</w:t>
      </w:r>
      <w:r>
        <w:t xml:space="preserve">Create a filter</w:t>
      </w:r>
      <w:r>
        <w:t xml:space="preserve">’</w:t>
      </w:r>
    </w:p>
    <w:p>
      <w:pPr>
        <w:numPr>
          <w:ilvl w:val="0"/>
          <w:numId w:val="1066"/>
        </w:numPr>
        <w:pStyle w:val="Compact"/>
      </w:pPr>
      <w:r>
        <w:t xml:space="preserve">Sort</w:t>
      </w:r>
      <w:r>
        <w:t xml:space="preserve"> </w:t>
      </w:r>
      <w:r>
        <w:t xml:space="preserve">‘</w:t>
      </w:r>
      <w:r>
        <w:t xml:space="preserve">VAR</w:t>
      </w:r>
      <w:r>
        <w:t xml:space="preserve">’</w:t>
      </w:r>
      <w:r>
        <w:t xml:space="preserve"> </w:t>
      </w:r>
      <w:r>
        <w:t xml:space="preserve">column Z to A (click on the new arrow in the VAR column).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B) Plot ASVs with highest variance.</w:t>
      </w:r>
      <w:r>
        <w:t xml:space="preserve"> </w:t>
      </w:r>
      <w:r>
        <w:t xml:space="preserve">After sorting ASVs based on high to low variance make a plot of ASV counts corresponding to top 15 ASVs with the highest variance. Insert the plot in the grey box below. Here, variance within a sample might suggest variation (difference) between conditions. For example, high variance may come from the first 2 samples (BD diet) being different from samples 3 and 4 (HD diet).</w:t>
      </w:r>
    </w:p>
    <w:p>
      <w:pPr>
        <w:numPr>
          <w:ilvl w:val="0"/>
          <w:numId w:val="1067"/>
        </w:numPr>
        <w:pStyle w:val="Compact"/>
      </w:pPr>
      <w:r>
        <w:t xml:space="preserve">To make a bar graph highlight top 16 rows corresponding to sample names and the 15 ASVs with highest variance, for samples MISO1-S02-1 through 5. Exclude highlighting the variance column itself.</w:t>
      </w:r>
    </w:p>
    <w:p>
      <w:pPr>
        <w:numPr>
          <w:ilvl w:val="0"/>
          <w:numId w:val="1067"/>
        </w:numPr>
        <w:pStyle w:val="Compact"/>
      </w:pPr>
      <w:r>
        <w:t xml:space="preserve">Go to Insert Chart. For this chart you can highlight the rows starting with title row so as to include sample names in your chart.</w:t>
      </w:r>
    </w:p>
    <w:p>
      <w:pPr>
        <w:numPr>
          <w:ilvl w:val="0"/>
          <w:numId w:val="1067"/>
        </w:numPr>
        <w:pStyle w:val="Compact"/>
      </w:pPr>
      <w:r>
        <w:t xml:space="preserve">Make sure your graph is a bar plot: click on the 3 dots in the top right corner of the plot → edit chart and in the Chart editor, under Chart type, selecting Column Chart.</w:t>
      </w:r>
    </w:p>
    <w:p>
      <w:pPr>
        <w:numPr>
          <w:ilvl w:val="0"/>
          <w:numId w:val="1067"/>
        </w:numPr>
        <w:pStyle w:val="Compact"/>
      </w:pPr>
      <w:r>
        <w:t xml:space="preserve">Copy the bar graph into a box below: click on the 3 dots in the top right corner of the plot, and select copy chart, then, paste it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4"/>
    <w:bookmarkStart w:id="155" w:name="X15c1eec03cd6fd0de36c07ee1e3392bf59371cd"/>
    <w:p>
      <w:pPr>
        <w:pStyle w:val="Heading4"/>
      </w:pPr>
      <w:r>
        <w:rPr>
          <w:rStyle w:val="SectionNumber"/>
        </w:rPr>
        <w:t xml:space="preserve">5.3.6.2</w:t>
      </w:r>
      <w:r>
        <w:tab/>
      </w:r>
      <w:r>
        <w:t xml:space="preserve">Activity 3-2. Examine the top 15 most variable ASVs and in the box below comment/speculate on source of variation for one of the ASVs. Do you think the source of variation is change of diet, inconsistent replicates or something else?</w:t>
      </w:r>
    </w:p>
    <w:p>
      <w:pPr>
        <w:numPr>
          <w:ilvl w:val="0"/>
          <w:numId w:val="1068"/>
        </w:numPr>
        <w:pStyle w:val="Compact"/>
      </w:pPr>
      <w:r>
        <w:t xml:space="preserve">E.g., Variance associated with different diets would produce a plot where ASV counts for samples 1 and 2 (BD diet) might be different from samples 3 and 4 (HD diet) or sample 5 (WO diet).</w:t>
      </w:r>
      <w:r>
        <w:br/>
      </w:r>
    </w:p>
    <w:p>
      <w:pPr>
        <w:numPr>
          <w:ilvl w:val="0"/>
          <w:numId w:val="1068"/>
        </w:numPr>
        <w:pStyle w:val="Compact"/>
      </w:pPr>
      <w:r>
        <w:t xml:space="preserve">E.g., Variance observed between samples 1 and 2 (both BD diets) might suggest difference between biological replicate 1 and 2 due to unknown factors.</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55"/>
    <w:bookmarkEnd w:id="156"/>
    <w:bookmarkStart w:id="161" w:name="activity-4-try-it-out"/>
    <w:p>
      <w:pPr>
        <w:pStyle w:val="Heading3"/>
      </w:pPr>
      <w:r>
        <w:rPr>
          <w:rStyle w:val="SectionNumber"/>
        </w:rPr>
        <w:t xml:space="preserve">5.3.7</w:t>
      </w:r>
      <w:r>
        <w:tab/>
      </w:r>
      <w:r>
        <w:t xml:space="preserve">Activity 4 – Try it Out!</w:t>
      </w:r>
    </w:p>
    <w:p>
      <w:pPr>
        <w:pStyle w:val="FirstParagraph"/>
      </w:pPr>
      <w:r>
        <w:rPr>
          <w:iCs/>
          <w:i/>
        </w:rPr>
        <w:t xml:space="preserve">Estimated time: 60 min</w:t>
      </w:r>
    </w:p>
    <w:p>
      <w:pPr>
        <w:pStyle w:val="BodyText"/>
      </w:pPr>
      <w:r>
        <w:t xml:space="preserve">Now it’s time to explore the full dataset with all 105 samples! Working with your group, explore one of the questions below or come up with another question. When you are done, copy and paste your results into the class poster. Here are the files that you will need for this Activity:</w:t>
      </w:r>
    </w:p>
    <w:p>
      <w:pPr>
        <w:numPr>
          <w:ilvl w:val="0"/>
          <w:numId w:val="1069"/>
        </w:numPr>
        <w:pStyle w:val="Compact"/>
      </w:pPr>
      <w:hyperlink r:id="rId157">
        <w:r>
          <w:rPr>
            <w:rStyle w:val="Hyperlink"/>
          </w:rPr>
          <w:t xml:space="preserve">ASV counts (2185 rows by 114 columns)</w:t>
        </w:r>
      </w:hyperlink>
    </w:p>
    <w:p>
      <w:pPr>
        <w:numPr>
          <w:ilvl w:val="0"/>
          <w:numId w:val="1069"/>
        </w:numPr>
        <w:pStyle w:val="Compact"/>
      </w:pPr>
      <w:hyperlink r:id="rId158">
        <w:r>
          <w:rPr>
            <w:rStyle w:val="Hyperlink"/>
          </w:rPr>
          <w:t xml:space="preserve">Sample metadata (106 rows by 28 columns)</w:t>
        </w:r>
      </w:hyperlink>
    </w:p>
    <w:p>
      <w:pPr>
        <w:numPr>
          <w:ilvl w:val="0"/>
          <w:numId w:val="1069"/>
        </w:numPr>
        <w:pStyle w:val="Compact"/>
      </w:pPr>
      <w:hyperlink r:id="rId38">
        <w:r>
          <w:rPr>
            <w:rStyle w:val="Hyperlink"/>
          </w:rPr>
          <w:t xml:space="preserve">Class Poster</w:t>
        </w:r>
      </w:hyperlink>
    </w:p>
    <w:p>
      <w:pPr>
        <w:pStyle w:val="FirstParagraph"/>
      </w:pPr>
      <w:r>
        <w:t xml:space="preserve">Remember, to relate sample IDs from MISO_PS_Leah_SY_FULL, to the metadata in the MISO_metadata_FULL file.</w:t>
      </w:r>
    </w:p>
    <w:p>
      <w:pPr>
        <w:pStyle w:val="BodyText"/>
      </w:pPr>
      <w:r>
        <w:t xml:space="preserve">For example, the MISO study timepoints are:</w:t>
      </w:r>
    </w:p>
    <w:p>
      <w:pPr>
        <w:numPr>
          <w:ilvl w:val="0"/>
          <w:numId w:val="1070"/>
        </w:numPr>
        <w:pStyle w:val="Compact"/>
      </w:pPr>
      <w:r>
        <w:t xml:space="preserve">Timepoints 1 and 2:</w:t>
      </w:r>
      <w:r>
        <w:t xml:space="preserve"> </w:t>
      </w:r>
      <w:r>
        <w:rPr>
          <w:bCs/>
          <w:b/>
        </w:rPr>
        <w:t xml:space="preserve">BD</w:t>
      </w:r>
      <w:r>
        <w:t xml:space="preserve"> </w:t>
      </w:r>
      <w:r>
        <w:t xml:space="preserve">(Baseline diet) prior to normalization with homogenized diet</w:t>
      </w:r>
    </w:p>
    <w:p>
      <w:pPr>
        <w:numPr>
          <w:ilvl w:val="0"/>
          <w:numId w:val="1070"/>
        </w:numPr>
        <w:pStyle w:val="Compact"/>
      </w:pPr>
      <w:r>
        <w:t xml:space="preserve">Timepoints 3 and 4:</w:t>
      </w:r>
      <w:r>
        <w:t xml:space="preserve"> </w:t>
      </w:r>
      <w:r>
        <w:rPr>
          <w:bCs/>
          <w:b/>
        </w:rPr>
        <w:t xml:space="preserve">HD</w:t>
      </w:r>
      <w:r>
        <w:t xml:space="preserve"> </w:t>
      </w:r>
      <w:r>
        <w:t xml:space="preserve">(Homogenized diet): normalized to be same for all</w:t>
      </w:r>
    </w:p>
    <w:p>
      <w:pPr>
        <w:numPr>
          <w:ilvl w:val="0"/>
          <w:numId w:val="1070"/>
        </w:numPr>
        <w:pStyle w:val="Compact"/>
      </w:pPr>
      <w:r>
        <w:t xml:space="preserve">Timepoint 5:</w:t>
      </w:r>
      <w:r>
        <w:t xml:space="preserve"> </w:t>
      </w:r>
      <w:r>
        <w:rPr>
          <w:bCs/>
          <w:b/>
        </w:rPr>
        <w:t xml:space="preserve">WO</w:t>
      </w:r>
      <w:r>
        <w:t xml:space="preserve"> </w:t>
      </w:r>
      <w:r>
        <w:t xml:space="preserve">(Washout diet), which simply involves individuals going back to their baseline, regular diet</w:t>
      </w:r>
    </w:p>
    <w:bookmarkStart w:id="159" w:name="X457e1c7c317164101daa770371840bd6c4c38ac"/>
    <w:p>
      <w:pPr>
        <w:pStyle w:val="Heading4"/>
      </w:pPr>
      <w:r>
        <w:rPr>
          <w:rStyle w:val="SectionNumber"/>
        </w:rPr>
        <w:t xml:space="preserve">5.3.7.1</w:t>
      </w:r>
      <w:r>
        <w:tab/>
      </w:r>
      <w:r>
        <w:t xml:space="preserve">Question 1 - Profile and compare ASV abundance and taxonomy for 2 diets, BD and HD. Your final analysis should result in a plot and/or a table.</w:t>
      </w:r>
    </w:p>
    <w:p>
      <w:pPr>
        <w:numPr>
          <w:ilvl w:val="0"/>
          <w:numId w:val="1071"/>
        </w:numPr>
        <w:pStyle w:val="Compact"/>
      </w:pPr>
      <w:r>
        <w:t xml:space="preserve">Question 1A: Compare 1 BD timepoint and 1 HD timepoint (males): n = 20</w:t>
      </w:r>
    </w:p>
    <w:p>
      <w:pPr>
        <w:numPr>
          <w:ilvl w:val="0"/>
          <w:numId w:val="1071"/>
        </w:numPr>
        <w:pStyle w:val="Compact"/>
      </w:pPr>
      <w:r>
        <w:t xml:space="preserve">Question 1B: Compare 1 BD timepoint and 1 HD timepoint (females) : n = 22</w:t>
      </w:r>
    </w:p>
    <w:p>
      <w:pPr>
        <w:pStyle w:val="FirstParagraph"/>
      </w:pPr>
      <w:r>
        <w:t xml:space="preserve">Sample approach: Compare the 5 most abundant ASVs between BD1 and HD1. You’ll have to think about:</w:t>
      </w:r>
    </w:p>
    <w:p>
      <w:pPr>
        <w:numPr>
          <w:ilvl w:val="0"/>
          <w:numId w:val="1072"/>
        </w:numPr>
        <w:pStyle w:val="Compact"/>
      </w:pPr>
      <w:r>
        <w:t xml:space="preserve">How will you identify the 5 most abundant ASVs? Will you identify the top 5 in the BD group, and top 5 in the HD group? Should you sort on 1, 2, or all samples within a group? Or just average all samples within a group?)</w:t>
      </w:r>
    </w:p>
    <w:p>
      <w:pPr>
        <w:numPr>
          <w:ilvl w:val="0"/>
          <w:numId w:val="1072"/>
        </w:numPr>
        <w:pStyle w:val="Compact"/>
      </w:pPr>
      <w:r>
        <w:t xml:space="preserve">How will you compare the multiple BD1 samples against the multiple HD1 samples?</w:t>
      </w:r>
    </w:p>
    <w:p>
      <w:pPr>
        <w:numPr>
          <w:ilvl w:val="0"/>
          <w:numId w:val="1073"/>
        </w:numPr>
        <w:pStyle w:val="Compact"/>
      </w:pPr>
      <w:r>
        <w:t xml:space="preserve">ASV counts - plot average or boxplot of abundance for top ASVs?</w:t>
      </w:r>
    </w:p>
    <w:p>
      <w:pPr>
        <w:numPr>
          <w:ilvl w:val="0"/>
          <w:numId w:val="1073"/>
        </w:numPr>
        <w:pStyle w:val="Compact"/>
      </w:pPr>
      <w:r>
        <w:t xml:space="preserve">For taxonomy - is there an overlap between 5 BD and 5 HD taxa? Should you consider a pie chart, a barplot or no plot?)</w:t>
      </w:r>
    </w:p>
    <w:bookmarkEnd w:id="159"/>
    <w:bookmarkStart w:id="160" w:name="X2f38f2d307a4f82a28b4205cc5ca5397046bc31"/>
    <w:p>
      <w:pPr>
        <w:pStyle w:val="Heading4"/>
      </w:pPr>
      <w:r>
        <w:rPr>
          <w:rStyle w:val="SectionNumber"/>
        </w:rPr>
        <w:t xml:space="preserve">5.3.7.2</w:t>
      </w:r>
      <w:r>
        <w:tab/>
      </w:r>
      <w:r>
        <w:t xml:space="preserve">Question 2 - Profile and compare ASV abundance and taxonomy of 21 individuals using a single homogenized dietary timepoint. Your final analysis should result in a plot and/or a table.</w:t>
      </w:r>
    </w:p>
    <w:p>
      <w:pPr>
        <w:numPr>
          <w:ilvl w:val="0"/>
          <w:numId w:val="1074"/>
        </w:numPr>
        <w:pStyle w:val="Compact"/>
      </w:pPr>
      <w:r>
        <w:t xml:space="preserve">Question 2A: Examine HD1 timepoint (males and females): n = 21</w:t>
      </w:r>
    </w:p>
    <w:p>
      <w:pPr>
        <w:numPr>
          <w:ilvl w:val="0"/>
          <w:numId w:val="1074"/>
        </w:numPr>
        <w:pStyle w:val="Compact"/>
      </w:pPr>
      <w:r>
        <w:t xml:space="preserve">Question 2B: Examine HD2 timepoint (males and females): n = 21</w:t>
      </w:r>
    </w:p>
    <w:p>
      <w:pPr>
        <w:pStyle w:val="FirstParagraph"/>
      </w:pPr>
      <w:r>
        <w:t xml:space="preserve">Sample approach: You can compare the 5-10 most abundant ASVs between 21 individuals for HD1. You’ll have to think about</w:t>
      </w:r>
      <w:r>
        <w:t xml:space="preserve"> </w:t>
      </w:r>
      <w:r>
        <w:t xml:space="preserve">1. How will you identify the 5 most abundant ASVs? Should you show the top 5 per each sample? Sort on 1, 2, or all samples? Or just average all samples?)</w:t>
      </w:r>
      <w:r>
        <w:t xml:space="preserve"> </w:t>
      </w:r>
      <w:r>
        <w:t xml:space="preserve">1. How will you compare the 21 samples?</w:t>
      </w:r>
      <w:r>
        <w:t xml:space="preserve"> </w:t>
      </w:r>
      <w:r>
        <w:t xml:space="preserve">- ASV counts - plot average or boxplot of abundance for top ASVs?</w:t>
      </w:r>
      <w:r>
        <w:t xml:space="preserve"> </w:t>
      </w:r>
      <w:r>
        <w:t xml:space="preserve">- For taxonomy - Barplot top taxa for all individuals? Which rank - Phyla, Genus, Species?)</w:t>
      </w:r>
    </w:p>
    <w:bookmarkEnd w:id="160"/>
    <w:bookmarkEnd w:id="161"/>
    <w:bookmarkStart w:id="162" w:name="grading-criteria-2"/>
    <w:p>
      <w:pPr>
        <w:pStyle w:val="Heading3"/>
      </w:pPr>
      <w:r>
        <w:rPr>
          <w:rStyle w:val="SectionNumber"/>
        </w:rPr>
        <w:t xml:space="preserve">5.3.8</w:t>
      </w:r>
      <w:r>
        <w:tab/>
      </w:r>
      <w:r>
        <w:t xml:space="preserve">Grading criteria</w:t>
      </w:r>
    </w:p>
    <w:p>
      <w:pPr>
        <w:numPr>
          <w:ilvl w:val="0"/>
          <w:numId w:val="1075"/>
        </w:numPr>
        <w:pStyle w:val="Compact"/>
      </w:pPr>
      <w:r>
        <w:t xml:space="preserve">Download the assignment to your local computer as a .docx, complete it, and upload the assignment to your LMS (Blackboard, Canvas, Google Classroom).</w:t>
      </w:r>
    </w:p>
    <w:p>
      <w:pPr>
        <w:numPr>
          <w:ilvl w:val="0"/>
          <w:numId w:val="1075"/>
        </w:numPr>
        <w:pStyle w:val="Compact"/>
      </w:pPr>
      <w:r>
        <w:t xml:space="preserve">Download the Google Sheets to your local computers as a .xlsx, complete all the steps for the assignment, and upload the .xlsx to your LMS (Blackboard, Canvas, Google Classroom).</w:t>
      </w:r>
    </w:p>
    <w:bookmarkEnd w:id="162"/>
    <w:bookmarkStart w:id="166" w:name="footnotes-5"/>
    <w:p>
      <w:pPr>
        <w:pStyle w:val="Heading3"/>
      </w:pPr>
      <w:r>
        <w:rPr>
          <w:rStyle w:val="SectionNumber"/>
        </w:rPr>
        <w:t xml:space="preserve">5.3.9</w:t>
      </w:r>
      <w:r>
        <w:tab/>
      </w:r>
      <w:r>
        <w:t xml:space="preserve">Footnotes</w:t>
      </w:r>
    </w:p>
    <w:bookmarkStart w:id="164" w:name="resources-4"/>
    <w:p>
      <w:pPr>
        <w:pStyle w:val="Heading4"/>
      </w:pPr>
      <w:r>
        <w:rPr>
          <w:rStyle w:val="SectionNumber"/>
        </w:rPr>
        <w:t xml:space="preserve">5.3.9.1</w:t>
      </w:r>
      <w:r>
        <w:tab/>
      </w:r>
      <w:r>
        <w:t xml:space="preserve">Resources</w:t>
      </w:r>
    </w:p>
    <w:p>
      <w:pPr>
        <w:numPr>
          <w:ilvl w:val="0"/>
          <w:numId w:val="1076"/>
        </w:numPr>
        <w:pStyle w:val="Compact"/>
      </w:pPr>
      <w:hyperlink r:id="rId163">
        <w:r>
          <w:rPr>
            <w:rStyle w:val="Hyperlink"/>
          </w:rPr>
          <w:t xml:space="preserve">Google Doc</w:t>
        </w:r>
      </w:hyperlink>
    </w:p>
    <w:p>
      <w:pPr>
        <w:numPr>
          <w:ilvl w:val="0"/>
          <w:numId w:val="1076"/>
        </w:numPr>
        <w:pStyle w:val="Compact"/>
      </w:pPr>
      <w:hyperlink r:id="rId146">
        <w:r>
          <w:rPr>
            <w:rStyle w:val="Hyperlink"/>
          </w:rPr>
          <w:t xml:space="preserve">‘</w:t>
        </w:r>
        <w:r>
          <w:rPr>
            <w:rStyle w:val="Hyperlink"/>
          </w:rPr>
          <w:t xml:space="preserve">MISO_PS_Leah_SY_Sample1</w:t>
        </w:r>
        <w:r>
          <w:rPr>
            <w:rStyle w:val="Hyperlink"/>
          </w:rPr>
          <w:t xml:space="preserve">’</w:t>
        </w:r>
      </w:hyperlink>
    </w:p>
    <w:p>
      <w:pPr>
        <w:numPr>
          <w:ilvl w:val="0"/>
          <w:numId w:val="1076"/>
        </w:numPr>
        <w:pStyle w:val="Compact"/>
      </w:pPr>
      <w:hyperlink r:id="rId149">
        <w:r>
          <w:rPr>
            <w:rStyle w:val="Hyperlink"/>
          </w:rPr>
          <w:t xml:space="preserve">MISO_PS_Leah_SY_WO-select</w:t>
        </w:r>
      </w:hyperlink>
    </w:p>
    <w:p>
      <w:pPr>
        <w:numPr>
          <w:ilvl w:val="0"/>
          <w:numId w:val="1076"/>
        </w:numPr>
        <w:pStyle w:val="Compact"/>
      </w:pPr>
      <w:hyperlink r:id="rId157">
        <w:r>
          <w:rPr>
            <w:rStyle w:val="Hyperlink"/>
          </w:rPr>
          <w:t xml:space="preserve">ASV counts (2185 rows by 114 columns)</w:t>
        </w:r>
      </w:hyperlink>
    </w:p>
    <w:p>
      <w:pPr>
        <w:numPr>
          <w:ilvl w:val="0"/>
          <w:numId w:val="1076"/>
        </w:numPr>
        <w:pStyle w:val="Compact"/>
      </w:pPr>
      <w:hyperlink r:id="rId158">
        <w:r>
          <w:rPr>
            <w:rStyle w:val="Hyperlink"/>
          </w:rPr>
          <w:t xml:space="preserve">Sample metadata (106 rows by 28 columns)</w:t>
        </w:r>
      </w:hyperlink>
    </w:p>
    <w:p>
      <w:pPr>
        <w:numPr>
          <w:ilvl w:val="0"/>
          <w:numId w:val="1076"/>
        </w:numPr>
        <w:pStyle w:val="Compact"/>
      </w:pPr>
      <w:hyperlink r:id="rId38">
        <w:r>
          <w:rPr>
            <w:rStyle w:val="Hyperlink"/>
          </w:rPr>
          <w:t xml:space="preserve">Class Poster</w:t>
        </w:r>
      </w:hyperlink>
    </w:p>
    <w:bookmarkEnd w:id="164"/>
    <w:bookmarkStart w:id="165" w:name="contributions-and-affiliations-5"/>
    <w:p>
      <w:pPr>
        <w:pStyle w:val="Heading4"/>
      </w:pPr>
      <w:r>
        <w:rPr>
          <w:rStyle w:val="SectionNumber"/>
        </w:rPr>
        <w:t xml:space="preserve">5.3.9.2</w:t>
      </w:r>
      <w:r>
        <w:tab/>
      </w:r>
      <w: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Gauri Paul, Clovis Community College</w:t>
      </w:r>
    </w:p>
    <w:p>
      <w:pPr>
        <w:numPr>
          <w:ilvl w:val="0"/>
          <w:numId w:val="1077"/>
        </w:numPr>
        <w:pStyle w:val="Compact"/>
      </w:pPr>
      <w:r>
        <w:t xml:space="preserve">Frederick Tan, Johns Hopkins University</w:t>
      </w:r>
    </w:p>
    <w:p>
      <w:pPr>
        <w:numPr>
          <w:ilvl w:val="0"/>
          <w:numId w:val="1077"/>
        </w:numPr>
        <w:pStyle w:val="Compact"/>
      </w:pPr>
      <w:r>
        <w:t xml:space="preserve">Sayumi York, Notre Dame of Maryland University</w:t>
      </w:r>
    </w:p>
    <w:bookmarkEnd w:id="165"/>
    <w:bookmarkEnd w:id="166"/>
    <w:bookmarkEnd w:id="167"/>
    <w:bookmarkEnd w:id="168"/>
    <w:bookmarkStart w:id="208" w:name="exploring-16s-rrna-data-with-phyloseq"/>
    <w:p>
      <w:pPr>
        <w:pStyle w:val="Heading1"/>
      </w:pPr>
      <w:r>
        <w:rPr>
          <w:rStyle w:val="SectionNumber"/>
        </w:rPr>
        <w:t xml:space="preserve">6</w:t>
      </w:r>
      <w:r>
        <w:tab/>
      </w:r>
      <w:r>
        <w:t xml:space="preserve">Exploring 16S rRNA Data with phyloseq</w:t>
      </w:r>
    </w:p>
    <w:bookmarkStart w:id="169" w:name="exploring-16s-rrna-data-with-phyloseq-1"/>
    <w:p>
      <w:pPr>
        <w:pStyle w:val="Heading2"/>
      </w:pPr>
      <w:r>
        <w:rPr>
          <w:rStyle w:val="SectionNumber"/>
        </w:rPr>
        <w:t xml:space="preserve">6.1</w:t>
      </w:r>
      <w:r>
        <w:tab/>
      </w:r>
      <w:r>
        <w:t xml:space="preserve">Exploring 16S rRNA Data with phyloseq</w:t>
      </w:r>
    </w:p>
    <w:bookmarkEnd w:id="169"/>
    <w:bookmarkStart w:id="174" w:name="Xfcffbdcf25bedde438c04e8687daab58b4477b9"/>
    <w:p>
      <w:pPr>
        <w:pStyle w:val="Heading2"/>
      </w:pPr>
      <w:r>
        <w:rPr>
          <w:rStyle w:val="SectionNumber"/>
        </w:rPr>
        <w:t xml:space="preserve">6.2</w:t>
      </w:r>
      <w:r>
        <w:tab/>
      </w:r>
      <w:r>
        <w:t xml:space="preserve">Lecture - Exploring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171" name="Picture"/>
            <a:graphic>
              <a:graphicData uri="http://schemas.openxmlformats.org/drawingml/2006/picture">
                <pic:pic>
                  <pic:nvPicPr>
                    <pic:cNvPr descr="resources/images/explore-phyloseq_files/figure-docx//15tv_IS177gF_px3JYKcQZmOsJg2d-GkjVXi7a-Skgs8_g35f391192_00.png" id="172" name="Picture"/>
                    <pic:cNvPicPr>
                      <a:picLocks noChangeArrowheads="1" noChangeAspect="1"/>
                    </pic:cNvPicPr>
                  </pic:nvPicPr>
                  <pic:blipFill>
                    <a:blip r:embed="rId1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73">
        <w:r>
          <w:rPr>
            <w:rStyle w:val="Hyperlink"/>
          </w:rPr>
          <w:t xml:space="preserve">Lecture</w:t>
        </w:r>
      </w:hyperlink>
    </w:p>
    <w:bookmarkEnd w:id="174"/>
    <w:bookmarkStart w:id="189" w:name="X3e9a8c427ff3d180216de2316d0bc005457f816"/>
    <w:p>
      <w:pPr>
        <w:pStyle w:val="Heading2"/>
      </w:pPr>
      <w:r>
        <w:rPr>
          <w:rStyle w:val="SectionNumber"/>
        </w:rPr>
        <w:t xml:space="preserve">6.3</w:t>
      </w:r>
      <w:r>
        <w:tab/>
      </w:r>
      <w:r>
        <w:t xml:space="preserve">Activity - Exploring 16S rRNA Data with phyloseq</w:t>
      </w:r>
    </w:p>
    <w:p>
      <w:pPr>
        <w:pStyle w:val="FirstParagraph"/>
      </w:pPr>
      <w:r>
        <w:t xml:space="preserve">To explore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explore and profile the metagenomic diversity using the R/Bioconductor package phyloseq which leverages various R-based tools to produce publication-quality taxonomy profiling and analysis graphics.</w:t>
      </w:r>
    </w:p>
    <w:bookmarkStart w:id="175" w:name="learning-objectives-6"/>
    <w:p>
      <w:pPr>
        <w:pStyle w:val="Heading3"/>
      </w:pPr>
      <w:r>
        <w:rPr>
          <w:rStyle w:val="SectionNumber"/>
        </w:rPr>
        <w:t xml:space="preserve">6.3.1</w:t>
      </w:r>
      <w:r>
        <w:tab/>
      </w:r>
      <w:r>
        <w:t xml:space="preserve">Learning objectives</w:t>
      </w:r>
    </w:p>
    <w:p>
      <w:pPr>
        <w:numPr>
          <w:ilvl w:val="0"/>
          <w:numId w:val="1078"/>
        </w:numPr>
        <w:pStyle w:val="Compact"/>
      </w:pPr>
      <w:r>
        <w:t xml:space="preserve">Use phyloseq to explore data associated with Amplicon Sequence Variants (ASVs).</w:t>
      </w:r>
    </w:p>
    <w:p>
      <w:pPr>
        <w:numPr>
          <w:ilvl w:val="0"/>
          <w:numId w:val="1078"/>
        </w:numPr>
        <w:pStyle w:val="Compact"/>
      </w:pPr>
      <w:r>
        <w:t xml:space="preserve">In phyloseq, subset data based on metadata and taxonomy.</w:t>
      </w:r>
    </w:p>
    <w:p>
      <w:pPr>
        <w:numPr>
          <w:ilvl w:val="0"/>
          <w:numId w:val="1078"/>
        </w:numPr>
        <w:pStyle w:val="Compact"/>
      </w:pPr>
      <w:r>
        <w:t xml:space="preserve">In phyloseq, profile and plot taxonomy.</w:t>
      </w:r>
    </w:p>
    <w:bookmarkEnd w:id="175"/>
    <w:bookmarkStart w:id="176" w:name="introduction-4"/>
    <w:p>
      <w:pPr>
        <w:pStyle w:val="Heading3"/>
      </w:pPr>
      <w:r>
        <w:rPr>
          <w:rStyle w:val="SectionNumber"/>
        </w:rPr>
        <w:t xml:space="preserve">6.3.2</w:t>
      </w:r>
      <w:r>
        <w:tab/>
      </w:r>
      <w:r>
        <w:t xml:space="preserve">Introduction</w:t>
      </w:r>
    </w:p>
    <w:p>
      <w:pPr>
        <w:pStyle w:val="FirstParagraph"/>
      </w:pPr>
      <w:r>
        <w:t xml:space="preserve">The most popular sequencing technique for the analysis of bacterial diversity is targeted sequencing, or sequencing of a specific gene (or region of a gene, e.g. a hypervariable region of the bacterial 16S ribosomal rRNA gene) using polymerase chain reaction (PCR) to create sequences called amplicons. Sequence variation in the resulting amplicons creates amplicon sequence variants (ASVs). ASVs varying from as little as one single nucleotide can be defined as separate ASVs, which can be further clustered into OTUs (Operational Taxonomic Units) based on sequence similarity; e.g. as ASVs within 1% sequence difference can clustered into the same species/OTU.</w:t>
      </w:r>
    </w:p>
    <w:bookmarkEnd w:id="176"/>
    <w:bookmarkStart w:id="177" w:name="Xe45af9acbb28abccd6a23dcf034e37d37ee88bd"/>
    <w:p>
      <w:pPr>
        <w:pStyle w:val="Heading3"/>
      </w:pPr>
      <w:r>
        <w:rPr>
          <w:rStyle w:val="SectionNumber"/>
        </w:rPr>
        <w:t xml:space="preserve">6.3.3</w:t>
      </w:r>
      <w:r>
        <w:tab/>
      </w:r>
      <w:r>
        <w:t xml:space="preserve">Activity 1 – Explore 16S rRNA Data with phyloseq tutorial</w:t>
      </w:r>
    </w:p>
    <w:p>
      <w:pPr>
        <w:pStyle w:val="FirstParagraph"/>
      </w:pPr>
      <w:r>
        <w:rPr>
          <w:iCs/>
          <w:i/>
        </w:rPr>
        <w:t xml:space="preserve">Estimated time: 25 min</w:t>
      </w:r>
    </w:p>
    <w:p>
      <w:pPr>
        <w:pStyle w:val="BodyText"/>
      </w:pPr>
      <w:r>
        <w:t xml:space="preserve">Explore a phyloseq object through the</w:t>
      </w:r>
      <w:r>
        <w:t xml:space="preserve"> </w:t>
      </w:r>
      <w:r>
        <w:t xml:space="preserve">“</w:t>
      </w:r>
      <w:r>
        <w:t xml:space="preserve">Explore 16S rRNA Data with phyloseq</w:t>
      </w:r>
      <w:r>
        <w:t xml:space="preserve">”</w:t>
      </w:r>
      <w:r>
        <w:t xml:space="preserve"> </w:t>
      </w:r>
      <w:r>
        <w:t xml:space="preserve">tutorial on SciServer.</w:t>
      </w:r>
    </w:p>
    <w:p>
      <w:pPr>
        <w:pStyle w:val="BodyText"/>
      </w:pPr>
      <w:r>
        <w:t xml:space="preserve">Log into SciServer, click on compute, and create a new C-MOOR LearnR container. When creating a container, remember to:</w:t>
      </w:r>
    </w:p>
    <w:p>
      <w:pPr>
        <w:numPr>
          <w:ilvl w:val="0"/>
          <w:numId w:val="1079"/>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079"/>
        </w:numPr>
        <w:pStyle w:val="Compact"/>
      </w:pPr>
      <w:r>
        <w:t xml:space="preserve">Check the box next to Data volume</w:t>
      </w:r>
      <w:r>
        <w:t xml:space="preserve"> </w:t>
      </w:r>
      <w:r>
        <w:t xml:space="preserve">“</w:t>
      </w:r>
      <w:r>
        <w:t xml:space="preserve">C-MOOR Data</w:t>
      </w:r>
      <w:r>
        <w:t xml:space="preserve">”</w:t>
      </w:r>
    </w:p>
    <w:p>
      <w:pPr>
        <w:numPr>
          <w:ilvl w:val="0"/>
          <w:numId w:val="1079"/>
        </w:numPr>
        <w:pStyle w:val="Compact"/>
      </w:pPr>
      <w:r>
        <w:t xml:space="preserve">Start the</w:t>
      </w:r>
      <w:r>
        <w:t xml:space="preserve"> </w:t>
      </w:r>
      <w:r>
        <w:t xml:space="preserve">“</w:t>
      </w:r>
      <w:r>
        <w:t xml:space="preserve">Explore 16S rRNA Data with phyloseq</w:t>
      </w:r>
      <w:r>
        <w:t xml:space="preserve">”</w:t>
      </w:r>
      <w:r>
        <w:t xml:space="preserve"> </w:t>
      </w:r>
      <w:r>
        <w:t xml:space="preserve">tutorial. Visit SciServer Guides and FAQs. If you need assistance accessing the tutorial.</w:t>
      </w:r>
    </w:p>
    <w:p>
      <w:pPr>
        <w:numPr>
          <w:ilvl w:val="0"/>
          <w:numId w:val="107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79"/>
        </w:numPr>
        <w:pStyle w:val="Compact"/>
      </w:pPr>
      <w:r>
        <w:t xml:space="preserve">This tutorial has small boxes in which you can enter and run short lines of code to analyze the data.</w:t>
      </w:r>
    </w:p>
    <w:p>
      <w:pPr>
        <w:pStyle w:val="FirstParagraph"/>
      </w:pPr>
      <w:r>
        <w:t xml:space="preserve">As you work through the tutorial, take snapshots of your work and paste your answers in the grey boxes below:</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1-1. OTU_table Exercise – Take a snapshot and paste your code and the output for the following question in the tutorial:</w:t>
            </w:r>
            <w:r>
              <w:t xml:space="preserve"> </w:t>
            </w:r>
            <w:r>
              <w:t xml:space="preserve">“</w:t>
            </w:r>
            <w:r>
              <w:t xml:space="preserve">What is the normalized count for ASV115 in sample 10?</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1-2. Visualizing Taxonomy Exercise – Take a snapshot and paste your code and the output for the following question in the tutorial:</w:t>
            </w:r>
            <w:r>
              <w:t xml:space="preserve"> </w:t>
            </w:r>
            <w:r>
              <w:t xml:space="preserve">“</w:t>
            </w:r>
            <w:r>
              <w:t xml:space="preserve">What timepoint has the lowest proportion of phylum Verrucomicrobia?</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1-3. Using subset_taxa() Exercise – Take a snapshot and paste your code and the output for the following question in the tutorial:</w:t>
            </w:r>
            <w:r>
              <w:t xml:space="preserve"> </w:t>
            </w:r>
            <w:r>
              <w:t xml:space="preserve">“</w:t>
            </w:r>
            <w:r>
              <w:t xml:space="preserve">What are the 2 most abundant orders in the class Gammaproteobacteria?</w:t>
            </w:r>
            <w:r>
              <w:t xml:space="preserve">”</w:t>
            </w:r>
          </w:p>
        </w:tc>
      </w:tr>
      <w:tr>
        <w:tc>
          <w:tcPr/>
          <w:p>
            <w:pPr>
              <w:pStyle w:val="Compact"/>
              <w:jc w:val="left"/>
            </w:pPr>
          </w:p>
        </w:tc>
      </w:tr>
    </w:tbl>
    <w:p>
      <w:pPr>
        <w:pStyle w:val="BodyText"/>
      </w:pPr>
    </w:p>
    <w:bookmarkEnd w:id="177"/>
    <w:bookmarkStart w:id="182" w:name="activity-2-try-it-out-questions"/>
    <w:p>
      <w:pPr>
        <w:pStyle w:val="Heading3"/>
      </w:pPr>
      <w:r>
        <w:rPr>
          <w:rStyle w:val="SectionNumber"/>
        </w:rPr>
        <w:t xml:space="preserve">6.3.4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 class poster.</w:t>
      </w:r>
      <w:r>
        <w:br/>
      </w:r>
      <w:hyperlink r:id="rId38">
        <w:r>
          <w:rPr>
            <w:rStyle w:val="Hyperlink"/>
          </w:rPr>
          <w:t xml:space="preserve">Class Poster</w:t>
        </w:r>
      </w:hyperlink>
    </w:p>
    <w:p>
      <w:pPr>
        <w:pStyle w:val="BodyText"/>
      </w:pPr>
      <w:r>
        <w:t xml:space="preserve">There are 4 different questions for groups to explore. Take a look at the four questions below and go to the section of your chosen question for more instructions!</w:t>
      </w:r>
    </w:p>
    <w:bookmarkStart w:id="178" w:name="X3970f89dd765a83559f7ef93a84d5c8174de857"/>
    <w:p>
      <w:pPr>
        <w:pStyle w:val="Heading4"/>
      </w:pPr>
      <w:r>
        <w:rPr>
          <w:rStyle w:val="SectionNumber"/>
        </w:rPr>
        <w:t xml:space="preserve">6.3.4.1</w:t>
      </w:r>
      <w:r>
        <w:tab/>
      </w:r>
      <w:r>
        <w:t xml:space="preserve">Question 1. What has more impact on human microbial variation, diet or individuality?</w:t>
      </w:r>
    </w:p>
    <w:p>
      <w:pPr>
        <w:pStyle w:val="FirstParagraph"/>
      </w:pPr>
      <w:r>
        <w:t xml:space="preserve">Diet is suggested to play an important role in shaping the human gut microbiome. However, other factors that are specific to an individual such as their physical fitness, metabolism, and genotype are also suspected to play a strong role. Here we will explore the impact of diet and individuality on human gut microbiome.</w:t>
      </w:r>
    </w:p>
    <w:p>
      <w:pPr>
        <w:pStyle w:val="BodyText"/>
      </w:pPr>
      <w:r>
        <w:t xml:space="preserve">Approach: Examine high-level (Phylum) taxonomy for 5 timepoints and 21 individuals and evaluate if the change of diet or inter-individual differences have more impact on microbe variation.</w:t>
      </w:r>
    </w:p>
    <w:p>
      <w:pPr>
        <w:numPr>
          <w:ilvl w:val="0"/>
          <w:numId w:val="1080"/>
        </w:numPr>
        <w:pStyle w:val="Compact"/>
      </w:pPr>
      <w:r>
        <w:t xml:space="preserve">Evaluate the effect of diet – Plot the three dietary groups BD, HD, and WO corresponding to 5 experimental timepoints (where timepoints 1 and 2 are BD, timepoints 3 and 4 are HD and timepoint 5 is WO).</w:t>
      </w:r>
    </w:p>
    <w:p>
      <w:pPr>
        <w:numPr>
          <w:ilvl w:val="0"/>
          <w:numId w:val="1080"/>
        </w:numPr>
        <w:pStyle w:val="Compact"/>
      </w:pPr>
      <w:r>
        <w:t xml:space="preserve">Evaluate the effect of individuality – Plot the microbiome for all 21 individuals but focus on just the HD timepointgroup (where diet is the same).</w:t>
      </w:r>
    </w:p>
    <w:bookmarkEnd w:id="178"/>
    <w:bookmarkStart w:id="179" w:name="Xff240a2d483d54ced52f51f9c4c7d07d2360700"/>
    <w:p>
      <w:pPr>
        <w:pStyle w:val="Heading4"/>
      </w:pPr>
      <w:r>
        <w:rPr>
          <w:rStyle w:val="SectionNumber"/>
        </w:rPr>
        <w:t xml:space="preserve">6.3.4.2</w:t>
      </w:r>
      <w:r>
        <w:tab/>
      </w:r>
      <w:r>
        <w:t xml:space="preserve">Question 2. What are some of the most abundant microbes when viewed at different taxonomic resolutions?</w:t>
      </w:r>
    </w:p>
    <w:p>
      <w:pPr>
        <w:pStyle w:val="FirstParagraph"/>
      </w:pPr>
      <w:r>
        <w:t xml:space="preserve">Microbes within the core microbiome - the most common and abundant species across samples in a given group - are likely to be involved in key functions of the holobiont. However, the thousands of species present in the human gut is difficult to visualize and interpret when done all at once. One approach is the focus on the most abundant taxa at a given taxonomic rank.</w:t>
      </w:r>
    </w:p>
    <w:p>
      <w:pPr>
        <w:pStyle w:val="BodyText"/>
      </w:pPr>
      <w:r>
        <w:t xml:space="preserve">Approach: Examine microbial composition for most abundant taxonomic ranks in the human gut of the 21 individuals. To do so, you will use progressive sub-setting of the most abundant taxonomic ranks ranging from Phylum down to Species.</w:t>
      </w:r>
    </w:p>
    <w:p>
      <w:pPr>
        <w:numPr>
          <w:ilvl w:val="0"/>
          <w:numId w:val="1081"/>
        </w:numPr>
        <w:pStyle w:val="Compact"/>
      </w:pPr>
      <w:r>
        <w:t xml:space="preserve">Plot all the Phyla and identify the most abundant Phylum</w:t>
      </w:r>
    </w:p>
    <w:p>
      <w:pPr>
        <w:numPr>
          <w:ilvl w:val="0"/>
          <w:numId w:val="1081"/>
        </w:numPr>
        <w:pStyle w:val="Compact"/>
      </w:pPr>
      <w:r>
        <w:t xml:space="preserve">Subset the most abundant Phylum, and plot all the Orders</w:t>
      </w:r>
    </w:p>
    <w:p>
      <w:pPr>
        <w:numPr>
          <w:ilvl w:val="0"/>
          <w:numId w:val="1081"/>
        </w:numPr>
        <w:pStyle w:val="Compact"/>
      </w:pPr>
      <w:r>
        <w:t xml:space="preserve">Subset the most abundant Order, and plot all the Families</w:t>
      </w:r>
    </w:p>
    <w:p>
      <w:pPr>
        <w:numPr>
          <w:ilvl w:val="0"/>
          <w:numId w:val="1081"/>
        </w:numPr>
        <w:pStyle w:val="Compact"/>
      </w:pPr>
      <w:r>
        <w:t xml:space="preserve">Subset the most abundant Family, and plot all the Genera</w:t>
      </w:r>
    </w:p>
    <w:p>
      <w:pPr>
        <w:numPr>
          <w:ilvl w:val="0"/>
          <w:numId w:val="1081"/>
        </w:numPr>
        <w:pStyle w:val="Compact"/>
      </w:pPr>
      <w:r>
        <w:t xml:space="preserve">Subset the most abundant Genus, and plot all the Species</w:t>
      </w:r>
    </w:p>
    <w:bookmarkEnd w:id="179"/>
    <w:bookmarkStart w:id="180" w:name="Xceaa160192ac623c0852540bd90f0b232ee8573"/>
    <w:p>
      <w:pPr>
        <w:pStyle w:val="Heading4"/>
      </w:pPr>
      <w:r>
        <w:rPr>
          <w:rStyle w:val="SectionNumber"/>
        </w:rPr>
        <w:t xml:space="preserve">6.3.4.3</w:t>
      </w:r>
      <w:r>
        <w:tab/>
      </w:r>
      <w:r>
        <w:t xml:space="preserve">Question 3. Does gender have an impact on the human gut microbiome?</w:t>
      </w:r>
    </w:p>
    <w:p>
      <w:pPr>
        <w:pStyle w:val="FirstParagraph"/>
      </w:pPr>
      <w:r>
        <w:t xml:space="preserve">The biological sex of the host has been suggested to help shape or influence its gut microbiome. Some candidate microbes have been implicated in sex differences. Here we will explore the potential gender-based differences in the human gut microbiome.</w:t>
      </w:r>
    </w:p>
    <w:p>
      <w:pPr>
        <w:pStyle w:val="BodyText"/>
      </w:pPr>
      <w:r>
        <w:t xml:space="preserve">Approach: Test if Phyla and/or species vary based on gender. First you will survey the differences between male and female subjects in the composition of their Phylum and species. Then you will select some candidate microbes of interest to examine in further detail.</w:t>
      </w:r>
    </w:p>
    <w:p>
      <w:pPr>
        <w:numPr>
          <w:ilvl w:val="0"/>
          <w:numId w:val="1082"/>
        </w:numPr>
        <w:pStyle w:val="Compact"/>
      </w:pPr>
      <w:r>
        <w:t xml:space="preserve">Survey differences in phylum and species composition by gender.</w:t>
      </w:r>
    </w:p>
    <w:p>
      <w:pPr>
        <w:numPr>
          <w:ilvl w:val="0"/>
          <w:numId w:val="1082"/>
        </w:numPr>
        <w:pStyle w:val="Compact"/>
      </w:pPr>
      <w:r>
        <w:t xml:space="preserve">Plot differences in species for a high abundance phylum by gender.</w:t>
      </w:r>
    </w:p>
    <w:p>
      <w:pPr>
        <w:numPr>
          <w:ilvl w:val="0"/>
          <w:numId w:val="1082"/>
        </w:numPr>
        <w:pStyle w:val="Compact"/>
      </w:pPr>
      <w:r>
        <w:t xml:space="preserve">Plot differences in species for a low abundance phylum by gender.</w:t>
      </w:r>
    </w:p>
    <w:p>
      <w:pPr>
        <w:numPr>
          <w:ilvl w:val="0"/>
          <w:numId w:val="1082"/>
        </w:numPr>
        <w:pStyle w:val="Compact"/>
      </w:pPr>
      <w:r>
        <w:t xml:space="preserve">Plot two candidate microbes reported in the literature to vary with gender.</w:t>
      </w:r>
    </w:p>
    <w:bookmarkEnd w:id="180"/>
    <w:bookmarkStart w:id="181" w:name="X1ad1701246c1eca43dcadb7b5da61951b044c41"/>
    <w:p>
      <w:pPr>
        <w:pStyle w:val="Heading4"/>
      </w:pPr>
      <w:r>
        <w:rPr>
          <w:rStyle w:val="SectionNumber"/>
        </w:rPr>
        <w:t xml:space="preserve">6.3.4.4</w:t>
      </w:r>
      <w:r>
        <w:tab/>
      </w:r>
      <w:r>
        <w:t xml:space="preserve">Question 4. Does age have an impact on human gut microbiomes?</w:t>
      </w:r>
    </w:p>
    <w:p>
      <w:pPr>
        <w:pStyle w:val="FirstParagraph"/>
      </w:pPr>
      <w:r>
        <w:t xml:space="preserve">The human gut microbiome has been associated with age-related disease states, immune-system changes, and metabolic function. Here we will explore the potential microbiome changes associated with aging.</w:t>
      </w:r>
    </w:p>
    <w:p>
      <w:pPr>
        <w:pStyle w:val="BodyText"/>
      </w:pPr>
      <w:r>
        <w:t xml:space="preserve">Approach: Test if Phylum and/or species composition differs by age across the dataset. First you will plot the relationship between age and phylum; we will see that age is a more challenging variable to work with than our categorical variables. You will collapse and transform the data to fix this issue to create a final plot for your interpretation.</w:t>
      </w:r>
    </w:p>
    <w:p>
      <w:pPr>
        <w:numPr>
          <w:ilvl w:val="0"/>
          <w:numId w:val="1083"/>
        </w:numPr>
        <w:pStyle w:val="Compact"/>
      </w:pPr>
      <w:r>
        <w:t xml:space="preserve">Plot all Phyla based on age.</w:t>
      </w:r>
    </w:p>
    <w:p>
      <w:pPr>
        <w:numPr>
          <w:ilvl w:val="0"/>
          <w:numId w:val="1083"/>
        </w:numPr>
        <w:pStyle w:val="Compact"/>
      </w:pPr>
      <w:r>
        <w:t xml:space="preserve">Normalize age that includes multiple individuals to avoid overestimation (e.g., 2 individuals are of age 27, 46 and 58, and 3 individuals are 54).</w:t>
      </w:r>
    </w:p>
    <w:p>
      <w:pPr>
        <w:numPr>
          <w:ilvl w:val="0"/>
          <w:numId w:val="1083"/>
        </w:numPr>
        <w:pStyle w:val="Compact"/>
      </w:pPr>
      <w:r>
        <w:t xml:space="preserve">Profile candidate Phyla Firmicutes based on age.</w:t>
      </w:r>
    </w:p>
    <w:p>
      <w:pPr>
        <w:numPr>
          <w:ilvl w:val="0"/>
          <w:numId w:val="1083"/>
        </w:numPr>
        <w:pStyle w:val="Compact"/>
      </w:pPr>
      <w:r>
        <w:t xml:space="preserve">Profile candidate Phyla Bacteroidetes based on age.</w:t>
      </w:r>
    </w:p>
    <w:bookmarkEnd w:id="181"/>
    <w:bookmarkEnd w:id="182"/>
    <w:bookmarkStart w:id="183" w:name="grading-criteria-3"/>
    <w:p>
      <w:pPr>
        <w:pStyle w:val="Heading3"/>
      </w:pPr>
      <w:r>
        <w:rPr>
          <w:rStyle w:val="SectionNumber"/>
        </w:rPr>
        <w:t xml:space="preserve">6.3.5</w:t>
      </w:r>
      <w:r>
        <w:tab/>
      </w:r>
      <w:r>
        <w:t xml:space="preserve">Grading criteria</w:t>
      </w:r>
    </w:p>
    <w:p>
      <w:pPr>
        <w:numPr>
          <w:ilvl w:val="0"/>
          <w:numId w:val="1084"/>
        </w:numPr>
        <w:pStyle w:val="Compact"/>
      </w:pPr>
      <w:r>
        <w:t xml:space="preserve">Download the assignment to your local computer as a .docx, complete it, and upload the assignment to your LMS (Blackboard, Canvas, Google Classroom).</w:t>
      </w:r>
    </w:p>
    <w:bookmarkEnd w:id="183"/>
    <w:bookmarkStart w:id="188" w:name="footnotes-6"/>
    <w:p>
      <w:pPr>
        <w:pStyle w:val="Heading3"/>
      </w:pPr>
      <w:r>
        <w:rPr>
          <w:rStyle w:val="SectionNumber"/>
        </w:rPr>
        <w:t xml:space="preserve">6.3.6</w:t>
      </w:r>
      <w:r>
        <w:tab/>
      </w:r>
      <w:r>
        <w:t xml:space="preserve">Footnotes</w:t>
      </w:r>
    </w:p>
    <w:bookmarkStart w:id="186" w:name="resources-5"/>
    <w:p>
      <w:pPr>
        <w:pStyle w:val="Heading4"/>
      </w:pPr>
      <w:r>
        <w:rPr>
          <w:rStyle w:val="SectionNumber"/>
        </w:rPr>
        <w:t xml:space="preserve">6.3.6.1</w:t>
      </w:r>
      <w:r>
        <w:tab/>
      </w:r>
      <w:r>
        <w:t xml:space="preserve">Resources</w:t>
      </w:r>
    </w:p>
    <w:p>
      <w:pPr>
        <w:numPr>
          <w:ilvl w:val="0"/>
          <w:numId w:val="1085"/>
        </w:numPr>
      </w:pPr>
      <w:hyperlink r:id="rId38">
        <w:r>
          <w:rPr>
            <w:rStyle w:val="Hyperlink"/>
          </w:rPr>
          <w:t xml:space="preserve">Class Poster</w:t>
        </w:r>
      </w:hyperlink>
    </w:p>
    <w:p>
      <w:pPr>
        <w:numPr>
          <w:ilvl w:val="0"/>
          <w:numId w:val="1085"/>
        </w:numPr>
      </w:pPr>
      <w:hyperlink r:id="rId184">
        <w:r>
          <w:rPr>
            <w:rStyle w:val="Hyperlink"/>
          </w:rPr>
          <w:t xml:space="preserve">Google Doc</w:t>
        </w:r>
      </w:hyperlink>
    </w:p>
    <w:p>
      <w:pPr>
        <w:numPr>
          <w:ilvl w:val="0"/>
          <w:numId w:val="1085"/>
        </w:numPr>
      </w:pPr>
      <w:hyperlink r:id="rId185">
        <w:r>
          <w:rPr>
            <w:rStyle w:val="Hyperlink"/>
          </w:rPr>
          <w:t xml:space="preserve">16S rRNA R Quick Reference</w:t>
        </w:r>
      </w:hyperlink>
    </w:p>
    <w:bookmarkEnd w:id="186"/>
    <w:bookmarkStart w:id="187" w:name="contributions-and-affiliations-6"/>
    <w:p>
      <w:pPr>
        <w:pStyle w:val="Heading4"/>
      </w:pPr>
      <w:r>
        <w:rPr>
          <w:rStyle w:val="SectionNumber"/>
        </w:rPr>
        <w:t xml:space="preserve">6.3.6.2</w:t>
      </w:r>
      <w:r>
        <w:tab/>
      </w:r>
      <w:r>
        <w:t xml:space="preserve">Contributions and affiliations</w:t>
      </w:r>
    </w:p>
    <w:p>
      <w:pPr>
        <w:numPr>
          <w:ilvl w:val="0"/>
          <w:numId w:val="1086"/>
        </w:numPr>
        <w:pStyle w:val="Compact"/>
      </w:pPr>
      <w:r>
        <w:t xml:space="preserve">Valeriya Gaysinskaya, Johns Hopkins University</w:t>
      </w:r>
    </w:p>
    <w:p>
      <w:pPr>
        <w:numPr>
          <w:ilvl w:val="0"/>
          <w:numId w:val="1086"/>
        </w:numPr>
        <w:pStyle w:val="Compact"/>
      </w:pPr>
      <w:r>
        <w:t xml:space="preserve">Gauri Paul, Clovis Community College</w:t>
      </w:r>
    </w:p>
    <w:p>
      <w:pPr>
        <w:numPr>
          <w:ilvl w:val="0"/>
          <w:numId w:val="1086"/>
        </w:numPr>
        <w:pStyle w:val="Compact"/>
      </w:pPr>
      <w:r>
        <w:t xml:space="preserve">Frederick Tan, Johns Hopkins University</w:t>
      </w:r>
    </w:p>
    <w:p>
      <w:pPr>
        <w:numPr>
          <w:ilvl w:val="0"/>
          <w:numId w:val="1086"/>
        </w:numPr>
        <w:pStyle w:val="Compact"/>
      </w:pPr>
      <w:r>
        <w:t xml:space="preserve">Sayumi York, Notre Dame of Maryland University</w:t>
      </w:r>
    </w:p>
    <w:bookmarkEnd w:id="187"/>
    <w:bookmarkEnd w:id="188"/>
    <w:bookmarkEnd w:id="189"/>
    <w:bookmarkStart w:id="192" w:name="X4d4ca1b452e7987c69de277e9ce95c54822fb0d"/>
    <w:p>
      <w:pPr>
        <w:pStyle w:val="Heading2"/>
      </w:pPr>
      <w:r>
        <w:rPr>
          <w:rStyle w:val="SectionNumber"/>
        </w:rPr>
        <w:t xml:space="preserve">6.4</w:t>
      </w:r>
      <w:r>
        <w:tab/>
      </w:r>
      <w:r>
        <w:t xml:space="preserve">Try it Question 1 - What has more impact on human microbial variation, diet or individuality</w:t>
      </w:r>
    </w:p>
    <w:p>
      <w:pPr>
        <w:pStyle w:val="FirstParagraph"/>
      </w:pPr>
      <w:r>
        <w:t xml:space="preserve">Approach: Plot high level taxa (Phyla) for all timepoints and subjects and compare the plots to determine which factor has a stronger effect on microbiome composition.</w:t>
      </w:r>
    </w:p>
    <w:bookmarkStart w:id="190" w:name="Xc42490a7e52876b0cf8b34ba878c458ecf6c0d4"/>
    <w:p>
      <w:pPr>
        <w:pStyle w:val="Heading3"/>
      </w:pPr>
      <w:r>
        <w:rPr>
          <w:rStyle w:val="SectionNumber"/>
        </w:rPr>
        <w:t xml:space="preserve">6.4.1</w:t>
      </w:r>
      <w:r>
        <w:tab/>
      </w:r>
      <w:r>
        <w:t xml:space="preserve">Step 1A: Plot high-level taxonomy (Phylum level) for each timepoint using the plot_bar() function.** Specifically, your plot should show Phyla diversity across all 5 timepoints.</w:t>
      </w:r>
    </w:p>
    <w:p>
      <w:pPr>
        <w:numPr>
          <w:ilvl w:val="0"/>
          <w:numId w:val="1087"/>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87"/>
        </w:numPr>
        <w:pStyle w:val="Compact"/>
      </w:pPr>
      <w:r>
        <w:t xml:space="preserve">Ensure your plot has a title</w:t>
      </w:r>
    </w:p>
    <w:p>
      <w:pPr>
        <w:numPr>
          <w:ilvl w:val="0"/>
          <w:numId w:val="1087"/>
        </w:numPr>
        <w:pStyle w:val="Compact"/>
      </w:pPr>
      <w:r>
        <w:t xml:space="preserve">Remember, the BD diet includes timepoints 1 and 2, the HD diet includes timepoints 3 and 4, and the WO diet includes timepoint 5.</w:t>
      </w:r>
    </w:p>
    <w:p>
      <w:pPr>
        <w:numPr>
          <w:ilvl w:val="0"/>
          <w:numId w:val="1087"/>
        </w:numPr>
        <w:pStyle w:val="Compact"/>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figure 1A below.</w:t>
            </w:r>
          </w:p>
        </w:tc>
      </w:tr>
      <w:tr>
        <w:tc>
          <w:tcPr/>
          <w:p>
            <w:pPr>
              <w:pStyle w:val="Compact"/>
              <w:jc w:val="left"/>
            </w:pPr>
          </w:p>
        </w:tc>
      </w:tr>
    </w:tbl>
    <w:p>
      <w:pPr>
        <w:pStyle w:val="BodyText"/>
      </w:pPr>
    </w:p>
    <w:p>
      <w:pPr>
        <w:pStyle w:val="BodyText"/>
      </w:pPr>
      <w:r>
        <w:rPr>
          <w:bCs/>
          <w:b/>
        </w:rPr>
        <w:t xml:space="preserve">1A-2. State your conclusion for Figure 1A below.</w:t>
      </w:r>
    </w:p>
    <w:p>
      <w:pPr>
        <w:numPr>
          <w:ilvl w:val="0"/>
          <w:numId w:val="1088"/>
        </w:numPr>
        <w:pStyle w:val="Compact"/>
      </w:pPr>
      <w:r>
        <w:t xml:space="preserve">Include a list of the identified Phyla and their names</w:t>
      </w:r>
    </w:p>
    <w:p>
      <w:pPr>
        <w:numPr>
          <w:ilvl w:val="0"/>
          <w:numId w:val="1088"/>
        </w:numPr>
        <w:pStyle w:val="Compact"/>
      </w:pPr>
      <w:r>
        <w:t xml:space="preserve">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0"/>
    <w:bookmarkStart w:id="191" w:name="Xc78212b44611b2036a33bea1f2cb97e3f1cb28f"/>
    <w:p>
      <w:pPr>
        <w:pStyle w:val="Heading3"/>
      </w:pPr>
      <w:r>
        <w:rPr>
          <w:rStyle w:val="SectionNumber"/>
        </w:rPr>
        <w:t xml:space="preserve">6.4.2</w:t>
      </w:r>
      <w:r>
        <w:tab/>
      </w:r>
      <w:r>
        <w:t xml:space="preserve">Step 1B: Plot high-level taxonomy (Phylum level) for each individual, using only normalized homogenized diet</w:t>
      </w:r>
      <w:r>
        <w:t xml:space="preserve"> </w:t>
      </w:r>
      <w:r>
        <w:t xml:space="preserve">“</w:t>
      </w:r>
      <w:r>
        <w:t xml:space="preserve">HD</w:t>
      </w:r>
      <w:r>
        <w:t xml:space="preserve">”</w:t>
      </w:r>
      <w:r>
        <w:t xml:space="preserve"> </w:t>
      </w:r>
      <w:r>
        <w:t xml:space="preserve">timepoints to minimize contribution of diet to the analysis using the plot_bar() function. Specifically, your plot should show Phyla diversity across all 21 individuals at HD timepoints.</w:t>
      </w:r>
    </w:p>
    <w:p>
      <w:pPr>
        <w:numPr>
          <w:ilvl w:val="0"/>
          <w:numId w:val="1089"/>
        </w:numPr>
        <w:pStyle w:val="Compact"/>
      </w:pPr>
      <w:r>
        <w:t xml:space="preserve">Use the command below to create a phyloseq object with only</w:t>
      </w:r>
      <w:r>
        <w:t xml:space="preserve"> </w:t>
      </w:r>
      <w:r>
        <w:t xml:space="preserve">“</w:t>
      </w:r>
      <w:r>
        <w:t xml:space="preserve">HD</w:t>
      </w:r>
      <w:r>
        <w:t xml:space="preserve">”</w:t>
      </w:r>
      <w:r>
        <w:t xml:space="preserve"> </w:t>
      </w:r>
      <w:r>
        <w:t xml:space="preserve">timepoints</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"HD"</w:t>
      </w:r>
      <w:r>
        <w:rPr>
          <w:rStyle w:val="NormalTok"/>
        </w:rPr>
        <w:t xml:space="preserve">)</w:t>
      </w:r>
    </w:p>
    <w:p>
      <w:pPr>
        <w:numPr>
          <w:ilvl w:val="0"/>
          <w:numId w:val="1090"/>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0"/>
        </w:numPr>
        <w:pStyle w:val="Compact"/>
      </w:pPr>
      <w:r>
        <w:t xml:space="preserve">Ensure your plot has a title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figure 1B below.</w:t>
            </w:r>
          </w:p>
        </w:tc>
      </w:tr>
      <w:tr>
        <w:tc>
          <w:tcPr/>
          <w:p>
            <w:pPr>
              <w:pStyle w:val="Compact"/>
              <w:jc w:val="left"/>
            </w:pPr>
          </w:p>
        </w:tc>
      </w:tr>
    </w:tbl>
    <w:p>
      <w:pPr>
        <w:pStyle w:val="BodyText"/>
      </w:pPr>
    </w:p>
    <w:p>
      <w:pPr>
        <w:pStyle w:val="BodyText"/>
      </w:pPr>
      <w:r>
        <w:rPr>
          <w:bCs/>
          <w:b/>
        </w:rPr>
        <w:t xml:space="preserve">1B-2. State your conclusion for Figure 1B below.</w:t>
      </w:r>
      <w:r>
        <w:t xml:space="preserve"> </w:t>
      </w:r>
      <w:r>
        <w:t xml:space="preserve">- Include a list of the identified Phyla and their names</w:t>
      </w:r>
      <w:r>
        <w:t xml:space="preserve"> </w:t>
      </w:r>
      <w:r>
        <w:t xml:space="preserve">- Include if you think there is a difference between conditions and your reasoning why or why not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A suggestion for your poster:</w:t>
      </w:r>
    </w:p>
    <w:p>
      <w:pPr>
        <w:numPr>
          <w:ilvl w:val="0"/>
          <w:numId w:val="1091"/>
        </w:numPr>
        <w:pStyle w:val="Compact"/>
      </w:pPr>
      <w:r>
        <w:t xml:space="preserve">Combine plot 1A-1 and 1B-1 into a single figure. Include their titles and short figure description (figure legend).</w:t>
      </w:r>
    </w:p>
    <w:p>
      <w:pPr>
        <w:numPr>
          <w:ilvl w:val="0"/>
          <w:numId w:val="1091"/>
        </w:numPr>
        <w:pStyle w:val="Compact"/>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1"/>
    <w:bookmarkEnd w:id="192"/>
    <w:bookmarkStart w:id="198" w:name="X52620bebbd61fa8f7bc585afe2b70105c561004"/>
    <w:p>
      <w:pPr>
        <w:pStyle w:val="Heading2"/>
      </w:pPr>
      <w:r>
        <w:rPr>
          <w:rStyle w:val="SectionNumber"/>
        </w:rPr>
        <w:t xml:space="preserve">6.5</w:t>
      </w:r>
      <w:r>
        <w:tab/>
      </w:r>
      <w:r>
        <w:t xml:space="preserve">Try it Question 2 - What are some of the most abundant microbes when viewed at different taxonomic resolutions</w:t>
      </w:r>
    </w:p>
    <w:p>
      <w:pPr>
        <w:pStyle w:val="FirstParagraph"/>
      </w:pPr>
      <w:r>
        <w:t xml:space="preserve">Approach: Plot progressively lower level taxa for all individuals, subsetting most abundant from each rank.</w:t>
      </w:r>
    </w:p>
    <w:bookmarkStart w:id="193" w:name="X7b48b8da6143e29cbbda40ca37a070df2933ae3"/>
    <w:p>
      <w:pPr>
        <w:pStyle w:val="Heading3"/>
      </w:pPr>
      <w:r>
        <w:rPr>
          <w:rStyle w:val="SectionNumber"/>
        </w:rPr>
        <w:t xml:space="preserve">6.5.1</w:t>
      </w:r>
      <w:r>
        <w:tab/>
      </w:r>
      <w:r>
        <w:t xml:space="preserve">Step 2A. Plot Phyla across all subjects and identify the most abundant Phyla.** Specifically, your plot should show Phyla diversity across all 21 individuals.</w:t>
      </w:r>
    </w:p>
    <w:p>
      <w:pPr>
        <w:numPr>
          <w:ilvl w:val="0"/>
          <w:numId w:val="1092"/>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2"/>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Phyla below:</w:t>
            </w:r>
          </w:p>
        </w:tc>
      </w:tr>
      <w:tr>
        <w:tc>
          <w:tcPr/>
          <w:p>
            <w:pPr>
              <w:pStyle w:val="Compact"/>
              <w:jc w:val="left"/>
            </w:pPr>
          </w:p>
        </w:tc>
      </w:tr>
    </w:tbl>
    <w:p>
      <w:pPr>
        <w:pStyle w:val="BodyText"/>
      </w:pPr>
    </w:p>
    <w:bookmarkEnd w:id="193"/>
    <w:bookmarkStart w:id="197" w:name="X7139f1be24f956f0f40afe6682cc8c0c7c9716b"/>
    <w:p>
      <w:pPr>
        <w:pStyle w:val="Heading3"/>
      </w:pPr>
      <w:r>
        <w:rPr>
          <w:rStyle w:val="SectionNumber"/>
        </w:rPr>
        <w:t xml:space="preserve">6.5.2</w:t>
      </w:r>
      <w:r>
        <w:tab/>
      </w:r>
      <w:r>
        <w:t xml:space="preserve">Step 2B. Subset the most abundant Phyla, and plot Order (Skip Class)</w:t>
      </w:r>
    </w:p>
    <w:p>
      <w:pPr>
        <w:numPr>
          <w:ilvl w:val="0"/>
          <w:numId w:val="109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3"/>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"Order"</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Enter the name of the most abundant Order below:</w:t>
            </w:r>
          </w:p>
        </w:tc>
      </w:tr>
      <w:tr>
        <w:tc>
          <w:tcPr/>
          <w:p>
            <w:pPr>
              <w:pStyle w:val="Compact"/>
              <w:jc w:val="left"/>
            </w:pPr>
          </w:p>
        </w:tc>
      </w:tr>
    </w:tbl>
    <w:p>
      <w:pPr>
        <w:pStyle w:val="BodyText"/>
      </w:pPr>
    </w:p>
    <w:bookmarkStart w:id="194" w:name="Xabbdf55606f58d7d6fafd9bc2edb7defe600b03"/>
    <w:p>
      <w:pPr>
        <w:pStyle w:val="Heading4"/>
      </w:pPr>
      <w:r>
        <w:rPr>
          <w:rStyle w:val="SectionNumber"/>
        </w:rPr>
        <w:t xml:space="preserve">6.5.2.1</w:t>
      </w:r>
      <w:r>
        <w:tab/>
      </w:r>
      <w:r>
        <w:t xml:space="preserve">Step 2C. Subset the most abundant Order, and plot associated Family</w:t>
      </w:r>
    </w:p>
    <w:p>
      <w:pPr>
        <w:numPr>
          <w:ilvl w:val="0"/>
          <w:numId w:val="1094"/>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4"/>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Order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"Family"</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2C-2. Enter the name of the most abundant Family below:</w:t>
            </w:r>
          </w:p>
        </w:tc>
      </w:tr>
      <w:tr>
        <w:tc>
          <w:tcPr/>
          <w:p>
            <w:pPr>
              <w:pStyle w:val="Compact"/>
              <w:jc w:val="left"/>
            </w:pPr>
          </w:p>
        </w:tc>
      </w:tr>
    </w:tbl>
    <w:p>
      <w:pPr>
        <w:pStyle w:val="BodyText"/>
      </w:pPr>
    </w:p>
    <w:bookmarkEnd w:id="194"/>
    <w:bookmarkStart w:id="195" w:name="X8503efb866327a0b909fbc74abc6bbf2b7abd54"/>
    <w:p>
      <w:pPr>
        <w:pStyle w:val="Heading4"/>
      </w:pPr>
      <w:r>
        <w:rPr>
          <w:rStyle w:val="SectionNumber"/>
        </w:rPr>
        <w:t xml:space="preserve">6.5.2.2</w:t>
      </w:r>
      <w:r>
        <w:tab/>
      </w:r>
      <w:r>
        <w:t xml:space="preserve">Step 2D. Subset most abundant Family, and plot associated Genus</w:t>
      </w:r>
    </w:p>
    <w:p>
      <w:pPr>
        <w:numPr>
          <w:ilvl w:val="0"/>
          <w:numId w:val="1095"/>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5"/>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Family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"Genus"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2D-1. Insert the resulting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2D-2. Enter the name of the most abundant Genus of your chosen Family below:</w:t>
            </w:r>
          </w:p>
        </w:tc>
      </w:tr>
      <w:tr>
        <w:tc>
          <w:tcPr/>
          <w:p>
            <w:pPr>
              <w:pStyle w:val="Compact"/>
              <w:jc w:val="left"/>
            </w:pPr>
          </w:p>
        </w:tc>
      </w:tr>
    </w:tbl>
    <w:p>
      <w:pPr>
        <w:pStyle w:val="BodyText"/>
      </w:pPr>
    </w:p>
    <w:bookmarkEnd w:id="195"/>
    <w:bookmarkStart w:id="196" w:name="X297f878056c0b28dc2a46fdbf7aa111b883b0b1"/>
    <w:p>
      <w:pPr>
        <w:pStyle w:val="Heading4"/>
      </w:pPr>
      <w:r>
        <w:rPr>
          <w:rStyle w:val="SectionNumber"/>
        </w:rPr>
        <w:t xml:space="preserve">6.5.2.3</w:t>
      </w:r>
      <w:r>
        <w:tab/>
      </w:r>
      <w:r>
        <w:t xml:space="preserve">Step 2E. Subset the most abundant Genus, and plot associated Species</w:t>
      </w:r>
    </w:p>
    <w:p>
      <w:pPr>
        <w:numPr>
          <w:ilvl w:val="0"/>
          <w:numId w:val="1096"/>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096"/>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Genus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097"/>
        </w:numPr>
      </w:pPr>
      <w:r>
        <w:t xml:space="preserve">Note, given the many different Species associated with an abundant Genus, we may need to reduce the legend text and key size in order to visualize the plot better.</w:t>
      </w:r>
    </w:p>
    <w:p>
      <w:pPr>
        <w:numPr>
          <w:ilvl w:val="0"/>
          <w:numId w:val="1097"/>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2E-2. Enter the name of the some of the most abundant species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2E-3. After looking through all your plots, summarize your conclusion regarding individual microbiome composition diversity. Explain what reasoning led you to your conclusion.</w:t>
            </w:r>
          </w:p>
        </w:tc>
      </w:tr>
      <w:tr>
        <w:tc>
          <w:tcPr/>
          <w:p>
            <w:pPr>
              <w:pStyle w:val="Compact"/>
              <w:jc w:val="left"/>
            </w:pPr>
          </w:p>
        </w:tc>
      </w:tr>
    </w:tbl>
    <w:p>
      <w:pPr>
        <w:pStyle w:val="BodyText"/>
      </w:pPr>
    </w:p>
    <w:p>
      <w:pPr>
        <w:pStyle w:val="BodyText"/>
      </w:pPr>
      <w:r>
        <w:t xml:space="preserve">A suggestion for your poster:</w:t>
      </w:r>
    </w:p>
    <w:p>
      <w:pPr>
        <w:numPr>
          <w:ilvl w:val="0"/>
          <w:numId w:val="1098"/>
        </w:numPr>
      </w:pPr>
      <w:r>
        <w:t xml:space="preserve">Combine 4 plots into a single Figure showing your subsetting of the most abundant Order, Family, Genus, and Species. Skip showing Phyla because the group working on Activity 1 will have Phyla data and show a plot for that. Include title and short figure description (figure legend).</w:t>
      </w:r>
    </w:p>
    <w:p>
      <w:pPr>
        <w:numPr>
          <w:ilvl w:val="0"/>
          <w:numId w:val="1098"/>
        </w:numPr>
      </w:pPr>
      <w:r>
        <w:t xml:space="preserve">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196"/>
    <w:bookmarkEnd w:id="197"/>
    <w:bookmarkEnd w:id="198"/>
    <w:bookmarkStart w:id="203" w:name="Xf07bdb27473f6c68d614de5835bcfe771092cc5"/>
    <w:p>
      <w:pPr>
        <w:pStyle w:val="Heading2"/>
      </w:pPr>
      <w:r>
        <w:rPr>
          <w:rStyle w:val="SectionNumber"/>
        </w:rPr>
        <w:t xml:space="preserve">6.6</w:t>
      </w:r>
      <w:r>
        <w:tab/>
      </w:r>
      <w:r>
        <w:t xml:space="preserve">Try it Question 3 - Does gender contribute to individual microbiome variation</w:t>
      </w:r>
    </w:p>
    <w:p>
      <w:pPr>
        <w:pStyle w:val="FirstParagraph"/>
      </w:pPr>
      <w:r>
        <w:t xml:space="preserve">Approach: First survey the differences in microbiome across gender at the level of phyla and species, and identify potential candidates that may differ between males and females. Then, plot your candidates of interest and additional candidate microbes previously associated with gender-based variation.</w:t>
      </w:r>
    </w:p>
    <w:bookmarkStart w:id="199" w:name="X30c62400bcd05f0224a1b73321b93f9cca6d687"/>
    <w:p>
      <w:pPr>
        <w:pStyle w:val="Heading4"/>
      </w:pPr>
      <w:r>
        <w:rPr>
          <w:rStyle w:val="SectionNumber"/>
        </w:rPr>
        <w:t xml:space="preserve">6.6.0.1</w:t>
      </w:r>
      <w:r>
        <w:tab/>
      </w:r>
      <w:r>
        <w:t xml:space="preserve">Step 3A. Perform an initial survey to see if there are any differences in phyla and species composition between genders.</w:t>
      </w:r>
    </w:p>
    <w:p>
      <w:pPr>
        <w:pStyle w:val="FirstParagraph"/>
      </w:pPr>
      <w:r>
        <w:t xml:space="preserve">Specifically, your plot should show phyla diversity within male and female groups.</w:t>
      </w:r>
    </w:p>
    <w:p>
      <w:pPr>
        <w:numPr>
          <w:ilvl w:val="0"/>
          <w:numId w:val="1099"/>
        </w:numPr>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099"/>
        </w:numPr>
      </w:pPr>
      <w:r>
        <w:t xml:space="preserve">Use the following code as a template: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p>
      <w:pPr>
        <w:pStyle w:val="BodyText"/>
      </w:pPr>
      <w:r>
        <w:t xml:space="preserve">Consider any initial differences you see, then choose one high-abundant and one low-abundant candidate Phylum that shows hints of being differentially abundant between genders.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Record the phylum you chose:</w:t>
            </w:r>
          </w:p>
        </w:tc>
      </w:tr>
      <w:tr>
        <w:tc>
          <w:tcPr/>
          <w:p>
            <w:pPr>
              <w:pStyle w:val="Compact"/>
              <w:jc w:val="left"/>
            </w:pPr>
          </w:p>
        </w:tc>
      </w:tr>
    </w:tbl>
    <w:p>
      <w:pPr>
        <w:pStyle w:val="BodyText"/>
      </w:pPr>
    </w:p>
    <w:bookmarkEnd w:id="199"/>
    <w:bookmarkStart w:id="200" w:name="X489b42404d1e8570eb5f41cc0ab48400a0c8e3f"/>
    <w:p>
      <w:pPr>
        <w:pStyle w:val="Heading4"/>
      </w:pPr>
      <w:r>
        <w:rPr>
          <w:rStyle w:val="SectionNumber"/>
        </w:rPr>
        <w:t xml:space="preserve">6.6.0.2</w:t>
      </w:r>
      <w:r>
        <w:tab/>
      </w:r>
      <w:r>
        <w:t xml:space="preserve">Step 3B. Test gender-based difference in Species for the high abundant phylum you selected. Specifically, your plot should show species diversity within male and female groups for only your phylum of choice.</w:t>
      </w:r>
    </w:p>
    <w:p>
      <w:pPr>
        <w:numPr>
          <w:ilvl w:val="0"/>
          <w:numId w:val="1100"/>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00"/>
        </w:numPr>
      </w:pPr>
      <w:r>
        <w:t xml:space="preserve">Use the following code as a starter:</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br/>
      </w:r>
      <w:r>
        <w:rPr>
          <w:rStyle w:val="FunctionTok"/>
        </w:rPr>
        <w:t xml:space="preserve">plot_bar</w:t>
      </w:r>
      <w:r>
        <w:rPr>
          <w:rStyle w:val="NormalTok"/>
        </w:rPr>
        <w:t xml:space="preserve">(subset,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"Species"</w:t>
      </w:r>
      <w:r>
        <w:rPr>
          <w:rStyle w:val="NormalTok"/>
        </w:rPr>
        <w:t xml:space="preserve">, </w:t>
      </w:r>
      <w:r>
        <w:rPr>
          <w:rStyle w:val="AttributeTok"/>
        </w:rPr>
        <w:t xml:space="preserve">title =</w:t>
      </w:r>
      <w:r>
        <w:rPr>
          <w:rStyle w:val="NormalTok"/>
        </w:rPr>
        <w:t xml:space="preserve"> </w:t>
      </w:r>
      <w:r>
        <w:rPr>
          <w:rStyle w:val="StringTok"/>
        </w:rPr>
        <w:t xml:space="preserve">"choose a name for your graph"</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101"/>
        </w:numPr>
      </w:pPr>
      <w:r>
        <w:t xml:space="preserve">Note, given the many different Species associated with an abundant Genus, we may need to reduce the legend text and key size in order to visualize the plot better.</w:t>
      </w:r>
    </w:p>
    <w:p>
      <w:pPr>
        <w:numPr>
          <w:ilvl w:val="0"/>
          <w:numId w:val="1101"/>
        </w:numPr>
      </w:pPr>
      <w:r>
        <w:t xml:space="preserve">You can do so by adding the following lines of code: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Do you observe any differences in species based on gender?</w:t>
            </w:r>
          </w:p>
        </w:tc>
      </w:tr>
      <w:tr>
        <w:tc>
          <w:tcPr/>
          <w:p>
            <w:pPr>
              <w:pStyle w:val="Compact"/>
              <w:jc w:val="left"/>
            </w:pPr>
          </w:p>
        </w:tc>
      </w:tr>
    </w:tbl>
    <w:p>
      <w:pPr>
        <w:pStyle w:val="BodyText"/>
      </w:pPr>
    </w:p>
    <w:bookmarkEnd w:id="200"/>
    <w:bookmarkStart w:id="201" w:name="Xb894903059dcddb99417701dd118a39d26ae795"/>
    <w:p>
      <w:pPr>
        <w:pStyle w:val="Heading3"/>
      </w:pPr>
      <w:r>
        <w:rPr>
          <w:rStyle w:val="SectionNumber"/>
        </w:rPr>
        <w:t xml:space="preserve">6.6.1</w:t>
      </w:r>
      <w:r>
        <w:tab/>
      </w:r>
      <w:r>
        <w:t xml:space="preserve">Step 3C. Test gender-based difference in Species for the low abundant phylum you selected.** Specifically, your plot should show species diversity within male and female groups for only your phylum of choice.</w:t>
      </w:r>
    </w:p>
    <w:p>
      <w:pPr>
        <w:numPr>
          <w:ilvl w:val="0"/>
          <w:numId w:val="1102"/>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02"/>
        </w:numPr>
      </w:pPr>
      <w:r>
        <w:t xml:space="preserve">Use the code you used in Step 3B as a template for your code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bookmarkEnd w:id="201"/>
    <w:bookmarkStart w:id="202" w:name="X5f70ddfa74df22de0026f05f7ad8eac7deb90ee"/>
    <w:p>
      <w:pPr>
        <w:pStyle w:val="Heading3"/>
      </w:pPr>
      <w:r>
        <w:rPr>
          <w:rStyle w:val="SectionNumber"/>
        </w:rPr>
        <w:t xml:space="preserve">6.6.2</w:t>
      </w:r>
      <w:r>
        <w:tab/>
      </w:r>
      <w:r>
        <w:t xml:space="preserve">Step 3D: Plot the individual abundance of 2 candidate microbes for gender differences based on your analysis above, and/or the curated menu of microbes below (previously associated with gender variation), with color denoting gender.</w:t>
      </w:r>
    </w:p>
    <w:p>
      <w:pPr>
        <w:pStyle w:val="FirstParagraph"/>
      </w:pPr>
      <w:r>
        <w:t xml:space="preserve">Specifically, your plot should show the chosen microbial group across 21 subjects with the bars colored by gender.</w:t>
      </w:r>
    </w:p>
    <w:p>
      <w:pPr>
        <w:numPr>
          <w:ilvl w:val="0"/>
          <w:numId w:val="1103"/>
        </w:numPr>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03"/>
        </w:numPr>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(miso,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"subject"</w:t>
      </w:r>
      <w:r>
        <w:rPr>
          <w:rStyle w:val="NormalTok"/>
        </w:rPr>
        <w:t xml:space="preserve">, </w:t>
      </w:r>
      <w:r>
        <w:rPr>
          <w:rStyle w:val="AttributeTok"/>
        </w:rPr>
        <w:t xml:space="preserve">fill =</w:t>
      </w:r>
      <w:r>
        <w:rPr>
          <w:rStyle w:val="NormalTok"/>
        </w:rPr>
        <w:t xml:space="preserve"> </w:t>
      </w:r>
      <w:r>
        <w:rPr>
          <w:rStyle w:val="StringTok"/>
        </w:rPr>
        <w:t xml:space="preserve">"gender"</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gender, </w:t>
      </w:r>
      <w:r>
        <w:rPr>
          <w:rStyle w:val="AttributeTok"/>
        </w:rPr>
        <w:t xml:space="preserve">fill =</w:t>
      </w:r>
      <w:r>
        <w:rPr>
          <w:rStyle w:val="NormalTok"/>
        </w:rPr>
        <w:t xml:space="preserve"> gender),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pStyle w:val="FirstParagraph"/>
      </w:pPr>
      <w:r>
        <w:t xml:space="preserve">Here is the candidate list of different microbes previously implicated in gender-based variation.</w:t>
      </w:r>
    </w:p>
    <w:p>
      <w:pPr>
        <w:numPr>
          <w:ilvl w:val="0"/>
          <w:numId w:val="1104"/>
        </w:numPr>
        <w:pStyle w:val="Compact"/>
      </w:pPr>
      <w:r>
        <w:t xml:space="preserve">Phylum: Proteobacteria</w:t>
      </w:r>
    </w:p>
    <w:p>
      <w:pPr>
        <w:numPr>
          <w:ilvl w:val="0"/>
          <w:numId w:val="1104"/>
        </w:numPr>
        <w:pStyle w:val="Compact"/>
      </w:pPr>
      <w:r>
        <w:t xml:space="preserve">Order: Clostridiales</w:t>
      </w:r>
    </w:p>
    <w:p>
      <w:pPr>
        <w:numPr>
          <w:ilvl w:val="0"/>
          <w:numId w:val="1104"/>
        </w:numPr>
        <w:pStyle w:val="Compact"/>
      </w:pPr>
      <w:r>
        <w:t xml:space="preserve">Family: Ruminococcaceae</w:t>
      </w:r>
    </w:p>
    <w:p>
      <w:pPr>
        <w:numPr>
          <w:ilvl w:val="0"/>
          <w:numId w:val="1104"/>
        </w:numPr>
        <w:pStyle w:val="Compact"/>
      </w:pPr>
      <w:r>
        <w:t xml:space="preserve">Genus: Prevotella</w:t>
      </w:r>
    </w:p>
    <w:p>
      <w:pPr>
        <w:numPr>
          <w:ilvl w:val="0"/>
          <w:numId w:val="1104"/>
        </w:numPr>
        <w:pStyle w:val="Compact"/>
      </w:pPr>
      <w:r>
        <w:t xml:space="preserve">Genus: Fusobacterium</w:t>
      </w:r>
    </w:p>
    <w:p>
      <w:pPr>
        <w:numPr>
          <w:ilvl w:val="0"/>
          <w:numId w:val="1104"/>
        </w:numPr>
        <w:pStyle w:val="Compact"/>
      </w:pPr>
      <w:r>
        <w:t xml:space="preserve">Species: muciniphila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3D-1. Insert the plot from your first chosen microbial group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3D-2. Insert the plot from your second chosen microbial group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3D-3. Based on the all graphs you made, did you identify any candidate Phylum or Species that may differ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3D-4. Based on the graphs you made, what conclusion can you make about microbiome differences between genders?</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3D-5. Which seems to have more effect on microbial compositions? Gender or individual subject?</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the 2 plots that cover the entire dataset (3A-1 and 3B-1) and 2 plots from exploring microbial groups (3D) to make one figure summarizing your findings for gender based differences in microbial composition.</w:t>
      </w:r>
      <w:r>
        <w:t xml:space="preserve"> </w:t>
      </w:r>
      <w:r>
        <w:t xml:space="preserve">- Include titles and a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2"/>
    <w:bookmarkEnd w:id="203"/>
    <w:bookmarkStart w:id="207" w:name="X5ffbbefb093f912e8383b28a8f1ea2e66a65dbd"/>
    <w:p>
      <w:pPr>
        <w:pStyle w:val="Heading2"/>
      </w:pPr>
      <w:r>
        <w:rPr>
          <w:rStyle w:val="SectionNumber"/>
        </w:rPr>
        <w:t xml:space="preserve">6.7</w:t>
      </w:r>
      <w:r>
        <w:tab/>
      </w:r>
      <w:r>
        <w:t xml:space="preserve">Try it Question 4 - Does age contribute to individual microbiome variation</w:t>
      </w:r>
    </w:p>
    <w:p>
      <w:pPr>
        <w:pStyle w:val="FirstParagraph"/>
      </w:pPr>
      <w:r>
        <w:t xml:space="preserve">Approach: Survey the differences in microbiome across age, refining the plot to accommodate a continuous variable (age) and unequal sample sizes (some individuals in the study are the same age). Then, test if there is a shift in microbiome abundance of phyla Firmicutes and Bacteroidetes, two phyla suggested previously to change with age.</w:t>
      </w:r>
    </w:p>
    <w:bookmarkStart w:id="204" w:name="X2622e4cbd51e6b50ddd7c4fe93f1862f3f7f850"/>
    <w:p>
      <w:pPr>
        <w:pStyle w:val="Heading3"/>
      </w:pPr>
      <w:r>
        <w:rPr>
          <w:rStyle w:val="SectionNumber"/>
        </w:rPr>
        <w:t xml:space="preserve">6.7.1</w:t>
      </w:r>
      <w:r>
        <w:tab/>
      </w:r>
      <w:r>
        <w:t xml:space="preserve">Step 4A. Perform an initial survey to see if there are any differences in phyla related to age.</w:t>
      </w:r>
    </w:p>
    <w:p>
      <w:pPr>
        <w:pStyle w:val="FirstParagraph"/>
      </w:pPr>
      <w:r>
        <w:t xml:space="preserve">Specifically, your plot should show the relationship phyla diversity and age of an individual.</w:t>
      </w:r>
    </w:p>
    <w:p>
      <w:pPr>
        <w:numPr>
          <w:ilvl w:val="0"/>
          <w:numId w:val="1105"/>
        </w:numPr>
        <w:pStyle w:val="Compact"/>
      </w:pPr>
      <w:r>
        <w:t xml:space="preserve">Refer to the</w:t>
      </w:r>
      <w:r>
        <w:t xml:space="preserve"> </w:t>
      </w:r>
      <w:r>
        <w:t xml:space="preserve">“</w:t>
      </w:r>
      <w:r>
        <w:t xml:space="preserve">Explore 16S rRNA Data with phyloseq</w:t>
      </w:r>
      <w:r>
        <w:t xml:space="preserve">”</w:t>
      </w:r>
      <w:r>
        <w:t xml:space="preserve"> </w:t>
      </w:r>
      <w:r>
        <w:t xml:space="preserve">tutorial for help using the plot_bar() function.</w:t>
      </w:r>
    </w:p>
    <w:p>
      <w:pPr>
        <w:numPr>
          <w:ilvl w:val="0"/>
          <w:numId w:val="1105"/>
        </w:numPr>
        <w:pStyle w:val="Compact"/>
      </w:pPr>
      <w:r>
        <w:t xml:space="preserve">Use the following code as a template</w:t>
      </w:r>
      <w:r>
        <w:t xml:space="preserve"> </w:t>
      </w:r>
      <w:r>
        <w:t xml:space="preserve">plot_bar(miso,</w:t>
      </w:r>
      <w:r>
        <w:t xml:space="preserve"> </w:t>
      </w:r>
      <w:r>
        <w:t xml:space="preserve">“</w:t>
      </w:r>
      <w:r>
        <w:t xml:space="preserve">fill in the blank</w:t>
      </w:r>
      <w:r>
        <w:t xml:space="preserve">”</w:t>
      </w:r>
      <w:r>
        <w:t xml:space="preserve">, fill =</w:t>
      </w:r>
      <w:r>
        <w:t xml:space="preserve"> </w:t>
      </w:r>
      <w:r>
        <w:t xml:space="preserve">“</w:t>
      </w:r>
      <w:r>
        <w:t xml:space="preserve">fill in the blank</w:t>
      </w:r>
      <w:r>
        <w:t xml:space="preserve">”</w:t>
      </w:r>
      <w:r>
        <w:t xml:space="preserve">, title =</w:t>
      </w:r>
      <w:r>
        <w:t xml:space="preserve"> </w:t>
      </w:r>
      <w:r>
        <w:t xml:space="preserve">“</w:t>
      </w:r>
      <w:r>
        <w:t xml:space="preserve">fill in the blank</w:t>
      </w:r>
      <w:r>
        <w:t xml:space="preserve">”</w:t>
      </w:r>
      <w:r>
        <w:t xml:space="preserve">) +</w:t>
      </w:r>
      <w:r>
        <w:t xml:space="preserve"> </w:t>
      </w:r>
      <w:r>
        <w:t xml:space="preserve">geom_bar(aes(color = fill in the blank, fill = fill in the blank), stat =</w:t>
      </w:r>
      <w:r>
        <w:t xml:space="preserve"> </w:t>
      </w:r>
      <w:r>
        <w:t xml:space="preserve">“</w:t>
      </w:r>
      <w:r>
        <w:t xml:space="preserve">identity</w:t>
      </w:r>
      <w:r>
        <w:t xml:space="preserve">”</w:t>
      </w:r>
      <w:r>
        <w:t xml:space="preserve">, position =</w:t>
      </w:r>
      <w:r>
        <w:t xml:space="preserve"> </w:t>
      </w:r>
      <w:r>
        <w:t xml:space="preserve">“</w:t>
      </w:r>
      <w:r>
        <w:t xml:space="preserve">stack</w:t>
      </w:r>
      <w:r>
        <w:t xml:space="preserve">”</w:t>
      </w:r>
      <w:r>
        <w:t xml:space="preserve">)</w:t>
      </w:r>
    </w:p>
    <w:p>
      <w:pPr>
        <w:pStyle w:val="SourceCode"/>
      </w:pPr>
      <w:r>
        <w:rPr>
          <w:rStyle w:val="FunctionTok"/>
        </w:rPr>
        <w:t xml:space="preserve">plot_bar</w:t>
      </w:r>
      <w:r>
        <w:rPr>
          <w:rStyle w:val="NormalTok"/>
        </w:rPr>
        <w:t xml:space="preserve">(miso, </w:t>
      </w:r>
      <w:r>
        <w:rPr>
          <w:rStyle w:val="StringTok"/>
        </w:rPr>
        <w:t xml:space="preserve">"fill in the blank"</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Insert the resulting plot below:</w:t>
            </w:r>
          </w:p>
        </w:tc>
      </w:tr>
      <w:tr>
        <w:tc>
          <w:tcPr/>
          <w:p>
            <w:pPr>
              <w:pStyle w:val="Compact"/>
              <w:jc w:val="left"/>
            </w:pPr>
          </w:p>
        </w:tc>
      </w:tr>
    </w:tbl>
    <w:p>
      <w:pPr>
        <w:pStyle w:val="BodyText"/>
      </w:pPr>
    </w:p>
    <w:p>
      <w:pPr>
        <w:numPr>
          <w:ilvl w:val="0"/>
          <w:numId w:val="1106"/>
        </w:numPr>
        <w:pStyle w:val="Compact"/>
      </w:pPr>
      <w:r>
        <w:t xml:space="preserve">You probably found it difficult to discern any differences.</w:t>
      </w:r>
    </w:p>
    <w:p>
      <w:pPr>
        <w:numPr>
          <w:ilvl w:val="0"/>
          <w:numId w:val="1106"/>
        </w:numPr>
        <w:pStyle w:val="Compact"/>
      </w:pPr>
      <w:r>
        <w:t xml:space="preserve">Abundance is additive, so having more samples of the same age will result in adding the abundances together, so if there are say 2 samples with age 27 (as is the case), the abundance of the bar will be much higher than other ages that have only one individual.</w:t>
      </w:r>
    </w:p>
    <w:bookmarkEnd w:id="204"/>
    <w:bookmarkStart w:id="205" w:name="X4d702404d7626cb25beef07571773745b349ee9"/>
    <w:p>
      <w:pPr>
        <w:pStyle w:val="Heading3"/>
      </w:pPr>
      <w:r>
        <w:rPr>
          <w:rStyle w:val="SectionNumber"/>
        </w:rPr>
        <w:t xml:space="preserve">6.7.2</w:t>
      </w:r>
      <w:r>
        <w:tab/>
      </w:r>
      <w:r>
        <w:t xml:space="preserve">Step 4B. Merge samples by age, then re-normalize and finally re-plot Phyla by age.</w:t>
      </w:r>
    </w:p>
    <w:p>
      <w:pPr>
        <w:numPr>
          <w:ilvl w:val="0"/>
          <w:numId w:val="1107"/>
        </w:numPr>
        <w:pStyle w:val="Compact"/>
      </w:pPr>
      <w:r>
        <w:t xml:space="preserve">Merge samples of the same age, saving the resulting phyloseq object as</w:t>
      </w:r>
      <w:r>
        <w:t xml:space="preserve"> </w:t>
      </w:r>
      <w:r>
        <w:t xml:space="preserve">‘</w:t>
      </w:r>
      <w:r>
        <w:t xml:space="preserve">merge</w:t>
      </w:r>
      <w:r>
        <w:t xml:space="preserve">’</w:t>
      </w:r>
      <w:r>
        <w:t xml:space="preserve">. You will probably get a warning message letting you know</w:t>
      </w:r>
      <w:r>
        <w:t xml:space="preserve"> </w:t>
      </w:r>
      <w:r>
        <w:t xml:space="preserve">“</w:t>
      </w:r>
      <w:r>
        <w:t xml:space="preserve">NAs were introduced by coercion.</w:t>
      </w:r>
      <w:r>
        <w:t xml:space="preserve">”</w:t>
      </w:r>
      <w:r>
        <w:t xml:space="preserve"> </w:t>
      </w:r>
      <w:r>
        <w:t xml:space="preserve">That is OK.</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merge_samples</w:t>
      </w:r>
      <w:r>
        <w:rPr>
          <w:rStyle w:val="NormalTok"/>
        </w:rPr>
        <w:t xml:space="preserve">(miso, </w:t>
      </w:r>
      <w:r>
        <w:rPr>
          <w:rStyle w:val="StringTok"/>
        </w:rPr>
        <w:t xml:space="preserve">"age"</w:t>
      </w:r>
      <w:r>
        <w:rPr>
          <w:rStyle w:val="NormalTok"/>
        </w:rPr>
        <w:t xml:space="preserve">)</w:t>
      </w:r>
    </w:p>
    <w:p>
      <w:pPr>
        <w:numPr>
          <w:ilvl w:val="0"/>
          <w:numId w:val="1108"/>
        </w:numPr>
        <w:pStyle w:val="Compact"/>
      </w:pPr>
      <w:r>
        <w:t xml:space="preserve">Check your merged phyloseq object. Your new</w:t>
      </w:r>
      <w:r>
        <w:t xml:space="preserve"> </w:t>
      </w:r>
      <w:r>
        <w:t xml:space="preserve">‘</w:t>
      </w:r>
      <w:r>
        <w:t xml:space="preserve">merge</w:t>
      </w:r>
      <w:r>
        <w:t xml:space="preserve">’</w:t>
      </w:r>
      <w:r>
        <w:t xml:space="preserve"> </w:t>
      </w:r>
      <w:r>
        <w:t xml:space="preserve">object should have 16 samples corresponding to 16 unique ages in the MISO dataset.</w:t>
      </w:r>
    </w:p>
    <w:p>
      <w:pPr>
        <w:pStyle w:val="SourceCode"/>
      </w:pPr>
      <w:r>
        <w:rPr>
          <w:rStyle w:val="NormalTok"/>
        </w:rPr>
        <w:t xml:space="preserve">merge</w:t>
      </w:r>
      <w:r>
        <w:br/>
      </w:r>
      <w:r>
        <w:br/>
      </w:r>
      <w:r>
        <w:rPr>
          <w:rStyle w:val="NormalTok"/>
        </w:rPr>
        <w:t xml:space="preserve">phyloseq</w:t>
      </w:r>
      <w:r>
        <w:rPr>
          <w:rStyle w:val="SpecialCharTok"/>
        </w:rPr>
        <w:t xml:space="preserve">-</w:t>
      </w:r>
      <w:r>
        <w:rPr>
          <w:rStyle w:val="NormalTok"/>
        </w:rPr>
        <w:t xml:space="preserve">class experiment</w:t>
      </w:r>
      <w:r>
        <w:rPr>
          <w:rStyle w:val="SpecialCharTok"/>
        </w:rPr>
        <w:t xml:space="preserve">-</w:t>
      </w:r>
      <w:r>
        <w:rPr>
          <w:rStyle w:val="NormalTok"/>
        </w:rPr>
        <w:t xml:space="preserve">level object</w:t>
      </w:r>
      <w:r>
        <w:br/>
      </w:r>
      <w:r>
        <w:rPr>
          <w:rStyle w:val="FunctionTok"/>
        </w:rPr>
        <w:t xml:space="preserve">otu_table</w:t>
      </w:r>
      <w:r>
        <w:rPr>
          <w:rStyle w:val="NormalTok"/>
        </w:rPr>
        <w:t xml:space="preserve">()   OTU Table</w:t>
      </w:r>
      <w:r>
        <w:rPr>
          <w:rStyle w:val="SpecialCharTok"/>
        </w:rPr>
        <w:t xml:space="preserve">:</w:t>
      </w:r>
      <w:r>
        <w:rPr>
          <w:rStyle w:val="NormalTok"/>
        </w:rPr>
        <w:t xml:space="preserve">         [ </w:t>
      </w:r>
      <w:r>
        <w:rPr>
          <w:rStyle w:val="DecValTok"/>
        </w:rPr>
        <w:t xml:space="preserve">1702</w:t>
      </w:r>
      <w:r>
        <w:rPr>
          <w:rStyle w:val="NormalTok"/>
        </w:rPr>
        <w:t xml:space="preserve"> taxa and </w:t>
      </w:r>
      <w:r>
        <w:rPr>
          <w:rStyle w:val="DecValTok"/>
        </w:rPr>
        <w:t xml:space="preserve">16</w:t>
      </w:r>
      <w:r>
        <w:rPr>
          <w:rStyle w:val="NormalTok"/>
        </w:rPr>
        <w:t xml:space="preserve"> samples ]</w:t>
      </w:r>
      <w:r>
        <w:br/>
      </w:r>
      <w:r>
        <w:rPr>
          <w:rStyle w:val="FunctionTok"/>
        </w:rPr>
        <w:t xml:space="preserve">sample_data</w:t>
      </w:r>
      <w:r>
        <w:rPr>
          <w:rStyle w:val="NormalTok"/>
        </w:rPr>
        <w:t xml:space="preserve">() Sample Data</w:t>
      </w:r>
      <w:r>
        <w:rPr>
          <w:rStyle w:val="SpecialCharTok"/>
        </w:rPr>
        <w:t xml:space="preserve">:</w:t>
      </w:r>
      <w:r>
        <w:rPr>
          <w:rStyle w:val="NormalTok"/>
        </w:rPr>
        <w:t xml:space="preserve">       [ </w:t>
      </w:r>
      <w:r>
        <w:rPr>
          <w:rStyle w:val="DecValTok"/>
        </w:rPr>
        <w:t xml:space="preserve">16</w:t>
      </w:r>
      <w:r>
        <w:rPr>
          <w:rStyle w:val="NormalTok"/>
        </w:rPr>
        <w:t xml:space="preserve"> samples by </w:t>
      </w:r>
      <w:r>
        <w:rPr>
          <w:rStyle w:val="DecValTok"/>
        </w:rPr>
        <w:t xml:space="preserve">32</w:t>
      </w:r>
      <w:r>
        <w:rPr>
          <w:rStyle w:val="NormalTok"/>
        </w:rPr>
        <w:t xml:space="preserve"> sample variables ]</w:t>
      </w:r>
      <w:r>
        <w:br/>
      </w:r>
      <w:r>
        <w:rPr>
          <w:rStyle w:val="FunctionTok"/>
        </w:rPr>
        <w:t xml:space="preserve">tax_table</w:t>
      </w:r>
      <w:r>
        <w:rPr>
          <w:rStyle w:val="NormalTok"/>
        </w:rPr>
        <w:t xml:space="preserve">()   Taxonomy Table</w:t>
      </w:r>
      <w:r>
        <w:rPr>
          <w:rStyle w:val="SpecialCharTok"/>
        </w:rPr>
        <w:t xml:space="preserve">:</w:t>
      </w:r>
      <w:r>
        <w:rPr>
          <w:rStyle w:val="NormalTok"/>
        </w:rPr>
        <w:t xml:space="preserve">    [ </w:t>
      </w:r>
      <w:r>
        <w:rPr>
          <w:rStyle w:val="DecValTok"/>
        </w:rPr>
        <w:t xml:space="preserve">1702</w:t>
      </w:r>
      <w:r>
        <w:rPr>
          <w:rStyle w:val="NormalTok"/>
        </w:rPr>
        <w:t xml:space="preserve"> taxa by </w:t>
      </w:r>
      <w:r>
        <w:rPr>
          <w:rStyle w:val="DecValTok"/>
        </w:rPr>
        <w:t xml:space="preserve">9</w:t>
      </w:r>
      <w:r>
        <w:rPr>
          <w:rStyle w:val="NormalTok"/>
        </w:rPr>
        <w:t xml:space="preserve"> taxonomic ranks ]</w:t>
      </w:r>
    </w:p>
    <w:p>
      <w:pPr>
        <w:numPr>
          <w:ilvl w:val="0"/>
          <w:numId w:val="1109"/>
        </w:numPr>
        <w:pStyle w:val="Compact"/>
      </w:pPr>
      <w:r>
        <w:t xml:space="preserve">Normalize the sample counts using the function transform_sample_counts. Our function, (100* x/sum(x)) will transform all the samples into proportions.</w:t>
      </w:r>
    </w:p>
    <w:p>
      <w:pPr>
        <w:pStyle w:val="SourceCode"/>
      </w:pPr>
      <w:r>
        <w:rPr>
          <w:rStyle w:val="NormalTok"/>
        </w:rPr>
        <w:t xml:space="preserve">merge </w:t>
      </w:r>
      <w:r>
        <w:rPr>
          <w:rStyle w:val="OtherTok"/>
        </w:rPr>
        <w:t xml:space="preserve">&lt;-</w:t>
      </w:r>
      <w:r>
        <w:rPr>
          <w:rStyle w:val="NormalTok"/>
        </w:rPr>
        <w:t xml:space="preserve"> </w:t>
      </w:r>
      <w:r>
        <w:rPr>
          <w:rStyle w:val="FunctionTok"/>
        </w:rPr>
        <w:t xml:space="preserve">transform_sample_counts</w:t>
      </w:r>
      <w:r>
        <w:rPr>
          <w:rStyle w:val="NormalTok"/>
        </w:rPr>
        <w:t xml:space="preserve">(merge, </w:t>
      </w:r>
      <w:r>
        <w:rPr>
          <w:rStyle w:val="ControlFlowTok"/>
        </w:rPr>
        <w:t xml:space="preserve">function</w:t>
      </w:r>
      <w:r>
        <w:rPr>
          <w:rStyle w:val="NormalTok"/>
        </w:rPr>
        <w:t xml:space="preserve">(x) </w:t>
      </w:r>
      <w:r>
        <w:rPr>
          <w:rStyle w:val="DecValTok"/>
        </w:rPr>
        <w:t xml:space="preserve">100</w:t>
      </w:r>
      <w:r>
        <w:rPr>
          <w:rStyle w:val="NormalTok"/>
        </w:rPr>
        <w:t xml:space="preserve"> </w:t>
      </w:r>
      <w:r>
        <w:rPr>
          <w:rStyle w:val="SpecialCharTok"/>
        </w:rPr>
        <w:t xml:space="preserve">*</w:t>
      </w:r>
      <w:r>
        <w:rPr>
          <w:rStyle w:val="NormalTok"/>
        </w:rPr>
        <w:t xml:space="preserve"> x</w:t>
      </w:r>
      <w:r>
        <w:rPr>
          <w:rStyle w:val="SpecialCharTok"/>
        </w:rPr>
        <w:t xml:space="preserve">/</w:t>
      </w:r>
      <w:r>
        <w:rPr>
          <w:rStyle w:val="FunctionTok"/>
        </w:rPr>
        <w:t xml:space="preserve">sum</w:t>
      </w:r>
      <w:r>
        <w:rPr>
          <w:rStyle w:val="NormalTok"/>
        </w:rPr>
        <w:t xml:space="preserve">(x))</w:t>
      </w:r>
    </w:p>
    <w:p>
      <w:pPr>
        <w:numPr>
          <w:ilvl w:val="0"/>
          <w:numId w:val="1110"/>
        </w:numPr>
        <w:pStyle w:val="Compact"/>
      </w:pPr>
      <w:r>
        <w:t xml:space="preserve">Re-plot Phyla by age.</w:t>
      </w:r>
    </w:p>
    <w:p>
      <w:pPr>
        <w:pStyle w:val="SourceCode"/>
      </w:pPr>
      <w:r>
        <w:rPr>
          <w:rStyle w:val="FunctionTok"/>
        </w:rPr>
        <w:t xml:space="preserve">plot_bar</w:t>
      </w:r>
      <w:r>
        <w:rPr>
          <w:rStyle w:val="NormalTok"/>
        </w:rPr>
        <w:t xml:space="preserve">(merge, </w:t>
      </w:r>
      <w:r>
        <w:rPr>
          <w:rStyle w:val="AttributeTok"/>
        </w:rPr>
        <w:t xml:space="preserve">x=</w:t>
      </w:r>
      <w:r>
        <w:rPr>
          <w:rStyle w:val="NormalTok"/>
        </w:rPr>
        <w:t xml:space="preserve">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p>
      <w:pPr>
        <w:numPr>
          <w:ilvl w:val="0"/>
          <w:numId w:val="1111"/>
        </w:numPr>
        <w:pStyle w:val="Compact"/>
      </w:pPr>
      <w:r>
        <w:t xml:space="preserve">If you need to decrease the size of your legend key and text to fit, add code below to your plot after adding a + to the end of the geom_bar line:</w:t>
      </w:r>
    </w:p>
    <w:p>
      <w:pPr>
        <w:pStyle w:val="SourceCode"/>
      </w:pPr>
      <w:r>
        <w:rPr>
          <w:rStyle w:val="FunctionTok"/>
        </w:rPr>
        <w:t xml:space="preserve">theme</w:t>
      </w:r>
      <w:r>
        <w:rPr>
          <w:rStyle w:val="NormalTok"/>
        </w:rPr>
        <w:t xml:space="preserve">(</w:t>
      </w:r>
      <w:r>
        <w:rPr>
          <w:rStyle w:val="AttributeTok"/>
        </w:rPr>
        <w:t xml:space="preserve">legend.text=</w:t>
      </w:r>
      <w:r>
        <w:rPr>
          <w:rStyle w:val="FunctionTok"/>
        </w:rPr>
        <w:t xml:space="preserve">element_text</w:t>
      </w:r>
      <w:r>
        <w:rPr>
          <w:rStyle w:val="NormalTok"/>
        </w:rPr>
        <w:t xml:space="preserve">(</w:t>
      </w:r>
      <w:r>
        <w:rPr>
          <w:rStyle w:val="AttributeTok"/>
        </w:rPr>
        <w:t xml:space="preserve">size=</w:t>
      </w:r>
      <w:r>
        <w:rPr>
          <w:rStyle w:val="DecValTok"/>
        </w:rPr>
        <w:t xml:space="preserve">6</w:t>
      </w:r>
      <w:r>
        <w:rPr>
          <w:rStyle w:val="NormalTok"/>
        </w:rPr>
        <w:t xml:space="preserve">)) </w:t>
      </w:r>
      <w:r>
        <w:rPr>
          <w:rStyle w:val="SpecialCharTok"/>
        </w:rPr>
        <w:t xml:space="preserve">+</w:t>
      </w:r>
      <w:r>
        <w:rPr>
          <w:rStyle w:val="NormalTok"/>
        </w:rPr>
        <w:t xml:space="preserve"> </w:t>
      </w:r>
      <w:r>
        <w:br/>
      </w:r>
      <w:r>
        <w:rPr>
          <w:rStyle w:val="FunctionTok"/>
        </w:rPr>
        <w:t xml:space="preserve">theme</w:t>
      </w:r>
      <w:r>
        <w:rPr>
          <w:rStyle w:val="NormalTok"/>
        </w:rPr>
        <w:t xml:space="preserve">(</w:t>
      </w:r>
      <w:r>
        <w:rPr>
          <w:rStyle w:val="AttributeTok"/>
        </w:rPr>
        <w:t xml:space="preserve">legend.key.size =</w:t>
      </w:r>
      <w:r>
        <w:rPr>
          <w:rStyle w:val="NormalTok"/>
        </w:rPr>
        <w:t xml:space="preserve"> </w:t>
      </w:r>
      <w:r>
        <w:rPr>
          <w:rStyle w:val="FunctionTok"/>
        </w:rPr>
        <w:t xml:space="preserve">unit</w:t>
      </w:r>
      <w:r>
        <w:rPr>
          <w:rStyle w:val="NormalTok"/>
        </w:rPr>
        <w:t xml:space="preserve">(</w:t>
      </w:r>
      <w:r>
        <w:rPr>
          <w:rStyle w:val="DecValTok"/>
        </w:rPr>
        <w:t xml:space="preserve">6</w:t>
      </w:r>
      <w:r>
        <w:rPr>
          <w:rStyle w:val="NormalTok"/>
        </w:rPr>
        <w:t xml:space="preserve">, </w:t>
      </w:r>
      <w:r>
        <w:rPr>
          <w:rStyle w:val="StringTok"/>
        </w:rPr>
        <w:t xml:space="preserve">"pt"</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4B-2. Do you observe any candidate Phyla that changes with age?</w:t>
            </w:r>
          </w:p>
        </w:tc>
      </w:tr>
      <w:tr>
        <w:tc>
          <w:tcPr/>
          <w:p>
            <w:pPr>
              <w:pStyle w:val="Compact"/>
              <w:jc w:val="left"/>
            </w:pPr>
          </w:p>
        </w:tc>
      </w:tr>
    </w:tbl>
    <w:p>
      <w:pPr>
        <w:pStyle w:val="BodyText"/>
      </w:pPr>
    </w:p>
    <w:bookmarkEnd w:id="205"/>
    <w:bookmarkStart w:id="206" w:name="Xb0dde540f1329d426b80139059fb81b3e14b6a6"/>
    <w:p>
      <w:pPr>
        <w:pStyle w:val="Heading3"/>
      </w:pPr>
      <w:r>
        <w:rPr>
          <w:rStyle w:val="SectionNumber"/>
        </w:rPr>
        <w:t xml:space="preserve">6.7.3</w:t>
      </w:r>
      <w:r>
        <w:tab/>
      </w:r>
      <w:r>
        <w:t xml:space="preserve">Step 4C. Candidate Phyla implicated in age variation include Firmicutes and Bacteroidetes. Plot these specific phyla on their own, separately, to observe any shift that occurs with age.** Use your new merged and normalized</w:t>
      </w:r>
      <w:r>
        <w:t xml:space="preserve"> </w:t>
      </w:r>
      <w:r>
        <w:t xml:space="preserve">‘</w:t>
      </w:r>
      <w:r>
        <w:t xml:space="preserve">merge</w:t>
      </w:r>
      <w:r>
        <w:t xml:space="preserve">’</w:t>
      </w:r>
      <w:r>
        <w:t xml:space="preserve"> </w:t>
      </w:r>
      <w:r>
        <w:t xml:space="preserve">phyloseq object as input.</w:t>
      </w:r>
    </w:p>
    <w:p>
      <w:pPr>
        <w:numPr>
          <w:ilvl w:val="0"/>
          <w:numId w:val="1112"/>
        </w:numPr>
        <w:pStyle w:val="Compact"/>
      </w:pPr>
      <w:r>
        <w:t xml:space="preserve">Refer to the</w:t>
      </w:r>
      <w:r>
        <w:t xml:space="preserve"> </w:t>
      </w:r>
      <w:r>
        <w:t xml:space="preserve">“</w:t>
      </w:r>
      <w:r>
        <w:t xml:space="preserve">Subset taxonomy</w:t>
      </w:r>
      <w:r>
        <w:t xml:space="preserve">”</w:t>
      </w:r>
      <w:r>
        <w:t xml:space="preserve"> </w:t>
      </w:r>
      <w:r>
        <w:t xml:space="preserve">section of the</w:t>
      </w:r>
      <w:r>
        <w:t xml:space="preserve"> </w:t>
      </w:r>
      <w:r>
        <w:t xml:space="preserve">“</w:t>
      </w:r>
      <w:r>
        <w:t xml:space="preserve">Explore 16S rRNA Data with phyloseq</w:t>
      </w:r>
      <w:r>
        <w:t xml:space="preserve">”</w:t>
      </w:r>
      <w:r>
        <w:t xml:space="preserve"> </w:t>
      </w:r>
      <w:r>
        <w:t xml:space="preserve">tutorial for help using the subset_taxa and plot_bar() functions.</w:t>
      </w:r>
    </w:p>
    <w:p>
      <w:pPr>
        <w:numPr>
          <w:ilvl w:val="0"/>
          <w:numId w:val="1112"/>
        </w:numPr>
        <w:pStyle w:val="Compact"/>
      </w:pPr>
      <w:r>
        <w:t xml:space="preserve">Use the following code as a template:</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subset_taxa</w:t>
      </w:r>
      <w:r>
        <w:rPr>
          <w:rStyle w:val="NormalTok"/>
        </w:rPr>
        <w:t xml:space="preserve">(merge,  Phylum </w:t>
      </w:r>
      <w:r>
        <w:rPr>
          <w:rStyle w:val="SpecialCharTok"/>
        </w:rPr>
        <w:t xml:space="preserve">==</w:t>
      </w:r>
      <w:r>
        <w:rPr>
          <w:rStyle w:val="NormalTok"/>
        </w:rPr>
        <w:t xml:space="preserve"> </w:t>
      </w:r>
      <w:r>
        <w:rPr>
          <w:rStyle w:val="StringTok"/>
        </w:rPr>
        <w:t xml:space="preserve">"fill in the blank"</w:t>
      </w:r>
      <w:r>
        <w:rPr>
          <w:rStyle w:val="NormalTok"/>
        </w:rPr>
        <w:t xml:space="preserve">)</w:t>
      </w:r>
      <w:r>
        <w:br/>
      </w:r>
      <w:r>
        <w:rPr>
          <w:rStyle w:val="FunctionTok"/>
        </w:rPr>
        <w:t xml:space="preserve">plot_bar</w:t>
      </w:r>
      <w:r>
        <w:rPr>
          <w:rStyle w:val="NormalTok"/>
        </w:rPr>
        <w:t xml:space="preserve">(subset, </w:t>
      </w:r>
      <w:r>
        <w:rPr>
          <w:rStyle w:val="StringTok"/>
        </w:rPr>
        <w:t xml:space="preserve">"age"</w:t>
      </w:r>
      <w:r>
        <w:rPr>
          <w:rStyle w:val="NormalTok"/>
        </w:rPr>
        <w:t xml:space="preserve">, </w:t>
      </w:r>
      <w:r>
        <w:rPr>
          <w:rStyle w:val="AttributeTok"/>
        </w:rPr>
        <w:t xml:space="preserve">fill =</w:t>
      </w:r>
      <w:r>
        <w:rPr>
          <w:rStyle w:val="NormalTok"/>
        </w:rPr>
        <w:t xml:space="preserve"> </w:t>
      </w:r>
      <w:r>
        <w:rPr>
          <w:rStyle w:val="StringTok"/>
        </w:rPr>
        <w:t xml:space="preserve">"fill in the blank"</w:t>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fill </w:t>
      </w:r>
      <w:r>
        <w:rPr>
          <w:rStyle w:val="ControlFlowTok"/>
        </w:rPr>
        <w:t xml:space="preserve">in</w:t>
      </w:r>
      <w:r>
        <w:rPr>
          <w:rStyle w:val="NormalTok"/>
        </w:rPr>
        <w:t xml:space="preserve"> the blank, </w:t>
      </w:r>
      <w:r>
        <w:rPr>
          <w:rStyle w:val="AttributeTok"/>
        </w:rPr>
        <w:t xml:space="preserve">fill =</w:t>
      </w:r>
      <w:r>
        <w:rPr>
          <w:rStyle w:val="NormalTok"/>
        </w:rPr>
        <w:t xml:space="preserve"> fill </w:t>
      </w:r>
      <w:r>
        <w:rPr>
          <w:rStyle w:val="ControlFlowTok"/>
        </w:rPr>
        <w:t xml:space="preserve">in</w:t>
      </w:r>
      <w:r>
        <w:rPr>
          <w:rStyle w:val="NormalTok"/>
        </w:rPr>
        <w:t xml:space="preserve"> the blank),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"stack"</w:t>
      </w:r>
      <w:r>
        <w:rPr>
          <w:rStyle w:val="NormalTok"/>
        </w:rP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4C-1. Insert the plot that graphs the relationship of age to the Phylum Firmicutes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4C-2.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4C-3. Insert the plot that graphs the relationship of age to the Phylum Bacteroidetes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4C-4 Do you observe any changes in Phyla based on age?</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Step 4C-5: Based on the graphs you made, did you identify any candidate Phylum that may differ between genders?</w:t>
            </w:r>
          </w:p>
        </w:tc>
      </w:tr>
      <w:tr>
        <w:tc>
          <w:tcPr/>
          <w:p>
            <w:pPr>
              <w:pStyle w:val="Compact"/>
              <w:jc w:val="left"/>
            </w:pPr>
          </w:p>
        </w:tc>
      </w:tr>
    </w:tbl>
    <w:p>
      <w:pPr>
        <w:pStyle w:val="BodyText"/>
      </w:pPr>
    </w:p>
    <w:p>
      <w:pPr>
        <w:pStyle w:val="BodyText"/>
      </w:pPr>
      <w:r>
        <w:rPr>
          <w:bCs/>
          <w:b/>
        </w:rPr>
        <w:t xml:space="preserve">A suggestion for your poster:</w:t>
      </w:r>
      <w:r>
        <w:t xml:space="preserve"> </w:t>
      </w:r>
      <w:r>
        <w:t xml:space="preserve">- Combine 2-4 of your plots to make one figure summarizing Phylum and Species age-based differences you observed in the MISO study. Include titles and short figure description (figure legend).</w:t>
      </w:r>
      <w:r>
        <w:t xml:space="preserve"> </w:t>
      </w:r>
      <w:r>
        <w:t xml:space="preserve">- Paste the code you used to generate your final figure(s) below:</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06"/>
    <w:bookmarkEnd w:id="207"/>
    <w:bookmarkEnd w:id="208"/>
    <w:bookmarkStart w:id="251" w:name="analyzing-16s-rrna-data-with-phyloseq"/>
    <w:p>
      <w:pPr>
        <w:pStyle w:val="Heading1"/>
      </w:pPr>
      <w:r>
        <w:rPr>
          <w:rStyle w:val="SectionNumber"/>
        </w:rPr>
        <w:t xml:space="preserve">7</w:t>
      </w:r>
      <w:r>
        <w:tab/>
      </w:r>
      <w:r>
        <w:t xml:space="preserve">Analyzing 16S rRNA Data with phyloseq</w:t>
      </w:r>
    </w:p>
    <w:bookmarkStart w:id="209" w:name="analyzing-16s-rrna-data-with-phyloseq-1"/>
    <w:p>
      <w:pPr>
        <w:pStyle w:val="Heading2"/>
      </w:pPr>
      <w:r>
        <w:rPr>
          <w:rStyle w:val="SectionNumber"/>
        </w:rPr>
        <w:t xml:space="preserve">7.1</w:t>
      </w:r>
      <w:r>
        <w:tab/>
      </w:r>
      <w:r>
        <w:t xml:space="preserve">Analyzing 16S rRNA Data with phyloseq</w:t>
      </w:r>
    </w:p>
    <w:bookmarkEnd w:id="209"/>
    <w:bookmarkStart w:id="214" w:name="Xc987d52058f3cfdde5814fbc9ed44a17b9bd862"/>
    <w:p>
      <w:pPr>
        <w:pStyle w:val="Heading2"/>
      </w:pPr>
      <w:r>
        <w:rPr>
          <w:rStyle w:val="SectionNumber"/>
        </w:rPr>
        <w:t xml:space="preserve">7.2</w:t>
      </w:r>
      <w:r>
        <w:tab/>
      </w:r>
      <w:r>
        <w:t xml:space="preserve">Lecture - Analyzing 16S rRNA Data with phyloseq</w:t>
      </w:r>
    </w:p>
    <w:p>
      <w:pPr>
        <w:pStyle w:val="FirstParagraph"/>
      </w:pPr>
      <w:r>
        <w:rPr>
          <w:iCs/>
          <w:i/>
        </w:rPr>
        <w:t xml:space="preserve">Estimated time:</w:t>
      </w:r>
      <w:r>
        <w:rPr>
          <w:iCs/>
          <w:i/>
        </w:rPr>
        <w:t xml:space="preserve"> </w:t>
      </w:r>
    </w:p>
    <w:p>
      <w:pPr>
        <w:pStyle w:val="BodyText"/>
      </w:pPr>
      <w:r>
        <w:drawing>
          <wp:inline>
            <wp:extent cx="5334000" cy="3000375"/>
            <wp:effectExtent b="0" l="0" r="0" t="0"/>
            <wp:docPr descr="" title="" id="211" name="Picture"/>
            <a:graphic>
              <a:graphicData uri="http://schemas.openxmlformats.org/drawingml/2006/picture">
                <pic:pic>
                  <pic:nvPicPr>
                    <pic:cNvPr descr="resources/images/analyze-phyloseq_files/figure-docx//1QZbSBPOGkBeizh1L45C6EaktOxl6pqrTDGNIncHQ5lY_g35f391192_00.png" id="212" name="Picture"/>
                    <pic:cNvPicPr>
                      <a:picLocks noChangeArrowheads="1" noChangeAspect="1"/>
                    </pic:cNvPicPr>
                  </pic:nvPicPr>
                  <pic:blipFill>
                    <a:blip r:embed="rId2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3">
        <w:r>
          <w:rPr>
            <w:rStyle w:val="Hyperlink"/>
          </w:rPr>
          <w:t xml:space="preserve">Lecture</w:t>
        </w:r>
      </w:hyperlink>
    </w:p>
    <w:bookmarkEnd w:id="214"/>
    <w:bookmarkStart w:id="228" w:name="X8f91bb87d0455a3b5505646cf528f27e7ba8c11"/>
    <w:p>
      <w:pPr>
        <w:pStyle w:val="Heading2"/>
      </w:pPr>
      <w:r>
        <w:rPr>
          <w:rStyle w:val="SectionNumber"/>
        </w:rPr>
        <w:t xml:space="preserve">7.3</w:t>
      </w:r>
      <w:r>
        <w:tab/>
      </w:r>
      <w:r>
        <w:t xml:space="preserve">Activity - Exploring 16S rRNA Data with phyloseq</w:t>
      </w:r>
    </w:p>
    <w:p>
      <w:pPr>
        <w:pStyle w:val="FirstParagraph"/>
      </w:pPr>
      <w:r>
        <w:t xml:space="preserve">To analyze bacterial diversity based on 16S rRNA gene sequencing using data from the</w:t>
      </w:r>
      <w:r>
        <w:t xml:space="preserve"> </w:t>
      </w:r>
      <w:r>
        <w:t xml:space="preserve">“</w:t>
      </w:r>
      <w:r>
        <w:t xml:space="preserve">Impact of a 7-day homogeneous diet on interpersonal variation in human gut microbiomes and metabolomes</w:t>
      </w:r>
      <w:r>
        <w:t xml:space="preserve">”</w:t>
      </w:r>
      <w:r>
        <w:t xml:space="preserve"> </w:t>
      </w:r>
      <w:r>
        <w:t xml:space="preserve">by Guthrie et al., 2023. This study is also referred to as the MISO study for</w:t>
      </w:r>
      <w:r>
        <w:t xml:space="preserve"> </w:t>
      </w:r>
      <w:r>
        <w:t xml:space="preserve">“</w:t>
      </w:r>
      <w:r>
        <w:t xml:space="preserve">Microbiome Individuality and Stability Over Time</w:t>
      </w:r>
      <w:r>
        <w:t xml:space="preserve">”</w:t>
      </w:r>
      <w:r>
        <w:t xml:space="preserve"> </w:t>
      </w:r>
      <w:r>
        <w:t xml:space="preserve">because the study aims to understand variation (or stability) of microbiomes across individuals.</w:t>
      </w:r>
    </w:p>
    <w:p>
      <w:pPr>
        <w:pStyle w:val="BodyText"/>
      </w:pPr>
      <w:r>
        <w:t xml:space="preserve">This activity aims to analyze metagenomic diversity using the following R packages:</w:t>
      </w:r>
    </w:p>
    <w:p>
      <w:pPr>
        <w:numPr>
          <w:ilvl w:val="0"/>
          <w:numId w:val="1113"/>
        </w:numPr>
        <w:pStyle w:val="Compact"/>
      </w:pPr>
      <w:r>
        <w:rPr>
          <w:bCs/>
          <w:b/>
        </w:rPr>
        <w:t xml:space="preserve">phyloseq</w:t>
      </w:r>
      <w:r>
        <w:t xml:space="preserve">: A popular package for taxonomy profiling</w:t>
      </w:r>
    </w:p>
    <w:p>
      <w:pPr>
        <w:numPr>
          <w:ilvl w:val="0"/>
          <w:numId w:val="1113"/>
        </w:numPr>
        <w:pStyle w:val="Compact"/>
      </w:pPr>
      <w:r>
        <w:rPr>
          <w:bCs/>
          <w:b/>
        </w:rPr>
        <w:t xml:space="preserve">DESeq2</w:t>
      </w:r>
      <w:r>
        <w:t xml:space="preserve">: A package originally designed for differential expression which we will use for differential abundance</w:t>
      </w:r>
    </w:p>
    <w:p>
      <w:pPr>
        <w:numPr>
          <w:ilvl w:val="0"/>
          <w:numId w:val="1113"/>
        </w:numPr>
        <w:pStyle w:val="Compact"/>
      </w:pPr>
      <w:r>
        <w:rPr>
          <w:bCs/>
          <w:b/>
        </w:rPr>
        <w:t xml:space="preserve">ggplot2</w:t>
      </w:r>
      <w:r>
        <w:t xml:space="preserve">: A tidyverse package that produces high-quality figures</w:t>
      </w:r>
    </w:p>
    <w:bookmarkStart w:id="215" w:name="learning-objectives-7"/>
    <w:p>
      <w:pPr>
        <w:pStyle w:val="Heading3"/>
      </w:pPr>
      <w:r>
        <w:rPr>
          <w:rStyle w:val="SectionNumber"/>
        </w:rPr>
        <w:t xml:space="preserve">7.3.1</w:t>
      </w:r>
      <w:r>
        <w:tab/>
      </w:r>
      <w:r>
        <w:t xml:space="preserve">Learning objectives</w:t>
      </w:r>
    </w:p>
    <w:p>
      <w:pPr>
        <w:numPr>
          <w:ilvl w:val="0"/>
          <w:numId w:val="1114"/>
        </w:numPr>
        <w:pStyle w:val="Compact"/>
      </w:pPr>
      <w:r>
        <w:t xml:space="preserve">Use phyloseq to cluster samples based on the similarity of their microbial compositions using multidimensional scaling methods (NMDS or PCoA)</w:t>
      </w:r>
    </w:p>
    <w:p>
      <w:pPr>
        <w:numPr>
          <w:ilvl w:val="0"/>
          <w:numId w:val="1114"/>
        </w:numPr>
        <w:pStyle w:val="Compact"/>
      </w:pPr>
      <w:r>
        <w:t xml:space="preserve">Use phyloseq to profile alpha diversity (Shannon and Simpson’s indices)</w:t>
      </w:r>
    </w:p>
    <w:p>
      <w:pPr>
        <w:numPr>
          <w:ilvl w:val="0"/>
          <w:numId w:val="1114"/>
        </w:numPr>
        <w:pStyle w:val="Compact"/>
      </w:pPr>
      <w:r>
        <w:t xml:space="preserve">Use DESeq2 to perform differential abundance analysis</w:t>
      </w:r>
    </w:p>
    <w:bookmarkEnd w:id="215"/>
    <w:bookmarkStart w:id="216" w:name="introduction-5"/>
    <w:p>
      <w:pPr>
        <w:pStyle w:val="Heading3"/>
      </w:pPr>
      <w:r>
        <w:rPr>
          <w:rStyle w:val="SectionNumber"/>
        </w:rPr>
        <w:t xml:space="preserve">7.3.2</w:t>
      </w:r>
      <w:r>
        <w:tab/>
      </w:r>
      <w:r>
        <w:t xml:space="preserve">Introduction</w:t>
      </w:r>
    </w:p>
    <w:p>
      <w:pPr>
        <w:pStyle w:val="FirstParagraph"/>
      </w:pPr>
      <w:r>
        <w:t xml:space="preserve">16S data can be manipulated and visualized in a variety of ways. In Google Sheets, we explored the data manually to gain an understanding at the level of 1-10 ASVs. Through phyloseq we collapsed ASVs with the same taxonomic annotation to survey microbial diversity and perform the same exploration across the entire dataset. In this activity, we will use the functions of phyloseq and DESeq2 that are more advanced. These analyses would be extremely difficult and tedious to do manually and will allow us deeper insights into our dataset. We will cluster samples based on similarity of ASV counts, survey alpha diversity, and search for differentially abundant ASVs between different groups.</w:t>
      </w:r>
    </w:p>
    <w:bookmarkEnd w:id="216"/>
    <w:bookmarkStart w:id="217" w:name="X86de0bad542461c14caf91529ba08092a314e92"/>
    <w:p>
      <w:pPr>
        <w:pStyle w:val="Heading3"/>
      </w:pPr>
      <w:r>
        <w:rPr>
          <w:rStyle w:val="SectionNumber"/>
        </w:rPr>
        <w:t xml:space="preserve">7.3.3</w:t>
      </w:r>
      <w:r>
        <w:tab/>
      </w:r>
      <w:r>
        <w:t xml:space="preserve">Activity 1 – Analyze 16S rRNA Data with phyloseq tutorial</w:t>
      </w:r>
    </w:p>
    <w:p>
      <w:pPr>
        <w:pStyle w:val="FirstParagraph"/>
      </w:pPr>
      <w:r>
        <w:rPr>
          <w:iCs/>
          <w:i/>
        </w:rPr>
        <w:t xml:space="preserve">Estimated time: 35 min</w:t>
      </w:r>
    </w:p>
    <w:p>
      <w:pPr>
        <w:pStyle w:val="BodyText"/>
      </w:pPr>
      <w:r>
        <w:rPr>
          <w:bCs/>
          <w:b/>
        </w:rPr>
        <w:t xml:space="preserve">Activity 1. Explore a phyloseq object through the</w:t>
      </w:r>
      <w:r>
        <w:rPr>
          <w:bCs/>
          <w:b/>
        </w:rPr>
        <w:t xml:space="preserve"> </w:t>
      </w:r>
      <w:r>
        <w:rPr>
          <w:bCs/>
          <w:b/>
        </w:rPr>
        <w:t xml:space="preserve">“</w:t>
      </w:r>
      <w:r>
        <w:rPr>
          <w:bCs/>
          <w:b/>
        </w:rPr>
        <w:t xml:space="preserve">Analyze 16S rRNA Data with phyloseq</w:t>
      </w:r>
      <w:r>
        <w:rPr>
          <w:bCs/>
          <w:b/>
        </w:rPr>
        <w:t xml:space="preserve">”</w:t>
      </w:r>
      <w:r>
        <w:rPr>
          <w:bCs/>
          <w:b/>
        </w:rPr>
        <w:t xml:space="preserve"> </w:t>
      </w:r>
      <w:r>
        <w:rPr>
          <w:bCs/>
          <w:b/>
        </w:rPr>
        <w:t xml:space="preserve">tutorial on SciServer.</w:t>
      </w:r>
    </w:p>
    <w:p>
      <w:pPr>
        <w:numPr>
          <w:ilvl w:val="0"/>
          <w:numId w:val="1115"/>
        </w:numPr>
        <w:pStyle w:val="Compact"/>
      </w:pPr>
      <w:r>
        <w:t xml:space="preserve">Log into SciServer, click on compute, and create a new C-MOOR LearnR container. When creating a container, remember to:</w:t>
      </w:r>
    </w:p>
    <w:p>
      <w:pPr>
        <w:numPr>
          <w:ilvl w:val="0"/>
          <w:numId w:val="1116"/>
        </w:numPr>
        <w:pStyle w:val="Compact"/>
      </w:pPr>
      <w:r>
        <w:t xml:space="preserve">Use the</w:t>
      </w:r>
      <w:r>
        <w:t xml:space="preserve"> </w:t>
      </w:r>
      <w:r>
        <w:t xml:space="preserve">“</w:t>
      </w:r>
      <w:r>
        <w:t xml:space="preserve">C-MOOR LearnR (Bioconductor 3.17)</w:t>
      </w:r>
      <w:r>
        <w:t xml:space="preserve">”</w:t>
      </w:r>
      <w:r>
        <w:t xml:space="preserve"> </w:t>
      </w:r>
      <w:r>
        <w:t xml:space="preserve">image (not the Bioconductor 3.16)</w:t>
      </w:r>
    </w:p>
    <w:p>
      <w:pPr>
        <w:numPr>
          <w:ilvl w:val="0"/>
          <w:numId w:val="1116"/>
        </w:numPr>
        <w:pStyle w:val="Compact"/>
      </w:pPr>
      <w:r>
        <w:t xml:space="preserve">Check the box next to Data volume</w:t>
      </w:r>
      <w:r>
        <w:t xml:space="preserve"> </w:t>
      </w:r>
      <w:r>
        <w:t xml:space="preserve">“</w:t>
      </w:r>
      <w:r>
        <w:t xml:space="preserve">C-MOOR Data</w:t>
      </w:r>
      <w:r>
        <w:t xml:space="preserve">”</w:t>
      </w:r>
    </w:p>
    <w:p>
      <w:pPr>
        <w:numPr>
          <w:ilvl w:val="0"/>
          <w:numId w:val="1117"/>
        </w:numPr>
        <w:pStyle w:val="Compact"/>
      </w:pPr>
      <w:r>
        <w:t xml:space="preserve">Start the</w:t>
      </w:r>
      <w:r>
        <w:t xml:space="preserve"> </w:t>
      </w:r>
      <w:r>
        <w:t xml:space="preserve">“</w:t>
      </w:r>
      <w:r>
        <w:t xml:space="preserve">Analyze 16S rRNA Data with phyloseq</w:t>
      </w:r>
      <w:r>
        <w:t xml:space="preserve">”</w:t>
      </w:r>
      <w:r>
        <w:t xml:space="preserve"> </w:t>
      </w:r>
      <w:r>
        <w:t xml:space="preserve">tutorial. Visit SciServer Guides and FAQs. If you need assistance accessing the tutorial.</w:t>
      </w:r>
    </w:p>
    <w:p>
      <w:pPr>
        <w:numPr>
          <w:ilvl w:val="0"/>
          <w:numId w:val="111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117"/>
        </w:numPr>
        <w:pStyle w:val="Compact"/>
      </w:pPr>
      <w:r>
        <w:t xml:space="preserve">This tutorial has small boxes in which you can enter and run short lines of code to analyze the data.</w:t>
      </w:r>
    </w:p>
    <w:p>
      <w:pPr>
        <w:numPr>
          <w:ilvl w:val="0"/>
          <w:numId w:val="1117"/>
        </w:numPr>
        <w:pStyle w:val="Compact"/>
      </w:pPr>
      <w:r>
        <w:t xml:space="preserve">As you work through the tutorial, take snapshots of your work and paste your answers in the grey boxes below:</w:t>
      </w:r>
    </w:p>
    <w:p>
      <w:pPr>
        <w:pStyle w:val="FirstParagraph"/>
      </w:pPr>
      <w:r>
        <w:rPr>
          <w:bCs/>
          <w:b/>
        </w:rPr>
        <w:t xml:space="preserve">1-1. Take a snapshot and paste the code for an alpha diversity plot (Simpson) from the quiz question:</w:t>
      </w:r>
      <w:r>
        <w:t xml:space="preserve"> </w:t>
      </w:r>
      <w:r>
        <w:t xml:space="preserve">What male subject has the data point for the LOWEST alpha diversity? HINT: Use subset_samples() to subset males, and specify individuals (subject) on x-axis of the alpha diversity plot</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1-2. Take a snapshot and paste the code for a PCoA plot from the quiz question:</w:t>
      </w:r>
      <w:r>
        <w:t xml:space="preserve"> </w:t>
      </w:r>
      <w:r>
        <w:t xml:space="preserve">In a PCoA with only data from ASVs with the class Bacteroidia, what is the percent of variance in the dataset explained by principal coordinate 1? HINT: You will need to change the code subsetting phylum and Firmicutes</w:t>
      </w:r>
    </w:p>
    <w:p>
      <w:pPr>
        <w:numPr>
          <w:ilvl w:val="0"/>
          <w:numId w:val="1118"/>
        </w:numPr>
        <w:pStyle w:val="Compact"/>
      </w:pPr>
      <w:r>
        <w:t xml:space="preserve">Subsets the Bacteroidetes phylum</w:t>
      </w:r>
    </w:p>
    <w:p>
      <w:pPr>
        <w:numPr>
          <w:ilvl w:val="0"/>
          <w:numId w:val="1118"/>
        </w:numPr>
        <w:pStyle w:val="Compact"/>
      </w:pPr>
      <w:r>
        <w:t xml:space="preserve">Color is by subject</w:t>
      </w:r>
    </w:p>
    <w:p>
      <w:pPr>
        <w:numPr>
          <w:ilvl w:val="0"/>
          <w:numId w:val="1118"/>
        </w:numPr>
        <w:pStyle w:val="Compact"/>
      </w:pPr>
      <w:r>
        <w:t xml:space="preserve">Shape is by timepointgroup</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rPr>
          <w:bCs/>
          <w:b/>
        </w:rPr>
        <w:t xml:space="preserve">1-3. Take a snapshot and paste the code for the differential abundance plot for the quiz question:</w:t>
      </w:r>
      <w:r>
        <w:t xml:space="preserve"> </w:t>
      </w:r>
      <w:r>
        <w:t xml:space="preserve">Which of the following Phylum have ASVs that are differentially abundant between the subject S02 and subject S03?</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17"/>
    <w:bookmarkStart w:id="222" w:name="activity-2-try-it-out-questions-1"/>
    <w:p>
      <w:pPr>
        <w:pStyle w:val="Heading3"/>
      </w:pPr>
      <w:r>
        <w:rPr>
          <w:rStyle w:val="SectionNumber"/>
        </w:rPr>
        <w:t xml:space="preserve">7.3.4</w:t>
      </w:r>
      <w:r>
        <w:tab/>
      </w:r>
      <w:r>
        <w:t xml:space="preserve">Activity 2 – Try it out questions</w:t>
      </w:r>
    </w:p>
    <w:p>
      <w:pPr>
        <w:pStyle w:val="FirstParagraph"/>
      </w:pPr>
      <w:r>
        <w:rPr>
          <w:iCs/>
          <w:i/>
        </w:rPr>
        <w:t xml:space="preserve">Estimated time: 60 min</w:t>
      </w:r>
    </w:p>
    <w:p>
      <w:pPr>
        <w:pStyle w:val="BodyText"/>
      </w:pPr>
      <w:r>
        <w:t xml:space="preserve">With your group, perform some exploratory data analysis selecting from one of the four questions below or coming up with your own question. When you are done, copy and paste your results into the</w:t>
      </w:r>
      <w:r>
        <w:t xml:space="preserve"> </w:t>
      </w:r>
      <w:hyperlink r:id="rId38">
        <w:r>
          <w:rPr>
            <w:rStyle w:val="Hyperlink"/>
          </w:rPr>
          <w:t xml:space="preserve">class poster</w:t>
        </w:r>
      </w:hyperlink>
      <w:r>
        <w:t xml:space="preserve">.</w:t>
      </w:r>
    </w:p>
    <w:p>
      <w:pPr>
        <w:pStyle w:val="BodyText"/>
      </w:pPr>
      <w:r>
        <w:t xml:space="preserve">There are 4 different questions for groups to explore. Take a look at the four questions below and go to the section of your chosen question for more instructions!</w:t>
      </w:r>
    </w:p>
    <w:bookmarkStart w:id="218" w:name="Xd7fe6c5293c3dabe27f88cf1c7ce09a9de27f08"/>
    <w:p>
      <w:pPr>
        <w:pStyle w:val="Heading4"/>
      </w:pPr>
      <w:r>
        <w:rPr>
          <w:rStyle w:val="SectionNumber"/>
        </w:rPr>
        <w:t xml:space="preserve">7.3.4.1</w:t>
      </w:r>
      <w:r>
        <w:tab/>
      </w:r>
      <w:r>
        <w:t xml:space="preserve">Question 1. How sensitive is microbial diversity to variables like diet, age and gender?</w:t>
      </w:r>
    </w:p>
    <w:p>
      <w:pPr>
        <w:pStyle w:val="FirstParagraph"/>
      </w:pPr>
      <w:r>
        <w:t xml:space="preserve">Alpha diversity is a measure that estimates how the distribution of microbes changes due to a variable (or metadata category). Alpha diversity measures changes in the richness (the number of different organisms or ASVs) and evenness (how evenly are these organisms distributed in terms of their abundance). Using the</w:t>
      </w:r>
      <w:r>
        <w:t xml:space="preserve"> </w:t>
      </w:r>
      <w:r>
        <w:t xml:space="preserve">“</w:t>
      </w:r>
      <w:r>
        <w:t xml:space="preserve">MISO</w:t>
      </w:r>
      <w:r>
        <w:t xml:space="preserve">”</w:t>
      </w:r>
      <w:r>
        <w:t xml:space="preserve"> </w:t>
      </w:r>
      <w:r>
        <w:t xml:space="preserve">study dataset we will use Simpson (or specifically, Gini-Simpson) alpha diversity to evaluate changes in microbial diversity in individuals due to different metadata variables.</w:t>
      </w:r>
    </w:p>
    <w:p>
      <w:pPr>
        <w:pStyle w:val="BodyText"/>
      </w:pPr>
      <w:r>
        <w:t xml:space="preserve">Approach: Plot Simpson alpha diversity using plot_richness() command in phyloseq and assess the impact of different study variables on changes in microbial diversity. Identify variables that impact alpha diversity. Visible shifts in alpha diversity suggest a shift in microbial diversity, and a higher alpha diversity value indicates an increase in alpha diversity (either richness or abundance).</w:t>
      </w:r>
    </w:p>
    <w:p>
      <w:pPr>
        <w:numPr>
          <w:ilvl w:val="0"/>
          <w:numId w:val="1119"/>
        </w:numPr>
        <w:pStyle w:val="Compact"/>
      </w:pPr>
      <w:r>
        <w:t xml:space="preserve">Evaluate the impact of diet on alpha diversity by plotting ASVs based on</w:t>
      </w:r>
      <w:r>
        <w:t xml:space="preserve"> </w:t>
      </w:r>
      <w:r>
        <w:t xml:space="preserve">“</w:t>
      </w:r>
      <w:r>
        <w:t xml:space="preserve">timepointgroup</w:t>
      </w:r>
      <w:r>
        <w:t xml:space="preserve">”</w:t>
      </w:r>
      <w:r>
        <w:t xml:space="preserve"> </w:t>
      </w:r>
      <w:r>
        <w:t xml:space="preserve">variable.</w:t>
      </w:r>
    </w:p>
    <w:p>
      <w:pPr>
        <w:numPr>
          <w:ilvl w:val="0"/>
          <w:numId w:val="1119"/>
        </w:numPr>
        <w:pStyle w:val="Compact"/>
      </w:pPr>
      <w:r>
        <w:t xml:space="preserve">Evaluate the impact of individuality on alpha diversity by plotting ASVs based on</w:t>
      </w:r>
      <w:r>
        <w:t xml:space="preserve"> </w:t>
      </w:r>
      <w:r>
        <w:t xml:space="preserve">“</w:t>
      </w:r>
      <w:r>
        <w:t xml:space="preserve">subject</w:t>
      </w:r>
      <w:r>
        <w:t xml:space="preserve">”</w:t>
      </w:r>
      <w:r>
        <w:t xml:space="preserve"> </w:t>
      </w:r>
      <w:r>
        <w:t xml:space="preserve">variable.</w:t>
      </w:r>
    </w:p>
    <w:p>
      <w:pPr>
        <w:numPr>
          <w:ilvl w:val="0"/>
          <w:numId w:val="1119"/>
        </w:numPr>
        <w:pStyle w:val="Compact"/>
      </w:pPr>
      <w:r>
        <w:t xml:space="preserve">Evaluate the impact of gender on alpha diversity by plotting ASVs based on</w:t>
      </w:r>
      <w:r>
        <w:t xml:space="preserve"> </w:t>
      </w:r>
      <w:r>
        <w:t xml:space="preserve">“</w:t>
      </w:r>
      <w:r>
        <w:t xml:space="preserve">age</w:t>
      </w:r>
      <w:r>
        <w:t xml:space="preserve">”</w:t>
      </w:r>
      <w:r>
        <w:t xml:space="preserve"> </w:t>
      </w:r>
      <w:r>
        <w:t xml:space="preserve">variable.</w:t>
      </w:r>
    </w:p>
    <w:p>
      <w:pPr>
        <w:numPr>
          <w:ilvl w:val="0"/>
          <w:numId w:val="1119"/>
        </w:numPr>
        <w:pStyle w:val="Compact"/>
      </w:pPr>
      <w:r>
        <w:t xml:space="preserve">Evaluate the impact of gender on alpha diversity by plotting ASVs based on</w:t>
      </w:r>
      <w:r>
        <w:t xml:space="preserve"> </w:t>
      </w:r>
      <w:r>
        <w:t xml:space="preserve">“</w:t>
      </w:r>
      <w:r>
        <w:t xml:space="preserve">gender</w:t>
      </w:r>
      <w:r>
        <w:t xml:space="preserve">”</w:t>
      </w:r>
      <w:r>
        <w:t xml:space="preserve"> </w:t>
      </w:r>
      <w:r>
        <w:t xml:space="preserve">variable.</w:t>
      </w:r>
    </w:p>
    <w:p>
      <w:pPr>
        <w:numPr>
          <w:ilvl w:val="0"/>
          <w:numId w:val="1119"/>
        </w:numPr>
        <w:pStyle w:val="Compact"/>
      </w:pPr>
      <w:r>
        <w:t xml:space="preserve">Evaluate the impact of gender on alpha diversity by plotting ASVs based on the 5 different levels of metabolites in the study (Creatinine, PCS, IS, HIPP, PAG).</w:t>
      </w:r>
    </w:p>
    <w:bookmarkEnd w:id="218"/>
    <w:bookmarkStart w:id="219" w:name="Xce8ba0af66d77c0493c92044e197fc52f25ceec"/>
    <w:p>
      <w:pPr>
        <w:pStyle w:val="Heading4"/>
      </w:pPr>
      <w:r>
        <w:rPr>
          <w:rStyle w:val="SectionNumber"/>
        </w:rPr>
        <w:t xml:space="preserve">7.3.4.2</w:t>
      </w:r>
      <w:r>
        <w:tab/>
      </w:r>
      <w:r>
        <w:t xml:space="preserve">Question 2. Do diet, age, gender and levels of metabolites correlate with microbe variation between individuals?</w:t>
      </w:r>
    </w:p>
    <w:p>
      <w:pPr>
        <w:pStyle w:val="FirstParagraph"/>
      </w:pPr>
      <w:r>
        <w:t xml:space="preserve">PCoA plot is a principal coordinate analysis used to represent similarity between samples (sample microbiomes in our case). Using the</w:t>
      </w:r>
      <w:r>
        <w:t xml:space="preserve"> </w:t>
      </w:r>
      <w:r>
        <w:t xml:space="preserve">“</w:t>
      </w:r>
      <w:r>
        <w:t xml:space="preserve">MISO</w:t>
      </w:r>
      <w:r>
        <w:t xml:space="preserve">”</w:t>
      </w:r>
      <w:r>
        <w:t xml:space="preserve"> </w:t>
      </w:r>
      <w:r>
        <w:t xml:space="preserve">study dataset, we will use the PCoA plot to summarize individuals based on ASVs and plot the resulting relationships between individuals. Based on how well color-coding the different variables matches the sample distribution on the PcOA plot, we will aim to help explain potential sources of sample similarity.</w:t>
      </w:r>
    </w:p>
    <w:p>
      <w:pPr>
        <w:pStyle w:val="BodyText"/>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correlate with sample diversity. In a PcOA plot, samples with similar microbial profiles will be plotted close and may appear as groups.</w:t>
      </w:r>
    </w:p>
    <w:p>
      <w:pPr>
        <w:numPr>
          <w:ilvl w:val="0"/>
          <w:numId w:val="1120"/>
        </w:numPr>
        <w:pStyle w:val="Compact"/>
      </w:pPr>
      <w:r>
        <w:t xml:space="preserve">Make a PCoA plot, ordinate on the entire dataset (all ASVs) and color by individual. Investigate the shape of the resulting PCoA plot.</w:t>
      </w:r>
    </w:p>
    <w:p>
      <w:pPr>
        <w:numPr>
          <w:ilvl w:val="0"/>
          <w:numId w:val="1120"/>
        </w:numPr>
        <w:pStyle w:val="Compact"/>
      </w:pPr>
      <w:r>
        <w:t xml:space="preserve">Correlate PCoA plot shape with metadata variables by coloring the PCoA plot with different variables including diet, subject, age and gender. Do any of the variables correlate with the shape of PCoA plot and data groupings?</w:t>
      </w:r>
    </w:p>
    <w:p>
      <w:pPr>
        <w:numPr>
          <w:ilvl w:val="0"/>
          <w:numId w:val="1120"/>
        </w:numPr>
        <w:pStyle w:val="Compact"/>
      </w:pPr>
      <w:r>
        <w:t xml:space="preserve">Correlate PCoA plot shape with the levels of metabolites in the study (Creatinine, PCS, IS, HIPP, PAG). From the color-coding pattern, identify 1. which variables help potentially explain the data groups formed in the PCoA plot.</w:t>
      </w:r>
      <w:r>
        <w:t xml:space="preserve"> </w:t>
      </w:r>
      <w:r>
        <w:t xml:space="preserve">Subset</w:t>
      </w:r>
      <w:r>
        <w:t xml:space="preserve"> </w:t>
      </w:r>
      <w:r>
        <w:t xml:space="preserve">“</w:t>
      </w:r>
      <w:r>
        <w:t xml:space="preserve">HD</w:t>
      </w:r>
      <w:r>
        <w:t xml:space="preserve">”</w:t>
      </w:r>
      <w:r>
        <w:t xml:space="preserve">, ordinate on</w:t>
      </w:r>
      <w:r>
        <w:t xml:space="preserve"> </w:t>
      </w:r>
      <w:r>
        <w:t xml:space="preserve">“</w:t>
      </w:r>
      <w:r>
        <w:t xml:space="preserve">HD</w:t>
      </w:r>
      <w:r>
        <w:t xml:space="preserve">”</w:t>
      </w:r>
      <w:r>
        <w:t xml:space="preserve">, and make a new PCoA plot.</w:t>
      </w:r>
    </w:p>
    <w:bookmarkEnd w:id="219"/>
    <w:bookmarkStart w:id="220" w:name="X42c4a4c2165e20d75f675444fe8cf678c8bf11b"/>
    <w:p>
      <w:pPr>
        <w:pStyle w:val="Heading4"/>
      </w:pPr>
      <w:r>
        <w:rPr>
          <w:rStyle w:val="SectionNumber"/>
        </w:rPr>
        <w:t xml:space="preserve">7.3.4.3</w:t>
      </w:r>
      <w:r>
        <w:tab/>
      </w:r>
      <w:r>
        <w:t xml:space="preserve">Question 3. What microbes (ASVs) differ between males and females, and does age have an impact?</w:t>
      </w:r>
    </w:p>
    <w:p>
      <w:pPr>
        <w:pStyle w:val="FirstParagraph"/>
      </w:pPr>
      <w:r>
        <w:t xml:space="preserve">Approach: Perform DESeq2 differential abundance analysis between females and males and determine how many differentially abundant microbes are there between the sexes. Then examine if age has a further impact on the differential abundance of the microbes between the sexes.</w:t>
      </w:r>
    </w:p>
    <w:p>
      <w:pPr>
        <w:numPr>
          <w:ilvl w:val="0"/>
          <w:numId w:val="1121"/>
        </w:numPr>
        <w:pStyle w:val="Compact"/>
      </w:pPr>
      <w:r>
        <w:t xml:space="preserve">Perform DESeq2 analysis between females and males and identify differences.</w:t>
      </w:r>
    </w:p>
    <w:p>
      <w:pPr>
        <w:numPr>
          <w:ilvl w:val="0"/>
          <w:numId w:val="1121"/>
        </w:numPr>
        <w:pStyle w:val="Compact"/>
      </w:pPr>
      <w:r>
        <w:t xml:space="preserve">Test if younger age contributes to differential microbe abundance between females and males by subsetting younger (&lt; 50 years old) individuals.</w:t>
      </w:r>
    </w:p>
    <w:p>
      <w:pPr>
        <w:numPr>
          <w:ilvl w:val="0"/>
          <w:numId w:val="1121"/>
        </w:numPr>
        <w:pStyle w:val="Compact"/>
      </w:pPr>
      <w:r>
        <w:t xml:space="preserve">Test if older age contributes to differential microbe abundance between females and males by subsetting older (&gt; 50 years old) individuals.</w:t>
      </w:r>
    </w:p>
    <w:bookmarkEnd w:id="220"/>
    <w:bookmarkStart w:id="221" w:name="X589fd5694809ec29780eb6eef5817c774102113"/>
    <w:p>
      <w:pPr>
        <w:pStyle w:val="Heading4"/>
      </w:pPr>
      <w:r>
        <w:rPr>
          <w:rStyle w:val="SectionNumber"/>
        </w:rPr>
        <w:t xml:space="preserve">7.3.4.4</w:t>
      </w:r>
      <w:r>
        <w:tab/>
      </w:r>
      <w:r>
        <w:t xml:space="preserve">Question 4. Is there diet and age interaction and what microbes (ASVs) correlate with changes in diet-age interaction?</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Then, use DESeq2 to evaluate if younger or older age changes ASVs associated with diet.</w:t>
      </w:r>
    </w:p>
    <w:p>
      <w:pPr>
        <w:numPr>
          <w:ilvl w:val="0"/>
          <w:numId w:val="1122"/>
        </w:numPr>
        <w:pStyle w:val="Compact"/>
      </w:pPr>
      <w:r>
        <w:t xml:space="preserve">Plot alpha diversity based age for the population in general, and then for individuals subsetted for BD, HD and WO diets. Look for shifts in alpha diversity with change in diet.</w:t>
      </w:r>
    </w:p>
    <w:p>
      <w:pPr>
        <w:numPr>
          <w:ilvl w:val="0"/>
          <w:numId w:val="1122"/>
        </w:numPr>
        <w:pStyle w:val="Compact"/>
      </w:pPr>
      <w:r>
        <w:t xml:space="preserve">Perform DESeq2 analysis based on the diet for the population in general, establishing baseline differential abundance between dietary groups HD and BD.</w:t>
      </w:r>
    </w:p>
    <w:p>
      <w:pPr>
        <w:numPr>
          <w:ilvl w:val="0"/>
          <w:numId w:val="1122"/>
        </w:numPr>
        <w:pStyle w:val="Compact"/>
      </w:pPr>
      <w:r>
        <w:t xml:space="preserve">Perform DESeq2 analysis based on the diet for the younger (&lt;= 50 yo) and older (&gt;=50 yo) individuals, evaluating age-associated changes in differential abundance between dietary groups HD and BD.</w:t>
      </w:r>
    </w:p>
    <w:bookmarkEnd w:id="221"/>
    <w:bookmarkEnd w:id="222"/>
    <w:bookmarkStart w:id="223" w:name="grading-criteria-4"/>
    <w:p>
      <w:pPr>
        <w:pStyle w:val="Heading3"/>
      </w:pPr>
      <w:r>
        <w:rPr>
          <w:rStyle w:val="SectionNumber"/>
        </w:rPr>
        <w:t xml:space="preserve">7.3.5</w:t>
      </w:r>
      <w:r>
        <w:tab/>
      </w:r>
      <w:r>
        <w:t xml:space="preserve">Grading criteria</w:t>
      </w:r>
    </w:p>
    <w:p>
      <w:pPr>
        <w:numPr>
          <w:ilvl w:val="0"/>
          <w:numId w:val="1123"/>
        </w:numPr>
        <w:pStyle w:val="Compact"/>
      </w:pPr>
      <w:r>
        <w:t xml:space="preserve">Download this assignment as Microsoft Word (.docx) and upload on Canvas</w:t>
      </w:r>
    </w:p>
    <w:bookmarkEnd w:id="223"/>
    <w:bookmarkStart w:id="227" w:name="footnotes-7"/>
    <w:p>
      <w:pPr>
        <w:pStyle w:val="Heading3"/>
      </w:pPr>
      <w:r>
        <w:rPr>
          <w:rStyle w:val="SectionNumber"/>
        </w:rPr>
        <w:t xml:space="preserve">7.3.6</w:t>
      </w:r>
      <w:r>
        <w:tab/>
      </w:r>
      <w:r>
        <w:t xml:space="preserve">Footnotes</w:t>
      </w:r>
    </w:p>
    <w:bookmarkStart w:id="225" w:name="resources-6"/>
    <w:p>
      <w:pPr>
        <w:pStyle w:val="Heading4"/>
      </w:pPr>
      <w:r>
        <w:rPr>
          <w:rStyle w:val="SectionNumber"/>
        </w:rPr>
        <w:t xml:space="preserve">7.3.6.1</w:t>
      </w:r>
      <w:r>
        <w:tab/>
      </w:r>
      <w:r>
        <w:t xml:space="preserve">Resources</w:t>
      </w:r>
    </w:p>
    <w:p>
      <w:pPr>
        <w:pStyle w:val="FirstParagraph"/>
      </w:pPr>
      <w:hyperlink r:id="rId224">
        <w:r>
          <w:rPr>
            <w:rStyle w:val="Hyperlink"/>
          </w:rPr>
          <w:t xml:space="preserve">Google Doc</w:t>
        </w:r>
      </w:hyperlink>
    </w:p>
    <w:bookmarkEnd w:id="225"/>
    <w:bookmarkStart w:id="226" w:name="contributions-and-affiliations-7"/>
    <w:p>
      <w:pPr>
        <w:pStyle w:val="Heading4"/>
      </w:pPr>
      <w:r>
        <w:rPr>
          <w:rStyle w:val="SectionNumber"/>
        </w:rPr>
        <w:t xml:space="preserve">7.3.6.2</w:t>
      </w:r>
      <w:r>
        <w:tab/>
      </w:r>
      <w: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Gauri Paul, Clovis Community College</w:t>
      </w:r>
    </w:p>
    <w:p>
      <w:pPr>
        <w:numPr>
          <w:ilvl w:val="0"/>
          <w:numId w:val="1124"/>
        </w:numPr>
        <w:pStyle w:val="Compact"/>
      </w:pPr>
      <w:r>
        <w:t xml:space="preserve">Frederick Tan, Johns Hopkins University</w:t>
      </w:r>
    </w:p>
    <w:p>
      <w:pPr>
        <w:numPr>
          <w:ilvl w:val="0"/>
          <w:numId w:val="1124"/>
        </w:numPr>
        <w:pStyle w:val="Compact"/>
      </w:pPr>
      <w:r>
        <w:t xml:space="preserve">Sayumi York, Notre Dame of Maryland University</w:t>
      </w:r>
    </w:p>
    <w:bookmarkEnd w:id="226"/>
    <w:bookmarkEnd w:id="227"/>
    <w:bookmarkEnd w:id="228"/>
    <w:bookmarkStart w:id="235" w:name="X6e72b077ebe1d568b55a78e6f7c82187a139671"/>
    <w:p>
      <w:pPr>
        <w:pStyle w:val="Heading2"/>
      </w:pPr>
      <w:r>
        <w:rPr>
          <w:rStyle w:val="SectionNumber"/>
        </w:rPr>
        <w:t xml:space="preserve">7.4</w:t>
      </w:r>
      <w:r>
        <w:tab/>
      </w:r>
      <w:r>
        <w:t xml:space="preserve">Try it Question 1 - How sensitive is microbial diversity to variables like diet, age and gender</w:t>
      </w:r>
    </w:p>
    <w:p>
      <w:pPr>
        <w:pStyle w:val="FirstParagraph"/>
      </w:pPr>
      <w:r>
        <w:t xml:space="preserve">Approach: Plot Simpson alpha diversity using plot_richness() command in phyloseq and assess the impact of different study variables on changes in microbial diversity. Identify the variables that impact alpha diversity. Visible shifts in alpha diversity measure suggests a shift in microbial diversity, and higher alpha diversity value indicates an increase in alpha diversity.</w:t>
      </w:r>
    </w:p>
    <w:p>
      <w:pPr>
        <w:pStyle w:val="BodyText"/>
      </w:pPr>
      <w:r>
        <w:rPr>
          <w:bCs/>
          <w:b/>
        </w:rP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29" w:name="Xaf182b85ae6e5e29b42cf857378a05c8dc0f8da"/>
    <w:p>
      <w:pPr>
        <w:pStyle w:val="Heading3"/>
      </w:pPr>
      <w:r>
        <w:rPr>
          <w:rStyle w:val="SectionNumber"/>
        </w:rPr>
        <w:t xml:space="preserve">7.4.1</w:t>
      </w:r>
      <w:r>
        <w:tab/>
      </w:r>
      <w:r>
        <w:t xml:space="preserve">Step 1A. Plot alpha diversity of the full MISO dataset by subject (individuals).</w:t>
      </w:r>
    </w:p>
    <w:p>
      <w:pPr>
        <w:numPr>
          <w:ilvl w:val="0"/>
          <w:numId w:val="1125"/>
        </w:numPr>
        <w:pStyle w:val="Compact"/>
      </w:pPr>
      <w:r>
        <w:t xml:space="preserve">subject is on the x-axis</w:t>
      </w:r>
    </w:p>
    <w:p>
      <w:pPr>
        <w:numPr>
          <w:ilvl w:val="0"/>
          <w:numId w:val="1125"/>
        </w:numPr>
        <w:pStyle w:val="Compact"/>
      </w:pPr>
      <w:r>
        <w:t xml:space="preserve">Color is by subject</w:t>
      </w:r>
    </w:p>
    <w:p>
      <w:pPr>
        <w:numPr>
          <w:ilvl w:val="0"/>
          <w:numId w:val="1125"/>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"subject"</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Paste the resulting plot below:</w:t>
            </w:r>
          </w:p>
        </w:tc>
      </w:tr>
      <w:tr>
        <w:tc>
          <w:tcPr/>
          <w:p>
            <w:pPr>
              <w:pStyle w:val="Compact"/>
              <w:jc w:val="left"/>
            </w:pPr>
          </w:p>
        </w:tc>
      </w:tr>
    </w:tbl>
    <w:p>
      <w:pPr>
        <w:pStyle w:val="BodyText"/>
      </w:pPr>
    </w:p>
    <w:p>
      <w:pPr>
        <w:pStyle w:val="BodyText"/>
      </w:pPr>
      <w:r>
        <w:rPr>
          <w:bCs/>
          <w:b/>
        </w:rPr>
        <w:t xml:space="preserve">1A-2. Based on the alpha plot above, is individuality a strong determinant of microbial alpha diversity (richness and evenness) within an individual? Explain.</w:t>
      </w:r>
    </w:p>
    <w:p>
      <w:pPr>
        <w:pStyle w:val="BodyText"/>
      </w:pPr>
      <w:r>
        <w:t xml:space="preserve">How close are the 5 points for an individual? Are individual data points closer to each other or to the 5 points of another individual? Give examples of individuals in your explanation (e.g. compare S26 and S30, or S02 and S09).</w:t>
      </w:r>
    </w:p>
    <w:tbl>
      <w:tblPr>
        <w:tblStyle w:val="Table"/>
        <w:tblW w:type="auto" w:w="0"/>
        <w:tblLook w:firstRow="0" w:lastRow="0" w:firstColumn="0" w:lastColumn="0" w:noHBand="0" w:noVBand="0" w:val="0000"/>
        <w:jc w:val="start"/>
      </w:tblPr>
      <w:tblGrid>
        <w:gridCol w:w="7920"/>
      </w:tblGrid>
      <w:tr>
        <w:tc>
          <w:tcPr/>
          <w:p>
            <w:pPr>
              <w:pStyle w:val="Compact"/>
              <w:jc w:val="left"/>
            </w:pPr>
          </w:p>
        </w:tc>
      </w:tr>
    </w:tbl>
    <w:p>
      <w:pPr>
        <w:pStyle w:val="BodyText"/>
      </w:pPr>
      <w:r>
        <w:t xml:space="preserve">Some individual alpha diversity profiles appear to have</w:t>
      </w:r>
      <w:r>
        <w:t xml:space="preserve"> </w:t>
      </w:r>
      <w:r>
        <w:t xml:space="preserve">“</w:t>
      </w:r>
      <w:r>
        <w:t xml:space="preserve">outliers</w:t>
      </w:r>
      <w:r>
        <w:t xml:space="preserve">”</w:t>
      </w:r>
      <w:r>
        <w:t xml:space="preserve">, such that e.g. one of the sample points appears separate from the rest. E.g., individuals S03, S10 and S31 seem to have 1 outlier sample.</w:t>
      </w:r>
      <w:r>
        <w:t xml:space="preserve"> </w:t>
      </w:r>
      <w:r>
        <w:rPr>
          <w:bCs/>
          <w:b/>
        </w:rPr>
        <w:t xml:space="preserve">Speculate in general on what such singleton</w:t>
      </w:r>
      <w:r>
        <w:rPr>
          <w:bCs/>
          <w:b/>
        </w:rPr>
        <w:t xml:space="preserve"> </w:t>
      </w:r>
      <w:r>
        <w:rPr>
          <w:bCs/>
          <w:b/>
        </w:rPr>
        <w:t xml:space="preserve">“</w:t>
      </w:r>
      <w:r>
        <w:rPr>
          <w:bCs/>
          <w:b/>
        </w:rPr>
        <w:t xml:space="preserve">outliers</w:t>
      </w:r>
      <w:r>
        <w:rPr>
          <w:bCs/>
          <w:b/>
        </w:rPr>
        <w:t xml:space="preserve">”</w:t>
      </w:r>
      <w:r>
        <w:rPr>
          <w:bCs/>
          <w:b/>
        </w:rPr>
        <w:t xml:space="preserve"> </w:t>
      </w:r>
      <w:r>
        <w:rPr>
          <w:bCs/>
          <w:b/>
        </w:rPr>
        <w:t xml:space="preserve">could mean including recalling what the 5 points represent, evoking concepts of replicates, thinking about sampling and real biology.</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29"/>
    <w:bookmarkStart w:id="230" w:name="X95a5bc41a2ceb0c13393477850239ebabf31d91"/>
    <w:p>
      <w:pPr>
        <w:pStyle w:val="Heading3"/>
      </w:pPr>
      <w:r>
        <w:rPr>
          <w:rStyle w:val="SectionNumber"/>
        </w:rPr>
        <w:t xml:space="preserve">7.4.2</w:t>
      </w:r>
      <w:r>
        <w:tab/>
      </w:r>
      <w:r>
        <w:t xml:space="preserve">Step 1B. Plot alpha diversity of the full MISO dataset, by timepointgroup.</w:t>
      </w:r>
    </w:p>
    <w:p>
      <w:pPr>
        <w:numPr>
          <w:ilvl w:val="0"/>
          <w:numId w:val="1126"/>
        </w:numPr>
        <w:pStyle w:val="Compact"/>
      </w:pPr>
      <w:r>
        <w:t xml:space="preserve">timepoint group is on the x-axis</w:t>
      </w:r>
    </w:p>
    <w:p>
      <w:pPr>
        <w:numPr>
          <w:ilvl w:val="0"/>
          <w:numId w:val="1126"/>
        </w:numPr>
        <w:pStyle w:val="Compact"/>
      </w:pPr>
      <w:r>
        <w:t xml:space="preserve">Color is by subject</w:t>
      </w:r>
    </w:p>
    <w:p>
      <w:pPr>
        <w:numPr>
          <w:ilvl w:val="0"/>
          <w:numId w:val="112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does diet have an impact on microbial diversity (richness and evenness) of individuals? Explain - do you observe a shift up or down in data distribution?</w:t>
            </w:r>
          </w:p>
        </w:tc>
      </w:tr>
      <w:tr>
        <w:tc>
          <w:tcPr/>
          <w:p>
            <w:pPr>
              <w:pStyle w:val="Compact"/>
              <w:jc w:val="left"/>
            </w:pPr>
          </w:p>
        </w:tc>
      </w:tr>
    </w:tbl>
    <w:p>
      <w:pPr>
        <w:pStyle w:val="BodyText"/>
      </w:pPr>
    </w:p>
    <w:bookmarkEnd w:id="230"/>
    <w:bookmarkStart w:id="231" w:name="X03d73b1e28d9932bcdd5fa49a29cdf6e18ce075"/>
    <w:p>
      <w:pPr>
        <w:pStyle w:val="Heading3"/>
      </w:pPr>
      <w:r>
        <w:rPr>
          <w:rStyle w:val="SectionNumber"/>
        </w:rPr>
        <w:t xml:space="preserve">7.4.3</w:t>
      </w:r>
      <w:r>
        <w:tab/>
      </w:r>
      <w:r>
        <w:t xml:space="preserve">Step 1C. Plot alpha diversity of the full MISO dataset by age.</w:t>
      </w:r>
    </w:p>
    <w:p>
      <w:pPr>
        <w:numPr>
          <w:ilvl w:val="0"/>
          <w:numId w:val="1127"/>
        </w:numPr>
        <w:pStyle w:val="Compact"/>
      </w:pPr>
      <w:r>
        <w:t xml:space="preserve">age is on the x-axis</w:t>
      </w:r>
    </w:p>
    <w:p>
      <w:pPr>
        <w:numPr>
          <w:ilvl w:val="0"/>
          <w:numId w:val="1127"/>
        </w:numPr>
        <w:pStyle w:val="Compact"/>
      </w:pPr>
      <w:r>
        <w:t xml:space="preserve">Color is by subject</w:t>
      </w:r>
    </w:p>
    <w:p>
      <w:pPr>
        <w:numPr>
          <w:ilvl w:val="0"/>
          <w:numId w:val="1127"/>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1C-1. Paste your plot below:</w:t>
            </w:r>
          </w:p>
        </w:tc>
      </w:tr>
      <w:tr>
        <w:tc>
          <w:tcPr/>
          <w:p>
            <w:pPr>
              <w:pStyle w:val="Compact"/>
              <w:jc w:val="left"/>
            </w:pPr>
          </w:p>
        </w:tc>
      </w:tr>
    </w:tbl>
    <w:p>
      <w:pPr>
        <w:pStyle w:val="BodyText"/>
      </w:pPr>
    </w:p>
    <w:p>
      <w:pPr>
        <w:pStyle w:val="BodyText"/>
      </w:pPr>
      <w:r>
        <w:rPr>
          <w:bCs/>
          <w:b/>
        </w:rPr>
        <w:t xml:space="preserve">1C-2. Based on the alpha plot above, does age have an impact on microbial diversity of individuals?</w:t>
      </w:r>
      <w:r>
        <w:t xml:space="preserve"> </w:t>
      </w:r>
      <w:r>
        <w:t xml:space="preserve">Explain - do you observe a shift up or down in data during ageing? Do you observe a tighter data distribution in younger or older individuals? Which group, younger (&lt; 50 yo) or older (&gt;50 yo) has higher and tiger overall distribution?</w:t>
      </w:r>
    </w:p>
    <w:tbl>
      <w:tblPr>
        <w:tblStyle w:val="Table"/>
        <w:tblW w:type="auto" w:w="0"/>
        <w:tblLook w:firstRow="0" w:lastRow="0" w:firstColumn="0" w:lastColumn="0" w:noHBand="0" w:noVBand="0" w:val="0000"/>
        <w:jc w:val="start"/>
      </w:tblPr>
      <w:tblGrid>
        <w:gridCol w:w="7920"/>
      </w:tblGrid>
      <w:tr>
        <w:tc>
          <w:tcPr/>
          <w:p>
            <w:pPr>
              <w:pStyle w:val="Compact"/>
              <w:jc w:val="left"/>
            </w:pPr>
          </w:p>
        </w:tc>
      </w:tr>
    </w:tbl>
    <w:bookmarkEnd w:id="231"/>
    <w:bookmarkStart w:id="232" w:name="X74afc393557a17bea599b20543f2769d957adaa"/>
    <w:p>
      <w:pPr>
        <w:pStyle w:val="Heading3"/>
      </w:pPr>
      <w:r>
        <w:rPr>
          <w:rStyle w:val="SectionNumber"/>
        </w:rPr>
        <w:t xml:space="preserve">7.4.4</w:t>
      </w:r>
      <w:r>
        <w:tab/>
      </w:r>
      <w:r>
        <w:t xml:space="preserve">Step 1D. Plot alpha diversity of the full MISO dataset by gender.</w:t>
      </w:r>
    </w:p>
    <w:p>
      <w:pPr>
        <w:numPr>
          <w:ilvl w:val="0"/>
          <w:numId w:val="1128"/>
        </w:numPr>
        <w:pStyle w:val="Compact"/>
      </w:pPr>
      <w:r>
        <w:t xml:space="preserve">gender is on the x-axis</w:t>
      </w:r>
    </w:p>
    <w:p>
      <w:pPr>
        <w:numPr>
          <w:ilvl w:val="0"/>
          <w:numId w:val="1128"/>
        </w:numPr>
        <w:pStyle w:val="Compact"/>
      </w:pPr>
      <w:r>
        <w:t xml:space="preserve">Color is by subject</w:t>
      </w:r>
    </w:p>
    <w:p>
      <w:pPr>
        <w:numPr>
          <w:ilvl w:val="0"/>
          <w:numId w:val="1128"/>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1D-1.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does gender have an impact on microbial diversity? Explain. Which group has a tighter distribution? Which group overall has a more diverse microbiome, males or females? Which microbiomes are more similar to each other, male or female microbiomes?</w:t>
            </w:r>
          </w:p>
        </w:tc>
      </w:tr>
      <w:tr>
        <w:tc>
          <w:tcPr/>
          <w:p>
            <w:pPr>
              <w:pStyle w:val="Compact"/>
              <w:jc w:val="left"/>
            </w:pPr>
          </w:p>
        </w:tc>
      </w:tr>
    </w:tbl>
    <w:p>
      <w:pPr>
        <w:pStyle w:val="BodyText"/>
      </w:pPr>
    </w:p>
    <w:bookmarkEnd w:id="232"/>
    <w:bookmarkStart w:id="233" w:name="Xa64c90cdd633dbf4f262448999ee162edae5e66"/>
    <w:p>
      <w:pPr>
        <w:pStyle w:val="Heading3"/>
      </w:pPr>
      <w:r>
        <w:rPr>
          <w:rStyle w:val="SectionNumber"/>
        </w:rPr>
        <w:t xml:space="preserve">7.4.5</w:t>
      </w:r>
      <w:r>
        <w:tab/>
      </w:r>
      <w:r>
        <w:t xml:space="preserve">Step 2. Plot alpha diversity of the full MISO dataset, grouping based on levels for 5 different metabolites: Creatinine, PCS, IS, HIPP, PAG.</w:t>
      </w:r>
    </w:p>
    <w:p>
      <w:pPr>
        <w:pStyle w:val="FirstParagraph"/>
      </w:pPr>
      <w:r>
        <w:t xml:space="preserve">Plot alpha diversity for the 5 metabolites independently then choose your favorite metabolite (e.g. one with most difference) and show plot below.</w:t>
      </w:r>
    </w:p>
    <w:p>
      <w:pPr>
        <w:numPr>
          <w:ilvl w:val="0"/>
          <w:numId w:val="1129"/>
        </w:numPr>
        <w:pStyle w:val="Compact"/>
      </w:pPr>
      <w:r>
        <w:t xml:space="preserve">metabolite on the x-axis (one at a time: Creatinine, PCS, IS, HIPP, PAG)</w:t>
      </w:r>
    </w:p>
    <w:p>
      <w:pPr>
        <w:numPr>
          <w:ilvl w:val="0"/>
          <w:numId w:val="1129"/>
        </w:numPr>
        <w:pStyle w:val="Compact"/>
      </w:pPr>
      <w:r>
        <w:t xml:space="preserve">Color is by subject</w:t>
      </w:r>
    </w:p>
    <w:p>
      <w:pPr>
        <w:numPr>
          <w:ilvl w:val="0"/>
          <w:numId w:val="1129"/>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"fill in the blank metabolite name"</w:t>
      </w:r>
      <w:r>
        <w:rPr>
          <w:rStyle w:val="NormalTok"/>
        </w:rPr>
        <w:t xml:space="preserve">, </w:t>
      </w:r>
      <w:r>
        <w:br/>
      </w:r>
      <w:r>
        <w:rPr>
          <w:rStyle w:val="NormalTok"/>
        </w:rPr>
        <w:t xml:space="preserve">              </w:t>
      </w:r>
      <w:r>
        <w:rPr>
          <w:rStyle w:val="AttributeTok"/>
        </w:rPr>
        <w:t xml:space="preserve">color=</w:t>
      </w:r>
      <w:r>
        <w:rPr>
          <w:rStyle w:val="StringTok"/>
        </w:rPr>
        <w:t xml:space="preserve">"fill in the blank"</w:t>
      </w:r>
      <w:r>
        <w:rPr>
          <w:rStyle w:val="NormalTok"/>
        </w:rPr>
        <w:t xml:space="preserve">, </w:t>
      </w:r>
      <w:r>
        <w:br/>
      </w:r>
      <w:r>
        <w:rPr>
          <w:rStyle w:val="NormalTok"/>
        </w:rPr>
        <w:t xml:space="preserve">              </w:t>
      </w:r>
      <w:r>
        <w:rPr>
          <w:rStyle w:val="AttributeTok"/>
        </w:rPr>
        <w:t xml:space="preserve">measures=</w:t>
      </w:r>
      <w:r>
        <w:rPr>
          <w:rStyle w:val="NormalTok"/>
        </w:rPr>
        <w:t xml:space="preserve"> </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Which metabolite did you choose to show and why? Any difference between microbiomes for individuals with low versus high metabolite levels?</w:t>
            </w:r>
          </w:p>
        </w:tc>
      </w:tr>
      <w:tr>
        <w:tc>
          <w:tcPr/>
          <w:p>
            <w:pPr>
              <w:pStyle w:val="Compact"/>
              <w:jc w:val="left"/>
            </w:pPr>
          </w:p>
        </w:tc>
      </w:tr>
    </w:tbl>
    <w:p>
      <w:pPr>
        <w:pStyle w:val="BodyText"/>
      </w:pPr>
    </w:p>
    <w:bookmarkEnd w:id="233"/>
    <w:bookmarkStart w:id="234" w:name="X1d841a3602300eb409ac1022bd75f557782c5fa"/>
    <w:p>
      <w:pPr>
        <w:pStyle w:val="Heading3"/>
      </w:pPr>
      <w:r>
        <w:rPr>
          <w:rStyle w:val="SectionNumber"/>
        </w:rPr>
        <w:t xml:space="preserve">7.4.6</w:t>
      </w:r>
      <w:r>
        <w:tab/>
      </w:r>
      <w:r>
        <w:t xml:space="preserve">Step 3. Select data for poster and include the code used to generate the figure.</w:t>
      </w:r>
    </w:p>
    <w:p>
      <w:pPr>
        <w:numPr>
          <w:ilvl w:val="0"/>
          <w:numId w:val="1130"/>
        </w:numPr>
        <w:pStyle w:val="Compact"/>
      </w:pPr>
      <w:r>
        <w:t xml:space="preserve">Prepare your final figure and associated code for the poster.</w:t>
      </w:r>
    </w:p>
    <w:p>
      <w:pPr>
        <w:numPr>
          <w:ilvl w:val="0"/>
          <w:numId w:val="1130"/>
        </w:numPr>
        <w:pStyle w:val="Compact"/>
      </w:pPr>
      <w:r>
        <w:t xml:space="preserve">Figure suggestion: A 2-part figure with Figure A showing alpha diversity based on your favorite variable (subject, timepointgroup, age, or gender), and Figure B, showing alpha diversity with your favorite metabolite (Creatinine, PCS, IS, HIPP, or PAG).</w:t>
      </w:r>
    </w:p>
    <w:p>
      <w:pPr>
        <w:numPr>
          <w:ilvl w:val="0"/>
          <w:numId w:val="1131"/>
        </w:numPr>
        <w:pStyle w:val="Compact"/>
      </w:pPr>
      <w:r>
        <w:t xml:space="preserve">Ensure you have a figure legend that explains your final figure.</w:t>
      </w:r>
    </w:p>
    <w:p>
      <w:pPr>
        <w:numPr>
          <w:ilvl w:val="0"/>
          <w:numId w:val="1131"/>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final poster figure and code below:</w:t>
            </w:r>
          </w:p>
        </w:tc>
      </w:tr>
      <w:tr>
        <w:tc>
          <w:tcPr/>
          <w:p>
            <w:pPr>
              <w:pStyle w:val="Compact"/>
              <w:jc w:val="left"/>
            </w:pPr>
          </w:p>
        </w:tc>
      </w:tr>
    </w:tbl>
    <w:p>
      <w:pPr>
        <w:pStyle w:val="BodyText"/>
      </w:pPr>
    </w:p>
    <w:bookmarkEnd w:id="234"/>
    <w:bookmarkEnd w:id="235"/>
    <w:bookmarkStart w:id="240" w:name="X0c0171d6de6614d5b4dee402dd920b23c012e84"/>
    <w:p>
      <w:pPr>
        <w:pStyle w:val="Heading2"/>
      </w:pPr>
      <w:r>
        <w:rPr>
          <w:rStyle w:val="SectionNumber"/>
        </w:rPr>
        <w:t xml:space="preserve">7.5</w:t>
      </w:r>
      <w:r>
        <w:tab/>
      </w:r>
      <w:r>
        <w:t xml:space="preserve">Try it Question 2 - Do diet, age, gender and levels of metabolites correlate with microbe variation between individuals</w:t>
      </w:r>
    </w:p>
    <w:p>
      <w:pPr>
        <w:pStyle w:val="FirstParagraph"/>
      </w:pPr>
      <w:r>
        <w:t xml:space="preserve">Approach: Perform multidimensional scaling (also known as principal component analysis) to establish a relationship between the samples given multivariate data (metadata variables). Using a PcOA plot (via commands ordinate() and plot_ordination() in phyloseq), you will condense the original high-dimensional data into a low-dimensional one by converting data to distance map (matrix) with 2 dimensions, x and y, that best explain variability in your data. From your PCoA plot you will assess the contribution of different study variables to sample diversity and identify variables that help explain sample diversity. In a PcOA plot, samples with similar microbial profiles will be plotted close and may appear as</w:t>
      </w:r>
      <w:r>
        <w:t xml:space="preserve"> </w:t>
      </w:r>
      <w:r>
        <w:t xml:space="preserve">“</w:t>
      </w:r>
      <w:r>
        <w:t xml:space="preserve">clusters</w:t>
      </w:r>
      <w:r>
        <w:t xml:space="preserve">”</w:t>
      </w:r>
      <w:r>
        <w:t xml:space="preserve">.</w:t>
      </w:r>
    </w:p>
    <w:bookmarkStart w:id="236" w:name="Xdbe292352db7afac5a51548fc4f770f554d872d"/>
    <w:p>
      <w:pPr>
        <w:pStyle w:val="Heading3"/>
      </w:pPr>
      <w:r>
        <w:rPr>
          <w:rStyle w:val="SectionNumber"/>
        </w:rPr>
        <w:t xml:space="preserve">7.5.1</w:t>
      </w:r>
      <w:r>
        <w:tab/>
      </w:r>
      <w:r>
        <w:t xml:space="preserve">Step 1. Make a PcOA plot, ordinating on the entire miso dataset, and coloring by individual. Investigate resulting plot shape.</w:t>
      </w:r>
    </w:p>
    <w:p>
      <w:pPr>
        <w:numPr>
          <w:ilvl w:val="0"/>
          <w:numId w:val="1132"/>
        </w:numPr>
      </w:pPr>
      <w:r>
        <w:t xml:space="preserve">Ordination is a term used to summarize a multidimensional dataset when projected onto a low-dimensional space (like X &amp; Y axes) and then observing any pattern the data may possess with a visual inspection.</w:t>
      </w:r>
    </w:p>
    <w:p>
      <w:pPr>
        <w:numPr>
          <w:ilvl w:val="0"/>
          <w:numId w:val="1132"/>
        </w:numPr>
      </w:pPr>
      <w:r>
        <w:t xml:space="preserve">Subsequent coloring of the pattern with metadata variables can reveal underlying relationships between data and experiment variables.</w:t>
      </w:r>
    </w:p>
    <w:p>
      <w:pPr>
        <w:numPr>
          <w:ilvl w:val="0"/>
          <w:numId w:val="1132"/>
        </w:numPr>
      </w:pPr>
      <w:r>
        <w:t xml:space="preserve">color - by subject</w:t>
      </w:r>
    </w:p>
    <w:p>
      <w:pPr>
        <w:numPr>
          <w:ilvl w:val="0"/>
          <w:numId w:val="1132"/>
        </w:numPr>
      </w:pPr>
      <w:r>
        <w:t xml:space="preserve">Include a title for your PCoA plot</w:t>
      </w:r>
    </w:p>
    <w:p>
      <w:pPr>
        <w:numPr>
          <w:ilvl w:val="0"/>
          <w:numId w:val="1132"/>
        </w:numPr>
      </w:pPr>
      <w:r>
        <w:t xml:space="preserve">Use the following code as a template:</w:t>
      </w:r>
    </w:p>
    <w:p>
      <w:pPr>
        <w:pStyle w:val="SourceCode"/>
      </w:pPr>
      <w:r>
        <w:rPr>
          <w:rStyle w:val="CommentTok"/>
        </w:rPr>
        <w:t xml:space="preserve">#Ordinate </w:t>
      </w:r>
      <w:r>
        <w:br/>
      </w:r>
      <w:r>
        <w:rPr>
          <w:rStyle w:val="NormalTok"/>
        </w:rPr>
        <w:t xml:space="preserve">miso.pcoa </w:t>
      </w:r>
      <w:r>
        <w:rPr>
          <w:rStyle w:val="OtherTok"/>
        </w:rPr>
        <w:t xml:space="preserve">&lt;-</w:t>
      </w:r>
      <w:r>
        <w:rPr>
          <w:rStyle w:val="NormalTok"/>
        </w:rPr>
        <w:t xml:space="preserve"> </w:t>
      </w:r>
      <w:r>
        <w:rPr>
          <w:rStyle w:val="FunctionTok"/>
        </w:rPr>
        <w:t xml:space="preserve">ordinate</w:t>
      </w:r>
      <w:r>
        <w:rPr>
          <w:rStyle w:val="NormalTok"/>
        </w:rPr>
        <w:t xml:space="preserve">(miso,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r>
        <w:br/>
      </w:r>
      <w:r>
        <w:br/>
      </w:r>
      <w:r>
        <w:rPr>
          <w:rStyle w:val="CommentTok"/>
        </w:rPr>
        <w:t xml:space="preserve">#Plot PCoA</w:t>
      </w:r>
      <w:r>
        <w:br/>
      </w: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Describe the shape of your PCoA plot. Does the PCoA organize the into groups? Is there any pattern?</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1A-3. Do you observe sample clustering by individual? Provide examples and an explanation.</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1A-4. Offer one question you want to ask about this PCoA plot?</w:t>
            </w:r>
          </w:p>
        </w:tc>
      </w:tr>
      <w:tr>
        <w:tc>
          <w:tcPr/>
          <w:p>
            <w:pPr>
              <w:pStyle w:val="Compact"/>
              <w:jc w:val="left"/>
            </w:pPr>
          </w:p>
        </w:tc>
      </w:tr>
    </w:tbl>
    <w:p>
      <w:pPr>
        <w:pStyle w:val="BodyText"/>
      </w:pPr>
    </w:p>
    <w:bookmarkEnd w:id="236"/>
    <w:bookmarkStart w:id="237" w:name="Xbdf29036cc93ad68605530d54a1b03bb1f90193"/>
    <w:p>
      <w:pPr>
        <w:pStyle w:val="Heading3"/>
      </w:pPr>
      <w:r>
        <w:rPr>
          <w:rStyle w:val="SectionNumber"/>
        </w:rPr>
        <w:t xml:space="preserve">7.5.2</w:t>
      </w:r>
      <w:r>
        <w:tab/>
      </w:r>
      <w:r>
        <w:t xml:space="preserve">Step 2. Using the PCoA plot from Step 1 above, look for any correlations between the shape of your PCoA plot and diet, gender and age</w:t>
      </w:r>
    </w:p>
    <w:p>
      <w:pPr>
        <w:pStyle w:val="FirstParagraph"/>
      </w:pPr>
      <w:r>
        <w:rPr>
          <w:bCs/>
          <w:b/>
        </w:rPr>
        <w:t xml:space="preserve">Step 2A. Using the PCoA plot from Step 1, look for any correlations between the shape of your PCoA plot and diet?</w:t>
      </w:r>
    </w:p>
    <w:p>
      <w:pPr>
        <w:pStyle w:val="BodyText"/>
      </w:pPr>
      <w:r>
        <w:t xml:space="preserve">How well is your data explained by the variation in the diet - look for signs of correlation between PCoA shape and variable</w:t>
      </w:r>
      <w:r>
        <w:t xml:space="preserve"> </w:t>
      </w:r>
      <w:r>
        <w:t xml:space="preserve">“</w:t>
      </w:r>
      <w:r>
        <w:t xml:space="preserve">timepointgroup</w:t>
      </w:r>
      <w:r>
        <w:t xml:space="preserve">”</w:t>
      </w:r>
      <w:r>
        <w:t xml:space="preserve"> </w:t>
      </w:r>
      <w:r>
        <w:t xml:space="preserve">representing BD, HD and WO diets. Note that since we are using the same plot, we do not need to re-ordinate (no ordinate() function).</w:t>
      </w:r>
    </w:p>
    <w:p>
      <w:pPr>
        <w:numPr>
          <w:ilvl w:val="0"/>
          <w:numId w:val="1133"/>
        </w:numPr>
        <w:pStyle w:val="Compact"/>
      </w:pPr>
      <w:r>
        <w:t xml:space="preserve">Color - by timepointgroup</w:t>
      </w:r>
    </w:p>
    <w:p>
      <w:pPr>
        <w:numPr>
          <w:ilvl w:val="0"/>
          <w:numId w:val="1133"/>
        </w:numPr>
        <w:pStyle w:val="Compact"/>
      </w:pPr>
      <w:r>
        <w:t xml:space="preserve">Include a title for your PcOA plot</w:t>
      </w:r>
    </w:p>
    <w:p>
      <w:pPr>
        <w:numPr>
          <w:ilvl w:val="0"/>
          <w:numId w:val="1133"/>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2A-2 Did coloring the</w:t>
            </w:r>
            <w:r>
              <w:t xml:space="preserve"> </w:t>
            </w:r>
            <w:r>
              <w:t xml:space="preserve">‘</w:t>
            </w:r>
            <w:r>
              <w:t xml:space="preserve">miso</w:t>
            </w:r>
            <w:r>
              <w:t xml:space="preserve">’</w:t>
            </w:r>
            <w:r>
              <w:t xml:space="preserve"> </w:t>
            </w:r>
            <w:r>
              <w:t xml:space="preserve">PCoA plot by timepointgroup explain any variation in your data? E.g. did each of the 3 data groups/clusters correspond to each of the 3 timepointgroups or not? E.g. does the coloring appear randomly distributed or not?</w:t>
            </w:r>
          </w:p>
        </w:tc>
      </w:tr>
      <w:tr>
        <w:tc>
          <w:tcPr/>
          <w:p>
            <w:pPr>
              <w:pStyle w:val="Compact"/>
              <w:jc w:val="left"/>
            </w:pPr>
          </w:p>
        </w:tc>
      </w:tr>
    </w:tbl>
    <w:p>
      <w:pPr>
        <w:pStyle w:val="BodyText"/>
      </w:pPr>
    </w:p>
    <w:p>
      <w:pPr>
        <w:pStyle w:val="BodyText"/>
      </w:pPr>
      <w:r>
        <w:rPr>
          <w:bCs/>
          <w:b/>
        </w:rPr>
        <w:t xml:space="preserve">Step 2B. Using the PCoA plot from Step 1, look for any correlations between the shape of your PCoA plot and gender?</w:t>
      </w:r>
      <w:r>
        <w:rPr>
          <w:bCs/>
          <w:b/>
        </w:rPr>
        <w:t xml:space="preserve"> </w:t>
      </w:r>
    </w:p>
    <w:p>
      <w:pPr>
        <w:pStyle w:val="BodyText"/>
      </w:pPr>
      <w:r>
        <w:t xml:space="preserve">How well is your data explained by the variation in the gender - look for signs of correlation between PcOA shape and variable</w:t>
      </w:r>
      <w:r>
        <w:t xml:space="preserve"> </w:t>
      </w:r>
      <w:r>
        <w:t xml:space="preserve">“</w:t>
      </w:r>
      <w:r>
        <w:t xml:space="preserve">gender</w:t>
      </w:r>
      <w:r>
        <w:t xml:space="preserve">”</w:t>
      </w:r>
      <w:r>
        <w:t xml:space="preserve">.</w:t>
      </w:r>
    </w:p>
    <w:p>
      <w:pPr>
        <w:numPr>
          <w:ilvl w:val="0"/>
          <w:numId w:val="1134"/>
        </w:numPr>
        <w:pStyle w:val="Compact"/>
      </w:pPr>
      <w:r>
        <w:t xml:space="preserve">Color - by gender</w:t>
      </w:r>
    </w:p>
    <w:p>
      <w:pPr>
        <w:numPr>
          <w:ilvl w:val="0"/>
          <w:numId w:val="1134"/>
        </w:numPr>
        <w:pStyle w:val="Compact"/>
      </w:pPr>
      <w:r>
        <w:t xml:space="preserve">Include a title for your PcOA plot</w:t>
      </w:r>
    </w:p>
    <w:p>
      <w:pPr>
        <w:numPr>
          <w:ilvl w:val="0"/>
          <w:numId w:val="1134"/>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2B-2 Did coloring of the</w:t>
            </w:r>
            <w:r>
              <w:t xml:space="preserve"> </w:t>
            </w:r>
            <w:r>
              <w:t xml:space="preserve">‘</w:t>
            </w:r>
            <w:r>
              <w:t xml:space="preserve">miso</w:t>
            </w:r>
            <w:r>
              <w:t xml:space="preserve">’</w:t>
            </w:r>
            <w:r>
              <w:t xml:space="preserve"> </w:t>
            </w:r>
            <w:r>
              <w:t xml:space="preserve">PCoA plot by gender explain any variation in your data? E.g. does the coloring appear randomly distributed or not?</w:t>
            </w:r>
          </w:p>
        </w:tc>
      </w:tr>
      <w:tr>
        <w:tc>
          <w:tcPr/>
          <w:p>
            <w:pPr>
              <w:pStyle w:val="Compact"/>
              <w:jc w:val="left"/>
            </w:pPr>
          </w:p>
        </w:tc>
      </w:tr>
    </w:tbl>
    <w:p>
      <w:pPr>
        <w:pStyle w:val="BodyText"/>
      </w:pPr>
    </w:p>
    <w:p>
      <w:pPr>
        <w:pStyle w:val="BodyText"/>
      </w:pPr>
      <w:r>
        <w:rPr>
          <w:bCs/>
          <w:b/>
        </w:rPr>
        <w:t xml:space="preserve">Step 2C. Using the PCoA plot from Step 1, look for any correlations between the shape of your PCoA plot and age? How well is your data explained by the variation in the age - look for signs of correlation between PcOA shape and variable</w:t>
      </w:r>
      <w:r>
        <w:rPr>
          <w:bCs/>
          <w:b/>
        </w:rPr>
        <w:t xml:space="preserve"> </w:t>
      </w:r>
      <w:r>
        <w:rPr>
          <w:bCs/>
          <w:b/>
        </w:rPr>
        <w:t xml:space="preserve">“</w:t>
      </w:r>
      <w:r>
        <w:rPr>
          <w:bCs/>
          <w:b/>
        </w:rPr>
        <w:t xml:space="preserve">age</w:t>
      </w:r>
      <w:r>
        <w:rPr>
          <w:bCs/>
          <w:b/>
        </w:rPr>
        <w:t xml:space="preserve">”</w:t>
      </w:r>
      <w:r>
        <w:rPr>
          <w:bCs/>
          <w:b/>
        </w:rPr>
        <w:t xml:space="preserve">.</w:t>
      </w:r>
    </w:p>
    <w:p>
      <w:pPr>
        <w:numPr>
          <w:ilvl w:val="0"/>
          <w:numId w:val="1135"/>
        </w:numPr>
        <w:pStyle w:val="Compact"/>
      </w:pPr>
      <w:r>
        <w:t xml:space="preserve">Color - age</w:t>
      </w:r>
    </w:p>
    <w:p>
      <w:pPr>
        <w:numPr>
          <w:ilvl w:val="0"/>
          <w:numId w:val="1135"/>
        </w:numPr>
        <w:pStyle w:val="Compact"/>
      </w:pPr>
      <w:r>
        <w:t xml:space="preserve">Include title name for your PcOA plot</w:t>
      </w:r>
    </w:p>
    <w:p>
      <w:pPr>
        <w:numPr>
          <w:ilvl w:val="0"/>
          <w:numId w:val="1135"/>
        </w:numPr>
        <w:pStyle w:val="Compact"/>
      </w:pPr>
      <w:r>
        <w:t xml:space="preserve">Use the following code as a template. To enhance the color range of the age variable, additionally included below (in blue) is the command to specify the color gradient with yellow–to-blue gradient.</w:t>
      </w:r>
    </w:p>
    <w:p>
      <w:pPr>
        <w:numPr>
          <w:ilvl w:val="0"/>
          <w:numId w:val="1135"/>
        </w:numPr>
        <w:pStyle w:val="Compact"/>
      </w:pPr>
      <w:r>
        <w:t xml:space="preserve">Try running the code with and without the scale_colour_gradient() command to appreciate the difference.</w:t>
      </w:r>
    </w:p>
    <w:p>
      <w:pPr>
        <w:pStyle w:val="SourceCode"/>
      </w:pPr>
      <w:r>
        <w:rPr>
          <w:rStyle w:val="FunctionTok"/>
        </w:rPr>
        <w:t xml:space="preserve">plot_ordination</w:t>
      </w:r>
      <w:r>
        <w:rPr>
          <w:rStyle w:val="NormalTok"/>
        </w:rPr>
        <w:t xml:space="preserve">(miso, miso.pcoa,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"red"</w:t>
      </w:r>
      <w:r>
        <w:rPr>
          <w:rStyle w:val="NormalTok"/>
        </w:rPr>
        <w:t xml:space="preserve">, </w:t>
      </w:r>
      <w:r>
        <w:rPr>
          <w:rStyle w:val="AttributeTok"/>
        </w:rPr>
        <w:t xml:space="preserve">high =</w:t>
      </w:r>
      <w:r>
        <w:rPr>
          <w:rStyle w:val="NormalTok"/>
        </w:rPr>
        <w:t xml:space="preserve"> </w:t>
      </w:r>
      <w:r>
        <w:rPr>
          <w:rStyle w:val="StringTok"/>
        </w:rPr>
        <w:t xml:space="preserve">"green"</w:t>
      </w:r>
      <w:r>
        <w:rPr>
          <w:rStyle w:val="NormalTok"/>
        </w:rPr>
        <w:t xml:space="preserve">) </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2C-1. 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2C-2 Did coloring of the</w:t>
            </w:r>
            <w:r>
              <w:t xml:space="preserve"> </w:t>
            </w:r>
            <w:r>
              <w:t xml:space="preserve">‘</w:t>
            </w:r>
            <w:r>
              <w:t xml:space="preserve">miso</w:t>
            </w:r>
            <w:r>
              <w:t xml:space="preserve">’</w:t>
            </w:r>
            <w:r>
              <w:t xml:space="preserve"> </w:t>
            </w:r>
            <w:r>
              <w:t xml:space="preserve">PCoA plot by age explain any variation in your data? E.g. Does the coloring appear randomly distributed or not? Is there any hint of a correlation between age and groups of data on the left or the right?</w:t>
            </w:r>
          </w:p>
        </w:tc>
      </w:tr>
      <w:tr>
        <w:tc>
          <w:tcPr/>
          <w:p>
            <w:pPr>
              <w:pStyle w:val="Compact"/>
              <w:jc w:val="left"/>
            </w:pPr>
          </w:p>
        </w:tc>
      </w:tr>
    </w:tbl>
    <w:p>
      <w:pPr>
        <w:pStyle w:val="BodyText"/>
      </w:pPr>
    </w:p>
    <w:bookmarkEnd w:id="237"/>
    <w:bookmarkStart w:id="238" w:name="Xb26c900387b81686f79fad443810f58b1a7fc4e"/>
    <w:p>
      <w:pPr>
        <w:pStyle w:val="Heading3"/>
      </w:pPr>
      <w:r>
        <w:rPr>
          <w:rStyle w:val="SectionNumber"/>
        </w:rPr>
        <w:t xml:space="preserve">7.5.3</w:t>
      </w:r>
      <w:r>
        <w:tab/>
      </w:r>
      <w:r>
        <w:t xml:space="preserve">Step 3. Using the PCoA plot from Step 1, look for any correlations between the shape of your PCoA plot and the level of metabolites.</w:t>
      </w:r>
    </w:p>
    <w:p>
      <w:pPr>
        <w:pStyle w:val="FirstParagraph"/>
      </w:pPr>
      <w:r>
        <w:t xml:space="preserve">How well is your data correlated with the variation in the 5 metabolites - Creatinine, PCS, IS, HIPP, or PAG? Test each metabolite by coloring each metabolite at a time, then, choose your favorite metabolite (e.g. one with most difference) and show the plot below.</w:t>
      </w:r>
    </w:p>
    <w:p>
      <w:pPr>
        <w:numPr>
          <w:ilvl w:val="0"/>
          <w:numId w:val="1136"/>
        </w:numPr>
        <w:pStyle w:val="Compact"/>
      </w:pPr>
      <w:r>
        <w:t xml:space="preserve">Color - metabolite one at a time: Creatinine, PCS, IS, HIPP, PAG</w:t>
      </w:r>
    </w:p>
    <w:p>
      <w:pPr>
        <w:numPr>
          <w:ilvl w:val="0"/>
          <w:numId w:val="1136"/>
        </w:numPr>
        <w:pStyle w:val="Compact"/>
      </w:pPr>
      <w:r>
        <w:t xml:space="preserve">Include a title for your PcOA plot</w:t>
      </w:r>
    </w:p>
    <w:p>
      <w:pPr>
        <w:numPr>
          <w:ilvl w:val="0"/>
          <w:numId w:val="1136"/>
        </w:numPr>
        <w:pStyle w:val="Compact"/>
      </w:pPr>
      <w:r>
        <w:t xml:space="preserve">Use the following code as a template:</w:t>
      </w:r>
    </w:p>
    <w:p>
      <w:pPr>
        <w:pStyle w:val="SourceCode"/>
      </w:pPr>
      <w:r>
        <w:rPr>
          <w:rStyle w:val="FunctionTok"/>
        </w:rPr>
        <w:t xml:space="preserve">plot_ordination</w:t>
      </w:r>
      <w:r>
        <w:rPr>
          <w:rStyle w:val="NormalTok"/>
        </w:rPr>
        <w:t xml:space="preserve">(miso, miso.pcoa fill </w:t>
      </w:r>
      <w:r>
        <w:rPr>
          <w:rStyle w:val="ControlFlowTok"/>
        </w:rPr>
        <w:t xml:space="preserve">in</w:t>
      </w:r>
      <w:r>
        <w:rPr>
          <w:rStyle w:val="NormalTok"/>
        </w:rPr>
        <w:t xml:space="preserve"> the blank metabolite name,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 </w:t>
      </w:r>
      <w:r>
        <w:rPr>
          <w:rStyle w:val="SpecialCharTok"/>
        </w:rPr>
        <w:t xml:space="preserve">+</w:t>
      </w:r>
      <w:r>
        <w:rPr>
          <w:rStyle w:val="NormalTok"/>
        </w:rPr>
        <w:t xml:space="preserve"> </w:t>
      </w:r>
      <w:r>
        <w:br/>
      </w:r>
      <w:r>
        <w:rPr>
          <w:rStyle w:val="FunctionTok"/>
        </w:rPr>
        <w:t xml:space="preserve">scale_colour_gradient</w:t>
      </w:r>
      <w:r>
        <w:rPr>
          <w:rStyle w:val="NormalTok"/>
        </w:rPr>
        <w:t xml:space="preserve">(</w:t>
      </w:r>
      <w:r>
        <w:rPr>
          <w:rStyle w:val="AttributeTok"/>
        </w:rPr>
        <w:t xml:space="preserve">low =</w:t>
      </w:r>
      <w:r>
        <w:rPr>
          <w:rStyle w:val="NormalTok"/>
        </w:rPr>
        <w:t xml:space="preserve"> </w:t>
      </w:r>
      <w:r>
        <w:rPr>
          <w:rStyle w:val="StringTok"/>
        </w:rPr>
        <w:t xml:space="preserve">"yellow"</w:t>
      </w:r>
      <w:r>
        <w:rPr>
          <w:rStyle w:val="NormalTok"/>
        </w:rPr>
        <w:t xml:space="preserve">, </w:t>
      </w:r>
      <w:r>
        <w:rPr>
          <w:rStyle w:val="AttributeTok"/>
        </w:rPr>
        <w:t xml:space="preserve">high =</w:t>
      </w:r>
      <w:r>
        <w:rPr>
          <w:rStyle w:val="NormalTok"/>
        </w:rPr>
        <w:t xml:space="preserve"> </w:t>
      </w:r>
      <w:r>
        <w:rPr>
          <w:rStyle w:val="StringTok"/>
        </w:rPr>
        <w:t xml:space="preserve">"blue"</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Paste your metabolite plot(s)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3A-2. Which metabolite did you choose to show and why? Any difference between microbiomes for individuals with low versus high metabolite levels? Any association between metabolite level and microbiome diversity?</w:t>
            </w:r>
          </w:p>
        </w:tc>
      </w:tr>
      <w:tr>
        <w:tc>
          <w:tcPr/>
          <w:p>
            <w:pPr>
              <w:pStyle w:val="Compact"/>
              <w:jc w:val="left"/>
            </w:pPr>
          </w:p>
        </w:tc>
      </w:tr>
    </w:tbl>
    <w:p>
      <w:pPr>
        <w:pStyle w:val="BodyText"/>
      </w:pPr>
    </w:p>
    <w:bookmarkEnd w:id="238"/>
    <w:bookmarkStart w:id="239" w:name="Xa81b0a621064153c4331032af5404a6eb7d19b8"/>
    <w:p>
      <w:pPr>
        <w:pStyle w:val="Heading3"/>
      </w:pPr>
      <w:r>
        <w:rPr>
          <w:rStyle w:val="SectionNumber"/>
        </w:rPr>
        <w:t xml:space="preserve">7.5.4</w:t>
      </w:r>
      <w:r>
        <w:tab/>
      </w:r>
      <w:r>
        <w:t xml:space="preserve">Step 4. One way of checking if the metabolite levels indeed correlate with your data, is to see if subsetting smaller chunks or specific chunks of the data will still maintain the metabolite-data relationship or break it.</w:t>
      </w:r>
    </w:p>
    <w:p>
      <w:pPr>
        <w:pStyle w:val="FirstParagraph"/>
      </w:pPr>
      <w:r>
        <w:t xml:space="preserve">Using subset() command, subset out e.g. HD diet specifically, and then BD diet. Then, generate new PcOA plots and see if the correlation with your metabolite of interest still holds.</w:t>
      </w:r>
    </w:p>
    <w:p>
      <w:pPr>
        <w:pStyle w:val="BodyText"/>
      </w:pPr>
      <w:r>
        <w:rPr>
          <w:bCs/>
          <w:b/>
        </w:rPr>
        <w:t xml:space="preserve">Step 4A. Subset</w:t>
      </w:r>
      <w:r>
        <w:rPr>
          <w:bCs/>
          <w:b/>
        </w:rPr>
        <w:t xml:space="preserve"> </w:t>
      </w:r>
      <w:r>
        <w:rPr>
          <w:bCs/>
          <w:b/>
        </w:rPr>
        <w:t xml:space="preserve">“</w:t>
      </w:r>
      <w:r>
        <w:rPr>
          <w:bCs/>
          <w:b/>
        </w:rPr>
        <w:t xml:space="preserve">HD</w:t>
      </w:r>
      <w:r>
        <w:rPr>
          <w:bCs/>
          <w:b/>
        </w:rPr>
        <w:t xml:space="preserve">”</w:t>
      </w:r>
      <w:r>
        <w:rPr>
          <w:bCs/>
          <w:b/>
        </w:rPr>
        <w:t xml:space="preserve">, ordinate on</w:t>
      </w:r>
      <w:r>
        <w:rPr>
          <w:bCs/>
          <w:b/>
        </w:rPr>
        <w:t xml:space="preserve"> </w:t>
      </w:r>
      <w:r>
        <w:rPr>
          <w:bCs/>
          <w:b/>
        </w:rPr>
        <w:t xml:space="preserve">“</w:t>
      </w:r>
      <w:r>
        <w:rPr>
          <w:bCs/>
          <w:b/>
        </w:rPr>
        <w:t xml:space="preserve">HD</w:t>
      </w:r>
      <w:r>
        <w:rPr>
          <w:bCs/>
          <w:b/>
        </w:rPr>
        <w:t xml:space="preserve">”</w:t>
      </w:r>
      <w:r>
        <w:rPr>
          <w:bCs/>
          <w:b/>
        </w:rPr>
        <w:t xml:space="preserve">, and make a new PCoA plot.</w:t>
      </w:r>
    </w:p>
    <w:p>
      <w:pPr>
        <w:numPr>
          <w:ilvl w:val="0"/>
          <w:numId w:val="1137"/>
        </w:numPr>
        <w:pStyle w:val="Compact"/>
      </w:pPr>
      <w:r>
        <w:t xml:space="preserve">Subset data - by the timepointgroup</w:t>
      </w:r>
      <w:r>
        <w:t xml:space="preserve"> </w:t>
      </w:r>
      <w:r>
        <w:t xml:space="preserve">“</w:t>
      </w:r>
      <w:r>
        <w:t xml:space="preserve">HD</w:t>
      </w:r>
      <w:r>
        <w:t xml:space="preserve">”</w:t>
      </w:r>
    </w:p>
    <w:p>
      <w:pPr>
        <w:numPr>
          <w:ilvl w:val="0"/>
          <w:numId w:val="1137"/>
        </w:numPr>
        <w:pStyle w:val="Compact"/>
      </w:pPr>
      <w:r>
        <w:t xml:space="preserve">Ordinate - misoHD</w:t>
      </w:r>
    </w:p>
    <w:p>
      <w:pPr>
        <w:numPr>
          <w:ilvl w:val="0"/>
          <w:numId w:val="1137"/>
        </w:numPr>
        <w:pStyle w:val="Compact"/>
      </w:pPr>
      <w:r>
        <w:t xml:space="preserve">Color - by your selected metabolite from part 3</w:t>
      </w:r>
    </w:p>
    <w:p>
      <w:pPr>
        <w:numPr>
          <w:ilvl w:val="0"/>
          <w:numId w:val="1137"/>
        </w:numPr>
        <w:pStyle w:val="Compact"/>
      </w:pPr>
      <w:r>
        <w:t xml:space="preserve">Include a title for your PcOA plot</w:t>
      </w:r>
    </w:p>
    <w:p>
      <w:pPr>
        <w:numPr>
          <w:ilvl w:val="0"/>
          <w:numId w:val="1137"/>
        </w:numPr>
        <w:pStyle w:val="Compact"/>
      </w:pPr>
      <w:r>
        <w:t xml:space="preserve">Use the following code as a template:</w:t>
      </w:r>
    </w:p>
    <w:p>
      <w:pPr>
        <w:numPr>
          <w:ilvl w:val="0"/>
          <w:numId w:val="1138"/>
        </w:numPr>
        <w:pStyle w:val="Compact"/>
      </w:pPr>
      <w:r>
        <w:t xml:space="preserve">Subset only</w:t>
      </w:r>
      <w:r>
        <w:t xml:space="preserve"> </w:t>
      </w:r>
      <w:r>
        <w:t xml:space="preserve">“</w:t>
      </w:r>
      <w:r>
        <w:t xml:space="preserve">HD</w:t>
      </w:r>
      <w:r>
        <w:t xml:space="preserve">”</w:t>
      </w:r>
      <w:r>
        <w:t xml:space="preserve"> </w:t>
      </w:r>
      <w:r>
        <w:t xml:space="preserve">timepoint from your miso data, creating a new phyloseq object called</w:t>
      </w:r>
      <w:r>
        <w:t xml:space="preserve"> </w:t>
      </w:r>
      <w:r>
        <w:t xml:space="preserve">“</w:t>
      </w:r>
      <w:r>
        <w:t xml:space="preserve">misoHD</w:t>
      </w:r>
      <w:r>
        <w:t xml:space="preserve">”</w:t>
      </w:r>
    </w:p>
    <w:p>
      <w:pPr>
        <w:pStyle w:val="SourceCode"/>
      </w:pPr>
      <w:r>
        <w:rPr>
          <w:rStyle w:val="NormalTok"/>
        </w:rPr>
        <w:t xml:space="preserve">misoHD </w:t>
      </w:r>
      <w:r>
        <w:rPr>
          <w:rStyle w:val="OtherTok"/>
        </w:rPr>
        <w:t xml:space="preserve">=</w:t>
      </w:r>
      <w:r>
        <w:rPr>
          <w:rStyle w:val="NormalTok"/>
        </w:rPr>
        <w:t xml:space="preserve"> </w:t>
      </w:r>
      <w:r>
        <w:rPr>
          <w:rStyle w:val="FunctionTok"/>
        </w:rPr>
        <w:t xml:space="preserve">subset_samples</w:t>
      </w:r>
      <w:r>
        <w:rPr>
          <w:rStyle w:val="NormalTok"/>
        </w:rPr>
        <w:t xml:space="preserve">(miso, timepointgroup </w:t>
      </w:r>
      <w:r>
        <w:rPr>
          <w:rStyle w:val="SpecialCharTok"/>
        </w:rPr>
        <w:t xml:space="preserve">==</w:t>
      </w:r>
      <w:r>
        <w:rPr>
          <w:rStyle w:val="NormalTok"/>
        </w:rPr>
        <w:t xml:space="preserve"> </w:t>
      </w:r>
      <w:r>
        <w:rPr>
          <w:rStyle w:val="StringTok"/>
        </w:rPr>
        <w:t xml:space="preserve">"fill in the blank"</w:t>
      </w:r>
      <w:r>
        <w:rPr>
          <w:rStyle w:val="NormalTok"/>
        </w:rPr>
        <w:t xml:space="preserve">) </w:t>
      </w:r>
    </w:p>
    <w:p>
      <w:pPr>
        <w:numPr>
          <w:ilvl w:val="0"/>
          <w:numId w:val="1139"/>
        </w:numPr>
        <w:pStyle w:val="Compact"/>
      </w:pPr>
      <w:r>
        <w:t xml:space="preserve">Ordinate using only</w:t>
      </w:r>
      <w:r>
        <w:t xml:space="preserve"> </w:t>
      </w:r>
      <w:r>
        <w:t xml:space="preserve">“</w:t>
      </w:r>
      <w:r>
        <w:t xml:space="preserve">HD</w:t>
      </w:r>
      <w:r>
        <w:t xml:space="preserve">”</w:t>
      </w:r>
      <w:r>
        <w:t xml:space="preserve"> </w:t>
      </w:r>
      <w:r>
        <w:t xml:space="preserve">subset, creating a new ordination matrix called</w:t>
      </w:r>
      <w:r>
        <w:t xml:space="preserve"> </w:t>
      </w:r>
      <w:r>
        <w:t xml:space="preserve">“</w:t>
      </w:r>
      <w:r>
        <w:t xml:space="preserve">pcoa.misoHD</w:t>
      </w:r>
      <w:r>
        <w:t xml:space="preserve">”</w:t>
      </w:r>
    </w:p>
    <w:p>
      <w:pPr>
        <w:pStyle w:val="SourceCode"/>
      </w:pPr>
      <w:r>
        <w:rPr>
          <w:rStyle w:val="NormalTok"/>
        </w:rPr>
        <w:t xml:space="preserve">pcoa.misoHD </w:t>
      </w:r>
      <w:r>
        <w:rPr>
          <w:rStyle w:val="OtherTok"/>
        </w:rPr>
        <w:t xml:space="preserve">&lt;-</w:t>
      </w:r>
      <w:r>
        <w:rPr>
          <w:rStyle w:val="NormalTok"/>
        </w:rPr>
        <w:t xml:space="preserve"> </w:t>
      </w:r>
      <w:r>
        <w:rPr>
          <w:rStyle w:val="FunctionTok"/>
        </w:rPr>
        <w:t xml:space="preserve">ordinate</w:t>
      </w:r>
      <w:r>
        <w:rPr>
          <w:rStyle w:val="NormalTok"/>
        </w:rPr>
        <w:t xml:space="preserve">(misoHD, </w:t>
      </w:r>
      <w:r>
        <w:rPr>
          <w:rStyle w:val="AttributeTok"/>
        </w:rPr>
        <w:t xml:space="preserve">method=</w:t>
      </w:r>
      <w:r>
        <w:rPr>
          <w:rStyle w:val="StringTok"/>
        </w:rPr>
        <w:t xml:space="preserve">"PCoA"</w:t>
      </w:r>
      <w:r>
        <w:rPr>
          <w:rStyle w:val="NormalTok"/>
        </w:rPr>
        <w:t xml:space="preserve">, </w:t>
      </w:r>
      <w:r>
        <w:rPr>
          <w:rStyle w:val="AttributeTok"/>
        </w:rPr>
        <w:t xml:space="preserve">distance=</w:t>
      </w:r>
      <w:r>
        <w:rPr>
          <w:rStyle w:val="StringTok"/>
        </w:rPr>
        <w:t xml:space="preserve">"bray"</w:t>
      </w:r>
      <w:r>
        <w:rPr>
          <w:rStyle w:val="NormalTok"/>
        </w:rPr>
        <w:t xml:space="preserve">) </w:t>
      </w:r>
    </w:p>
    <w:p>
      <w:pPr>
        <w:numPr>
          <w:ilvl w:val="0"/>
          <w:numId w:val="1140"/>
        </w:numPr>
        <w:pStyle w:val="Compact"/>
      </w:pPr>
      <w:r>
        <w:t xml:space="preserve">Make a PCoA plot using your</w:t>
      </w:r>
      <w:r>
        <w:t xml:space="preserve"> </w:t>
      </w:r>
      <w:r>
        <w:t xml:space="preserve">“</w:t>
      </w:r>
      <w:r>
        <w:t xml:space="preserve">HD</w:t>
      </w:r>
      <w:r>
        <w:t xml:space="preserve">”</w:t>
      </w:r>
      <w:r>
        <w:t xml:space="preserve"> </w:t>
      </w:r>
      <w:r>
        <w:t xml:space="preserve">subset.</w:t>
      </w:r>
    </w:p>
    <w:p>
      <w:pPr>
        <w:pStyle w:val="SourceCode"/>
      </w:pPr>
      <w:r>
        <w:rPr>
          <w:rStyle w:val="FunctionTok"/>
        </w:rPr>
        <w:t xml:space="preserve">plot_ordination</w:t>
      </w:r>
      <w:r>
        <w:rPr>
          <w:rStyle w:val="NormalTok"/>
        </w:rPr>
        <w:t xml:space="preserve">(misoHD, pcoa.misoHD, </w:t>
      </w:r>
      <w:r>
        <w:br/>
      </w:r>
      <w:r>
        <w:rPr>
          <w:rStyle w:val="NormalTok"/>
        </w:rPr>
        <w:t xml:space="preserve">        </w:t>
      </w:r>
      <w:r>
        <w:rPr>
          <w:rStyle w:val="AttributeTok"/>
        </w:rPr>
        <w:t xml:space="preserve">color =</w:t>
      </w:r>
      <w:r>
        <w:rPr>
          <w:rStyle w:val="NormalTok"/>
        </w:rPr>
        <w:t xml:space="preserve"> </w:t>
      </w:r>
      <w:r>
        <w:rPr>
          <w:rStyle w:val="StringTok"/>
        </w:rPr>
        <w:t xml:space="preserve">"fill in the blank"</w:t>
      </w:r>
      <w:r>
        <w:rPr>
          <w:rStyle w:val="NormalTok"/>
        </w:rPr>
        <w:t xml:space="preserve">, </w:t>
      </w:r>
      <w:r>
        <w:br/>
      </w:r>
      <w:r>
        <w:rPr>
          <w:rStyle w:val="NormalTok"/>
        </w:rPr>
        <w:t xml:space="preserve">        </w:t>
      </w:r>
      <w:r>
        <w:rPr>
          <w:rStyle w:val="AttributeTok"/>
        </w:rPr>
        <w:t xml:space="preserve">title=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HD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4A-2 Did subsetting by the timpointgroup</w:t>
            </w:r>
            <w:r>
              <w:t xml:space="preserve"> </w:t>
            </w:r>
            <w:r>
              <w:t xml:space="preserve">“</w:t>
            </w:r>
            <w:r>
              <w:t xml:space="preserve">HD</w:t>
            </w:r>
            <w:r>
              <w:t xml:space="preserve">”</w:t>
            </w:r>
            <w:r>
              <w:t xml:space="preserve"> </w:t>
            </w:r>
            <w:r>
              <w:t xml:space="preserve">maintain your data’s relationship to your chosen metabolite? Did the shape of the plot change or stay the same with</w:t>
            </w:r>
            <w:r>
              <w:t xml:space="preserve"> </w:t>
            </w:r>
            <w:r>
              <w:t xml:space="preserve">“</w:t>
            </w:r>
            <w:r>
              <w:t xml:space="preserve">HD</w:t>
            </w:r>
            <w:r>
              <w:t xml:space="preserve">”</w:t>
            </w:r>
            <w:r>
              <w:t xml:space="preserve"> </w:t>
            </w:r>
            <w:r>
              <w:t xml:space="preserve">subsetting? Can you conclude if your metabolite of choice correlates with HD diet?</w:t>
            </w:r>
          </w:p>
        </w:tc>
      </w:tr>
      <w:tr>
        <w:tc>
          <w:tcPr/>
          <w:p>
            <w:pPr>
              <w:pStyle w:val="Compact"/>
              <w:jc w:val="left"/>
            </w:pPr>
          </w:p>
        </w:tc>
      </w:tr>
    </w:tbl>
    <w:p>
      <w:pPr>
        <w:pStyle w:val="BodyText"/>
      </w:pPr>
    </w:p>
    <w:p>
      <w:pPr>
        <w:pStyle w:val="BodyText"/>
      </w:pPr>
      <w:r>
        <w:rPr>
          <w:bCs/>
          <w:b/>
        </w:rPr>
        <w:t xml:space="preserve">Step 4B. Repeat the analysis on only the BD timepoint group samples. Subset</w:t>
      </w:r>
      <w:r>
        <w:rPr>
          <w:bCs/>
          <w:b/>
        </w:rPr>
        <w:t xml:space="preserve"> </w:t>
      </w:r>
      <w:r>
        <w:rPr>
          <w:bCs/>
          <w:b/>
        </w:rPr>
        <w:t xml:space="preserve">“</w:t>
      </w:r>
      <w:r>
        <w:rPr>
          <w:bCs/>
          <w:b/>
        </w:rPr>
        <w:t xml:space="preserve">BD</w:t>
      </w:r>
      <w:r>
        <w:rPr>
          <w:bCs/>
          <w:b/>
        </w:rPr>
        <w:t xml:space="preserve">”</w:t>
      </w:r>
      <w:r>
        <w:rPr>
          <w:bCs/>
          <w:b/>
        </w:rPr>
        <w:t xml:space="preserve">, ordinate on</w:t>
      </w:r>
      <w:r>
        <w:rPr>
          <w:bCs/>
          <w:b/>
        </w:rPr>
        <w:t xml:space="preserve"> </w:t>
      </w:r>
      <w:r>
        <w:rPr>
          <w:bCs/>
          <w:b/>
        </w:rPr>
        <w:t xml:space="preserve">“</w:t>
      </w:r>
      <w:r>
        <w:rPr>
          <w:bCs/>
          <w:b/>
        </w:rPr>
        <w:t xml:space="preserve">BD</w:t>
      </w:r>
      <w:r>
        <w:rPr>
          <w:bCs/>
          <w:b/>
        </w:rPr>
        <w:t xml:space="preserve">”</w:t>
      </w:r>
      <w:r>
        <w:rPr>
          <w:bCs/>
          <w:b/>
        </w:rPr>
        <w:t xml:space="preserve">, and make a new PCoA plot.</w:t>
      </w:r>
    </w:p>
    <w:p>
      <w:pPr>
        <w:numPr>
          <w:ilvl w:val="0"/>
          <w:numId w:val="1141"/>
        </w:numPr>
        <w:pStyle w:val="Compact"/>
      </w:pPr>
      <w:r>
        <w:t xml:space="preserve">Subset data - by the timepointgroup</w:t>
      </w:r>
      <w:r>
        <w:t xml:space="preserve"> </w:t>
      </w:r>
      <w:r>
        <w:t xml:space="preserve">“</w:t>
      </w:r>
      <w:r>
        <w:t xml:space="preserve">BD</w:t>
      </w:r>
      <w:r>
        <w:t xml:space="preserve">”</w:t>
      </w:r>
    </w:p>
    <w:p>
      <w:pPr>
        <w:numPr>
          <w:ilvl w:val="0"/>
          <w:numId w:val="1141"/>
        </w:numPr>
        <w:pStyle w:val="Compact"/>
      </w:pPr>
      <w:r>
        <w:t xml:space="preserve">Ordinate - misoBD</w:t>
      </w:r>
    </w:p>
    <w:p>
      <w:pPr>
        <w:numPr>
          <w:ilvl w:val="0"/>
          <w:numId w:val="1141"/>
        </w:numPr>
        <w:pStyle w:val="Compact"/>
      </w:pPr>
      <w:r>
        <w:t xml:space="preserve">Color - by your selected metabolite from part 3</w:t>
      </w:r>
    </w:p>
    <w:p>
      <w:pPr>
        <w:numPr>
          <w:ilvl w:val="0"/>
          <w:numId w:val="1141"/>
        </w:numPr>
        <w:pStyle w:val="Compact"/>
      </w:pPr>
      <w:r>
        <w:t xml:space="preserve">Include a title for your PcOA plot</w:t>
      </w:r>
    </w:p>
    <w:p>
      <w:pPr>
        <w:numPr>
          <w:ilvl w:val="0"/>
          <w:numId w:val="1141"/>
        </w:numPr>
        <w:pStyle w:val="Compact"/>
      </w:pPr>
      <w:r>
        <w:t xml:space="preserve">Use the code above as a template.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your plot below for BD subset:</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Did subsetting</w:t>
            </w:r>
            <w:r>
              <w:t xml:space="preserve"> </w:t>
            </w:r>
            <w:r>
              <w:t xml:space="preserve">“</w:t>
            </w:r>
            <w:r>
              <w:t xml:space="preserve">BD</w:t>
            </w:r>
            <w:r>
              <w:t xml:space="preserve">”</w:t>
            </w:r>
            <w:r>
              <w:t xml:space="preserve"> </w:t>
            </w:r>
            <w:r>
              <w:t xml:space="preserve">maintain your data’s relationship to your chosen metabolitelevels? Did the shape of the plot change or stay the same with</w:t>
            </w:r>
            <w:r>
              <w:t xml:space="preserve"> </w:t>
            </w:r>
            <w:r>
              <w:t xml:space="preserve">“</w:t>
            </w:r>
            <w:r>
              <w:t xml:space="preserve">BD</w:t>
            </w:r>
            <w:r>
              <w:t xml:space="preserve">”</w:t>
            </w:r>
            <w:r>
              <w:t xml:space="preserve"> </w:t>
            </w:r>
            <w:r>
              <w:t xml:space="preserve">subsetting? Explain your results. Can you conclude if your metabolite of choice correlates with sample groups when only BD timepointgroup data is plotted?</w:t>
            </w:r>
          </w:p>
        </w:tc>
      </w:tr>
      <w:tr>
        <w:tc>
          <w:tcPr/>
          <w:p>
            <w:pPr>
              <w:pStyle w:val="Compact"/>
              <w:jc w:val="left"/>
            </w:pPr>
          </w:p>
        </w:tc>
      </w:tr>
    </w:tbl>
    <w:p>
      <w:pPr>
        <w:pStyle w:val="BodyText"/>
      </w:pPr>
    </w:p>
    <w:p>
      <w:pPr>
        <w:pStyle w:val="BodyText"/>
      </w:pPr>
      <w:r>
        <w:rPr>
          <w:bCs/>
          <w:b/>
        </w:rPr>
        <w:t xml:space="preserve">Step 5A. Select data for poster and include the code used to generate the figure.</w:t>
      </w:r>
    </w:p>
    <w:p>
      <w:pPr>
        <w:numPr>
          <w:ilvl w:val="0"/>
          <w:numId w:val="1142"/>
        </w:numPr>
        <w:pStyle w:val="Compact"/>
      </w:pPr>
      <w:r>
        <w:t xml:space="preserve">Prepare your final figure and associated code for the poster.</w:t>
      </w:r>
    </w:p>
    <w:p>
      <w:pPr>
        <w:numPr>
          <w:ilvl w:val="0"/>
          <w:numId w:val="1142"/>
        </w:numPr>
        <w:pStyle w:val="Compact"/>
      </w:pPr>
      <w:r>
        <w:t xml:space="preserve">Figure suggestion: A 2-part figure with Figure A showing PCoA plot based on subject and Figure B, showing PCoA plot with your favorite metabolite (Creatinine, PCS, IS, HIPP, or PAG).</w:t>
      </w:r>
    </w:p>
    <w:p>
      <w:pPr>
        <w:numPr>
          <w:ilvl w:val="0"/>
          <w:numId w:val="1142"/>
        </w:numPr>
        <w:pStyle w:val="Compact"/>
      </w:pPr>
      <w:r>
        <w:t xml:space="preserve">Ensure you have a figure legend that explains your final figure.</w:t>
      </w:r>
    </w:p>
    <w:p>
      <w:pPr>
        <w:numPr>
          <w:ilvl w:val="0"/>
          <w:numId w:val="114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5A-1. Paste final poster figure and code below:</w:t>
            </w:r>
          </w:p>
        </w:tc>
      </w:tr>
      <w:tr>
        <w:tc>
          <w:tcPr/>
          <w:p>
            <w:pPr>
              <w:pStyle w:val="Compact"/>
              <w:jc w:val="left"/>
            </w:pPr>
          </w:p>
        </w:tc>
      </w:tr>
    </w:tbl>
    <w:p>
      <w:pPr>
        <w:pStyle w:val="BodyText"/>
      </w:pPr>
    </w:p>
    <w:bookmarkEnd w:id="239"/>
    <w:bookmarkEnd w:id="240"/>
    <w:bookmarkStart w:id="245" w:name="X595ac7e568229e6fc777f68597beefe0ba51994"/>
    <w:p>
      <w:pPr>
        <w:pStyle w:val="Heading2"/>
      </w:pPr>
      <w:r>
        <w:rPr>
          <w:rStyle w:val="SectionNumber"/>
        </w:rPr>
        <w:t xml:space="preserve">7.6</w:t>
      </w:r>
      <w:r>
        <w:tab/>
      </w:r>
      <w:r>
        <w:t xml:space="preserve">Try it Question 3 - What microbes (ASVs) differ between males and females, and does age have an impact</w:t>
      </w:r>
    </w:p>
    <w:p>
      <w:pPr>
        <w:pStyle w:val="FirstParagraph"/>
      </w:pPr>
      <w:r>
        <w:t xml:space="preserve">Approach: Perform DESeq analysis between females and males and determine how many differentially abundant microbes are there between the sexes. Then examine if age has a further impact on the abundance of the microbes between the sexes.</w:t>
      </w:r>
    </w:p>
    <w:bookmarkStart w:id="241" w:name="Xd507241b7910661e2cc6426c8de0d60c4521a74"/>
    <w:p>
      <w:pPr>
        <w:pStyle w:val="Heading3"/>
      </w:pPr>
      <w:r>
        <w:rPr>
          <w:rStyle w:val="SectionNumber"/>
        </w:rPr>
        <w:t xml:space="preserve">7.6.1</w:t>
      </w:r>
      <w:r>
        <w:tab/>
      </w:r>
      <w:r>
        <w:t xml:space="preserve">Step 3A. Perform differential abundance analysis between genders.</w:t>
      </w:r>
    </w:p>
    <w:p>
      <w:pPr>
        <w:numPr>
          <w:ilvl w:val="0"/>
          <w:numId w:val="1143"/>
        </w:numPr>
      </w:pPr>
      <w:r>
        <w:t xml:space="preserve">Design - is based on gender (no double quotes)</w:t>
      </w:r>
    </w:p>
    <w:p>
      <w:pPr>
        <w:numPr>
          <w:ilvl w:val="0"/>
          <w:numId w:val="1143"/>
        </w:numPr>
      </w:pPr>
      <w:r>
        <w:t xml:space="preserve">Groups to compare - females, F and males, M (baseline)</w:t>
      </w:r>
    </w:p>
    <w:p>
      <w:pPr>
        <w:numPr>
          <w:ilvl w:val="0"/>
          <w:numId w:val="1143"/>
        </w:numPr>
      </w:pPr>
      <w:r>
        <w:t xml:space="preserve">Plot Phylum on the X-axis and color by Class</w:t>
      </w:r>
    </w:p>
    <w:p>
      <w:pPr>
        <w:numPr>
          <w:ilvl w:val="0"/>
          <w:numId w:val="1143"/>
        </w:numPr>
      </w:pPr>
      <w:r>
        <w:t xml:space="preserve">Make sure your graph has a title that includes the comparison you are making (ex. WO vs HD)</w:t>
      </w:r>
    </w:p>
    <w:p>
      <w:pPr>
        <w:numPr>
          <w:ilvl w:val="0"/>
          <w:numId w:val="1143"/>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43"/>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2: Select the groups to compare, where the latter group is your baseline</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3A-3. Give an example of a differentially abundant ASVs that was significantly higher in females than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3A-4. Give an example of a differentially abundant ASVs that was significantly higher in males than females. Include ASV ID and taxa. HINT: If male was your baseline, then an example of an ASV that is higher in males will have a negative log2FC.</w:t>
            </w:r>
          </w:p>
        </w:tc>
      </w:tr>
      <w:tr>
        <w:tc>
          <w:tcPr/>
          <w:p>
            <w:pPr>
              <w:pStyle w:val="Compact"/>
              <w:jc w:val="left"/>
            </w:pPr>
          </w:p>
        </w:tc>
      </w:tr>
    </w:tbl>
    <w:p>
      <w:pPr>
        <w:pStyle w:val="BodyText"/>
      </w:pPr>
    </w:p>
    <w:bookmarkEnd w:id="241"/>
    <w:bookmarkStart w:id="242" w:name="X79916a6b28072c69ac15d7943d38357558bb002"/>
    <w:p>
      <w:pPr>
        <w:pStyle w:val="Heading3"/>
      </w:pPr>
      <w:r>
        <w:rPr>
          <w:rStyle w:val="SectionNumber"/>
        </w:rPr>
        <w:t xml:space="preserve">7.6.2</w:t>
      </w:r>
      <w:r>
        <w:tab/>
      </w:r>
      <w:r>
        <w:t xml:space="preserve">Step 3B. Determine the impact of younger age on differential abundance in males and females, by subsetting age &lt; 50 data from the phyloseq object, and performing DESeq2 analysis on this subset.</w:t>
      </w:r>
    </w:p>
    <w:p>
      <w:pPr>
        <w:numPr>
          <w:ilvl w:val="0"/>
          <w:numId w:val="1144"/>
        </w:numPr>
        <w:pStyle w:val="Compact"/>
      </w:pPr>
      <w:r>
        <w:t xml:space="preserve">Subset phyloseq object to only include younger individuals (age &lt; 50)</w:t>
      </w:r>
    </w:p>
    <w:p>
      <w:pPr>
        <w:numPr>
          <w:ilvl w:val="0"/>
          <w:numId w:val="1144"/>
        </w:numPr>
        <w:pStyle w:val="Compact"/>
      </w:pPr>
      <w:r>
        <w:t xml:space="preserve">For DESeq2 analysis, keep the design the same as in part A - based on gender</w:t>
      </w:r>
    </w:p>
    <w:p>
      <w:pPr>
        <w:numPr>
          <w:ilvl w:val="0"/>
          <w:numId w:val="1144"/>
        </w:numPr>
        <w:pStyle w:val="Compact"/>
      </w:pPr>
      <w:r>
        <w:t xml:space="preserve">Groups to compare: females (F) and males (M, baseline)</w:t>
      </w:r>
    </w:p>
    <w:p>
      <w:pPr>
        <w:numPr>
          <w:ilvl w:val="0"/>
          <w:numId w:val="1144"/>
        </w:numPr>
        <w:pStyle w:val="Compact"/>
      </w:pPr>
      <w:r>
        <w:t xml:space="preserve">Plot Phylum on the X-axis and color by Class</w:t>
      </w:r>
    </w:p>
    <w:p>
      <w:pPr>
        <w:numPr>
          <w:ilvl w:val="0"/>
          <w:numId w:val="1144"/>
        </w:numPr>
        <w:pStyle w:val="Compact"/>
      </w:pPr>
      <w:r>
        <w:t xml:space="preserve">Use template code below:</w:t>
      </w:r>
    </w:p>
    <w:p>
      <w:pPr>
        <w:pStyle w:val="FirstParagraph"/>
      </w:pPr>
      <w:r>
        <w:t xml:space="preserve">STEP 1: subset by age &lt; 50</w:t>
      </w:r>
    </w:p>
    <w:p>
      <w:pPr>
        <w:pStyle w:val="SourceCode"/>
      </w:pPr>
      <w:r>
        <w:rPr>
          <w:rStyle w:val="NormalTok"/>
        </w:rPr>
        <w:t xml:space="preserve">ageA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&lt;</w:t>
      </w:r>
      <w:r>
        <w:rPr>
          <w:rStyle w:val="DecValTok"/>
        </w:rPr>
        <w:t xml:space="preserve">50</w:t>
      </w:r>
      <w:r>
        <w:rPr>
          <w:rStyle w:val="NormalTok"/>
        </w:rPr>
        <w:t xml:space="preserve">) </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(ageA, </w:t>
      </w:r>
      <w:r>
        <w:rPr>
          <w:rStyle w:val="AttributeTok"/>
        </w:rPr>
        <w:t xml:space="preserve">design =</w:t>
      </w:r>
      <w:r>
        <w:rPr>
          <w:rStyle w:val="NormalTok"/>
        </w:rPr>
        <w:t xml:space="preserve"> </w:t>
      </w:r>
      <w:r>
        <w:rPr>
          <w:rStyle w:val="SpecialCharTok"/>
        </w:rPr>
        <w:t xml:space="preserve">~</w:t>
      </w:r>
      <w:r>
        <w:rPr>
          <w:rStyle w:val="NormalTok"/>
        </w:rPr>
        <w:t xml:space="preserve"> fill </w:t>
      </w:r>
      <w:r>
        <w:rPr>
          <w:rStyle w:val="ControlFlowTok"/>
        </w:rPr>
        <w:t xml:space="preserve">in</w:t>
      </w:r>
      <w:r>
        <w:rPr>
          <w:rStyle w:val="NormalTok"/>
        </w:rPr>
        <w:t xml:space="preserve"> the blank)</w:t>
      </w:r>
    </w:p>
    <w:p>
      <w:pPr>
        <w:pStyle w:val="FirstParagraph"/>
      </w:pPr>
      <w:r>
        <w:t xml:space="preserve">STEP 3: Select the groups to compare, where log2FoldChange reported will correspond to y/x.</w:t>
      </w:r>
    </w:p>
    <w:p>
      <w:pPr>
        <w:pStyle w:val="SourceCode"/>
      </w:pPr>
      <w:r>
        <w:rPr>
          <w:rStyle w:val="NormalTok"/>
        </w:rPr>
        <w:t xml:space="preserve">my_comparision </w:t>
      </w:r>
      <w:r>
        <w:rPr>
          <w:rStyle w:val="OtherTok"/>
        </w:rPr>
        <w:t xml:space="preserve">&lt;-</w:t>
      </w:r>
      <w:r>
        <w:rPr>
          <w:rStyle w:val="FunctionTok"/>
        </w:rPr>
        <w:t xml:space="preserve">c</w:t>
      </w:r>
      <w:r>
        <w:rPr>
          <w:rStyle w:val="NormalTok"/>
        </w:rPr>
        <w:t xml:space="preserve">(</w:t>
      </w:r>
      <w:r>
        <w:rPr>
          <w:rStyle w:val="StringTok"/>
        </w:rPr>
        <w:t xml:space="preserve">"gender"</w:t>
      </w:r>
      <w:r>
        <w:rPr>
          <w:rStyle w:val="NormalTok"/>
        </w:rPr>
        <w:t xml:space="preserve">, </w:t>
      </w:r>
      <w:r>
        <w:rPr>
          <w:rStyle w:val="StringTok"/>
        </w:rPr>
        <w:t xml:space="preserve">"fill in the blank"</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w:t>
      </w:r>
      <w:r>
        <w:rPr>
          <w:rStyle w:val="OtherTok"/>
        </w:rPr>
        <w:t xml:space="preserve">&lt;-</w:t>
      </w:r>
      <w:r>
        <w:rPr>
          <w:rStyle w:val="FunctionTok"/>
        </w:rPr>
        <w:t xml:space="preserve">Differential_Abundance</w:t>
      </w:r>
      <w:r>
        <w:rPr>
          <w:rStyle w:val="NormalTok"/>
        </w:rPr>
        <w:t xml:space="preserve">(DESeq2, my_comparision,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fill </w:t>
      </w:r>
      <w:r>
        <w:rPr>
          <w:rStyle w:val="ControlFlowTok"/>
        </w:rPr>
        <w:t xml:space="preserve">in</w:t>
      </w:r>
      <w:r>
        <w:rPr>
          <w:rStyle w:val="NormalTok"/>
        </w:rPr>
        <w:t xml:space="preserve"> the blank,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AttributeTok"/>
        </w:rPr>
        <w:t xml:space="preserve">position =</w:t>
      </w:r>
      <w:r>
        <w:rPr>
          <w:rStyle w:val="NormalTok"/>
        </w:rPr>
        <w:t xml:space="preserve"> </w:t>
      </w:r>
      <w:r>
        <w:rPr>
          <w:rStyle w:val="StringTok"/>
        </w:rPr>
        <w:t xml:space="preserve">"jitter"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3B-3. Give an example of a differentially abundant ASVs that was significantly higher in younger females than younger males. Include ASV ID and taxa. HINT: If male was your baseline, then an example of an ASV that is higher in females will have a positive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3B-4. Give an example of a differentially abundant ASVs that was significantly higher in younger males than younger females. Include ASV ID and taxa. HINT: If male was your baseline, then an example of an ASV that is higher in males will have a negative log2FC.</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3B-5. How does younger age impact microbe abundance between females and males in general?</w:t>
            </w:r>
          </w:p>
        </w:tc>
      </w:tr>
      <w:tr>
        <w:tc>
          <w:tcPr/>
          <w:p>
            <w:pPr>
              <w:pStyle w:val="Compact"/>
              <w:jc w:val="left"/>
            </w:pPr>
          </w:p>
        </w:tc>
      </w:tr>
    </w:tbl>
    <w:p>
      <w:pPr>
        <w:pStyle w:val="BodyText"/>
      </w:pPr>
    </w:p>
    <w:bookmarkEnd w:id="242"/>
    <w:bookmarkStart w:id="243" w:name="X2d2d6babfb94edafc1b96bec6735622172a6a35"/>
    <w:p>
      <w:pPr>
        <w:pStyle w:val="Heading3"/>
      </w:pPr>
      <w:r>
        <w:rPr>
          <w:rStyle w:val="SectionNumber"/>
        </w:rPr>
        <w:t xml:space="preserve">7.6.3</w:t>
      </w:r>
      <w:r>
        <w:tab/>
      </w:r>
      <w:r>
        <w:t xml:space="preserve">Step 3C. Determine the impact of older age on differential abundance in males and females, by subsetting age &gt;= 50 data from the phyloseq object, and performing DESeq2 analysis on this subset.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3C-2.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3C-3. How does older age impact microbe abundance between females and males in general?</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3C-4. Comparing fold change plots between younger and older females and males, what is one difference between Phyla distribution?</w:t>
            </w:r>
          </w:p>
        </w:tc>
      </w:tr>
      <w:tr>
        <w:tc>
          <w:tcPr/>
          <w:p>
            <w:pPr>
              <w:pStyle w:val="Compact"/>
              <w:jc w:val="left"/>
            </w:pPr>
          </w:p>
        </w:tc>
      </w:tr>
    </w:tbl>
    <w:p>
      <w:pPr>
        <w:pStyle w:val="BodyText"/>
      </w:pPr>
    </w:p>
    <w:bookmarkEnd w:id="243"/>
    <w:bookmarkStart w:id="244" w:name="X1a0630c2b30ccd136ab7ec9a3eca54086dc681f"/>
    <w:p>
      <w:pPr>
        <w:pStyle w:val="Heading3"/>
      </w:pPr>
      <w:r>
        <w:rPr>
          <w:rStyle w:val="SectionNumber"/>
        </w:rPr>
        <w:t xml:space="preserve">7.6.4</w:t>
      </w:r>
      <w:r>
        <w:tab/>
      </w:r>
      <w:r>
        <w:t xml:space="preserve">Step 4. Select data for poster and include the code used to generate the figure</w:t>
      </w:r>
    </w:p>
    <w:p>
      <w:pPr>
        <w:pStyle w:val="FirstParagraph"/>
      </w:pPr>
      <w:r>
        <w:t xml:space="preserve">Prepare your final figure and associated code for the poster.</w:t>
      </w:r>
    </w:p>
    <w:p>
      <w:pPr>
        <w:numPr>
          <w:ilvl w:val="0"/>
          <w:numId w:val="1145"/>
        </w:numPr>
      </w:pPr>
      <w:r>
        <w:t xml:space="preserve">Figure suggestion: A 3-part figure with Figure A showing fold change differences between males and females in general, Figure B showing gender differences in younger individuals, and Figure C showing gender differences in older individuals.</w:t>
      </w:r>
    </w:p>
    <w:p>
      <w:pPr>
        <w:numPr>
          <w:ilvl w:val="0"/>
          <w:numId w:val="1145"/>
        </w:numPr>
      </w:pPr>
      <w:r>
        <w:t xml:space="preserve">Ensure you have a figure legend that explains your final figure.</w:t>
      </w:r>
    </w:p>
    <w:p>
      <w:pPr>
        <w:numPr>
          <w:ilvl w:val="0"/>
          <w:numId w:val="1145"/>
        </w:numPr>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4A-1. Paste final poster figure and code below:</w:t>
            </w:r>
          </w:p>
        </w:tc>
      </w:tr>
      <w:tr>
        <w:tc>
          <w:tcPr/>
          <w:p>
            <w:pPr>
              <w:pStyle w:val="Compact"/>
              <w:jc w:val="left"/>
            </w:pPr>
          </w:p>
        </w:tc>
      </w:tr>
    </w:tbl>
    <w:p>
      <w:pPr>
        <w:pStyle w:val="BodyText"/>
      </w:pPr>
    </w:p>
    <w:bookmarkEnd w:id="244"/>
    <w:bookmarkEnd w:id="245"/>
    <w:bookmarkStart w:id="250" w:name="Xbd8ed9e9a2215cd9ac6e2de069ef19be9b89492"/>
    <w:p>
      <w:pPr>
        <w:pStyle w:val="Heading2"/>
      </w:pPr>
      <w:r>
        <w:rPr>
          <w:rStyle w:val="SectionNumber"/>
        </w:rPr>
        <w:t xml:space="preserve">7.7</w:t>
      </w:r>
      <w:r>
        <w:tab/>
      </w:r>
      <w:r>
        <w:t xml:space="preserve">Try it Question 4 - Is there an interaction between diet and age and the microbiome</w:t>
      </w:r>
    </w:p>
    <w:p>
      <w:pPr>
        <w:pStyle w:val="FirstParagraph"/>
      </w:pPr>
      <w:r>
        <w:t xml:space="preserve">Approach: Use alpha diversity measure and DESeq2 tools to answer this question. Using alpha diversity, determine if there is an interaction between diet and age. Then use DESeq2 to see if any ASVs are associated with changes in die-age interaction. Using Simpson alpha diversity measure (or specifically, Gini-Simpson) evaluate how microbial diversity changes with age and diet in general, or age and BD, HD and WO diet specifically. Remember, shifts in alpha diversity measure suggest a shift in microbial diversity, with high alpha diversity suggesting high microbial diversity. Then, use DESeq2 to evaluate if ageing changes ASVs associated with diet.</w:t>
      </w:r>
    </w:p>
    <w:p>
      <w:pPr>
        <w:pStyle w:val="BodyText"/>
      </w:pPr>
      <w:r>
        <w:t xml:space="preserve">Note, when plotting this data you may get a warning below. That is ok!</w:t>
      </w:r>
    </w:p>
    <w:p>
      <w:pPr>
        <w:pStyle w:val="SourceCode"/>
      </w:pPr>
      <w:r>
        <w:rPr>
          <w:rStyle w:val="NormalTok"/>
        </w:rPr>
        <w:t xml:space="preserve">Warning</w:t>
      </w:r>
      <w:r>
        <w:rPr>
          <w:rStyle w:val="SpecialCharTok"/>
        </w:rPr>
        <w:t xml:space="preserve">:</w:t>
      </w:r>
      <w:r>
        <w:rPr>
          <w:rStyle w:val="NormalTok"/>
        </w:rPr>
        <w:t xml:space="preserve"> The data you have provided does not have any singletons. This is highly suspicious. Results of richness </w:t>
      </w:r>
      <w:r>
        <w:rPr>
          <w:rStyle w:val="FunctionTok"/>
        </w:rPr>
        <w:t xml:space="preserve">estimates</w:t>
      </w:r>
      <w:r>
        <w:rPr>
          <w:rStyle w:val="NormalTok"/>
        </w:rPr>
        <w:t xml:space="preserve"> (</w:t>
      </w:r>
      <w:r>
        <w:rPr>
          <w:rStyle w:val="ControlFlowTok"/>
        </w:rPr>
        <w:t xml:space="preserve">for</w:t>
      </w:r>
      <w:r>
        <w:rPr>
          <w:rStyle w:val="NormalTok"/>
        </w:rPr>
        <w:t xml:space="preserve"> example) are probably unreliable, or wrong, </w:t>
      </w:r>
      <w:r>
        <w:rPr>
          <w:rStyle w:val="ControlFlowTok"/>
        </w:rPr>
        <w:t xml:space="preserve">if</w:t>
      </w:r>
      <w:r>
        <w:rPr>
          <w:rStyle w:val="NormalTok"/>
        </w:rPr>
        <w:t xml:space="preserve"> you have already trimmed low</w:t>
      </w:r>
      <w:r>
        <w:rPr>
          <w:rStyle w:val="SpecialCharTok"/>
        </w:rPr>
        <w:t xml:space="preserve">-</w:t>
      </w:r>
      <w:r>
        <w:rPr>
          <w:rStyle w:val="NormalTok"/>
        </w:rPr>
        <w:t xml:space="preserve">abundance taxa from the data.We recommended that you find the un</w:t>
      </w:r>
      <w:r>
        <w:rPr>
          <w:rStyle w:val="SpecialCharTok"/>
        </w:rPr>
        <w:t xml:space="preserve">-</w:t>
      </w:r>
      <w:r>
        <w:rPr>
          <w:rStyle w:val="NormalTok"/>
        </w:rPr>
        <w:t xml:space="preserve">trimmed data and retry.</w:t>
      </w:r>
    </w:p>
    <w:p>
      <w:pPr>
        <w:pStyle w:val="FirstParagraph"/>
      </w:pPr>
      <w:r>
        <w:t xml:space="preserve">Refer to the</w:t>
      </w:r>
      <w:r>
        <w:t xml:space="preserve"> </w:t>
      </w:r>
      <w:r>
        <w:t xml:space="preserve">“</w:t>
      </w:r>
      <w:r>
        <w:t xml:space="preserve">alpha diversity</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plot_richness() function.</w:t>
      </w:r>
    </w:p>
    <w:bookmarkStart w:id="246" w:name="Xecef1bd61b4608eb484bedd06a6aa9d1243b13f"/>
    <w:p>
      <w:pPr>
        <w:pStyle w:val="Heading3"/>
      </w:pPr>
      <w:r>
        <w:rPr>
          <w:rStyle w:val="SectionNumber"/>
        </w:rPr>
        <w:t xml:space="preserve">7.7.1</w:t>
      </w:r>
      <w:r>
        <w:tab/>
      </w:r>
      <w:r>
        <w:t xml:space="preserve">Step 1. Plot alpha diversity based on age for all dietary groups, and then for BD, HD and WO.</w:t>
      </w:r>
    </w:p>
    <w:p>
      <w:pPr>
        <w:pStyle w:val="FirstParagraph"/>
      </w:pPr>
      <w:r>
        <w:rPr>
          <w:bCs/>
          <w:b/>
        </w:rPr>
        <w:t xml:space="preserve">1A-1. Plot alpha diversity based on age for all dietary groups.</w:t>
      </w:r>
    </w:p>
    <w:p>
      <w:pPr>
        <w:numPr>
          <w:ilvl w:val="0"/>
          <w:numId w:val="1146"/>
        </w:numPr>
        <w:pStyle w:val="Compact"/>
      </w:pPr>
      <w:r>
        <w:t xml:space="preserve">Subset data - None</w:t>
      </w:r>
    </w:p>
    <w:p>
      <w:pPr>
        <w:numPr>
          <w:ilvl w:val="0"/>
          <w:numId w:val="1146"/>
        </w:numPr>
        <w:pStyle w:val="Compact"/>
      </w:pPr>
      <w:r>
        <w:t xml:space="preserve">age is on the x-axis</w:t>
      </w:r>
    </w:p>
    <w:p>
      <w:pPr>
        <w:numPr>
          <w:ilvl w:val="0"/>
          <w:numId w:val="1146"/>
        </w:numPr>
        <w:pStyle w:val="Compact"/>
      </w:pPr>
      <w:r>
        <w:t xml:space="preserve">Color is by subject</w:t>
      </w:r>
    </w:p>
    <w:p>
      <w:pPr>
        <w:numPr>
          <w:ilvl w:val="0"/>
          <w:numId w:val="1146"/>
        </w:numPr>
        <w:pStyle w:val="Compact"/>
      </w:pPr>
      <w:r>
        <w:t xml:space="preserve">Use the following code as a template:</w:t>
      </w:r>
    </w:p>
    <w:p>
      <w:pPr>
        <w:pStyle w:val="SourceCode"/>
      </w:pPr>
      <w:r>
        <w:rPr>
          <w:rStyle w:val="FunctionTok"/>
        </w:rPr>
        <w:t xml:space="preserve">plot_richness</w:t>
      </w:r>
      <w:r>
        <w:rPr>
          <w:rStyle w:val="NormalTok"/>
        </w:rPr>
        <w:t xml:space="preserve">(miso_counts, </w:t>
      </w:r>
      <w:r>
        <w:rPr>
          <w:rStyle w:val="AttributeTok"/>
        </w:rPr>
        <w:t xml:space="preserve">x=</w:t>
      </w:r>
      <w:r>
        <w:rPr>
          <w:rStyle w:val="StringTok"/>
        </w:rPr>
        <w:t xml:space="preserve">"age"</w:t>
      </w:r>
      <w:r>
        <w:rPr>
          <w:rStyle w:val="NormalTok"/>
        </w:rPr>
        <w:t xml:space="preserve">,</w:t>
      </w:r>
      <w:r>
        <w:br/>
      </w:r>
      <w:r>
        <w:rPr>
          <w:rStyle w:val="NormalTok"/>
        </w:rPr>
        <w:t xml:space="preserve">            </w:t>
      </w:r>
      <w:r>
        <w:rPr>
          <w:rStyle w:val="AttributeTok"/>
        </w:rPr>
        <w:t xml:space="preserve">color=</w:t>
      </w:r>
      <w:r>
        <w:rPr>
          <w:rStyle w:val="StringTok"/>
        </w:rPr>
        <w:t xml:space="preserve">"subject"</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"miso"</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1A-2. Based on the alpha plot above, is age a good determinant of microbial alpha diversity? Explain. Is there an age-based trend in alpha diversity?</w:t>
            </w:r>
          </w:p>
        </w:tc>
      </w:tr>
      <w:tr>
        <w:tc>
          <w:tcPr/>
          <w:p>
            <w:pPr>
              <w:pStyle w:val="Compact"/>
              <w:jc w:val="left"/>
            </w:pPr>
          </w:p>
        </w:tc>
      </w:tr>
    </w:tbl>
    <w:p>
      <w:pPr>
        <w:pStyle w:val="BodyText"/>
      </w:pPr>
    </w:p>
    <w:p>
      <w:pPr>
        <w:pStyle w:val="BodyText"/>
      </w:pPr>
      <w:r>
        <w:rPr>
          <w:bCs/>
          <w:b/>
        </w:rPr>
        <w:t xml:space="preserve">1B-1. Plot alpha diversity based on age for BD diet only.</w:t>
      </w:r>
    </w:p>
    <w:p>
      <w:pPr>
        <w:numPr>
          <w:ilvl w:val="0"/>
          <w:numId w:val="1147"/>
        </w:numPr>
        <w:pStyle w:val="Compact"/>
      </w:pPr>
      <w:r>
        <w:t xml:space="preserve">Subset data - timepointgroup BD</w:t>
      </w:r>
    </w:p>
    <w:p>
      <w:pPr>
        <w:numPr>
          <w:ilvl w:val="0"/>
          <w:numId w:val="1147"/>
        </w:numPr>
        <w:pStyle w:val="Compact"/>
      </w:pPr>
      <w:r>
        <w:t xml:space="preserve">age is on the x-axis</w:t>
      </w:r>
    </w:p>
    <w:p>
      <w:pPr>
        <w:numPr>
          <w:ilvl w:val="0"/>
          <w:numId w:val="1147"/>
        </w:numPr>
        <w:pStyle w:val="Compact"/>
      </w:pPr>
      <w:r>
        <w:t xml:space="preserve">Color is by subject</w:t>
      </w:r>
    </w:p>
    <w:p>
      <w:pPr>
        <w:numPr>
          <w:ilvl w:val="0"/>
          <w:numId w:val="1147"/>
        </w:numPr>
        <w:pStyle w:val="Compact"/>
      </w:pPr>
      <w:r>
        <w:t xml:space="preserve">Use the following code as a template:</w:t>
      </w:r>
    </w:p>
    <w:p>
      <w:pPr>
        <w:pStyle w:val="SourceCode"/>
      </w:pPr>
      <w:r>
        <w:rPr>
          <w:rStyle w:val="CommentTok"/>
        </w:rPr>
        <w:t xml:space="preserve"># Subset only BD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"BD"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1B-2. Based on the alpha plot above, how did subsetting for BD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1C-1. Plot alpha diversity based on age for HD diet only.</w:t>
      </w:r>
    </w:p>
    <w:p>
      <w:pPr>
        <w:numPr>
          <w:ilvl w:val="0"/>
          <w:numId w:val="1148"/>
        </w:numPr>
        <w:pStyle w:val="Compact"/>
      </w:pPr>
      <w:r>
        <w:t xml:space="preserve">Subset data - timepointgroup HD</w:t>
      </w:r>
    </w:p>
    <w:p>
      <w:pPr>
        <w:numPr>
          <w:ilvl w:val="0"/>
          <w:numId w:val="1148"/>
        </w:numPr>
        <w:pStyle w:val="Compact"/>
      </w:pPr>
      <w:r>
        <w:t xml:space="preserve">age is on the x-axis</w:t>
      </w:r>
    </w:p>
    <w:p>
      <w:pPr>
        <w:numPr>
          <w:ilvl w:val="0"/>
          <w:numId w:val="1148"/>
        </w:numPr>
        <w:pStyle w:val="Compact"/>
      </w:pPr>
      <w:r>
        <w:t xml:space="preserve">Color is by subject</w:t>
      </w:r>
    </w:p>
    <w:p>
      <w:pPr>
        <w:numPr>
          <w:ilvl w:val="0"/>
          <w:numId w:val="1148"/>
        </w:numPr>
        <w:pStyle w:val="Compact"/>
      </w:pPr>
      <w:r>
        <w:t xml:space="preserve">Use the following code as a template:</w:t>
      </w:r>
    </w:p>
    <w:p>
      <w:pPr>
        <w:pStyle w:val="SourceCode"/>
      </w:pPr>
      <w:r>
        <w:rPr>
          <w:rStyle w:val="CommentTok"/>
        </w:rPr>
        <w:t xml:space="preserve"># Subset only HD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"HD"</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1C-2. Based on the alpha plot above, how did subsetting for HD alter the age-based alpha diversity plot? Did the trend in age-based alpha diversity change? Explain if this makes sense.</w:t>
            </w:r>
          </w:p>
        </w:tc>
      </w:tr>
      <w:tr>
        <w:tc>
          <w:tcPr/>
          <w:p>
            <w:pPr>
              <w:pStyle w:val="Compact"/>
              <w:jc w:val="left"/>
            </w:pPr>
          </w:p>
        </w:tc>
      </w:tr>
    </w:tbl>
    <w:p>
      <w:pPr>
        <w:pStyle w:val="BodyText"/>
      </w:pPr>
    </w:p>
    <w:p>
      <w:pPr>
        <w:pStyle w:val="BodyText"/>
      </w:pPr>
      <w:r>
        <w:rPr>
          <w:bCs/>
          <w:b/>
        </w:rPr>
        <w:t xml:space="preserve">1D-1. Plot alpha diversity based on age for WO diet only.</w:t>
      </w:r>
    </w:p>
    <w:p>
      <w:pPr>
        <w:numPr>
          <w:ilvl w:val="0"/>
          <w:numId w:val="1149"/>
        </w:numPr>
        <w:pStyle w:val="Compact"/>
      </w:pPr>
      <w:r>
        <w:t xml:space="preserve">Subset data - timepointgroup WO</w:t>
      </w:r>
    </w:p>
    <w:p>
      <w:pPr>
        <w:numPr>
          <w:ilvl w:val="0"/>
          <w:numId w:val="1149"/>
        </w:numPr>
        <w:pStyle w:val="Compact"/>
      </w:pPr>
      <w:r>
        <w:t xml:space="preserve">age is on the x-axis</w:t>
      </w:r>
    </w:p>
    <w:p>
      <w:pPr>
        <w:numPr>
          <w:ilvl w:val="0"/>
          <w:numId w:val="1149"/>
        </w:numPr>
        <w:pStyle w:val="Compact"/>
      </w:pPr>
      <w:r>
        <w:t xml:space="preserve">Color is by subject</w:t>
      </w:r>
    </w:p>
    <w:p>
      <w:pPr>
        <w:numPr>
          <w:ilvl w:val="0"/>
          <w:numId w:val="1149"/>
        </w:numPr>
        <w:pStyle w:val="Compact"/>
      </w:pPr>
      <w:r>
        <w:t xml:space="preserve">Use the following code as a template:</w:t>
      </w:r>
    </w:p>
    <w:p>
      <w:pPr>
        <w:pStyle w:val="SourceCode"/>
      </w:pPr>
      <w:r>
        <w:rPr>
          <w:rStyle w:val="CommentTok"/>
        </w:rPr>
        <w:t xml:space="preserve"># Subset only WO samples</w:t>
      </w:r>
      <w:r>
        <w:br/>
      </w:r>
      <w:r>
        <w:rPr>
          <w:rStyle w:val="NormalTok"/>
        </w:rPr>
        <w:t xml:space="preserve">miso_counts_BD </w:t>
      </w:r>
      <w:r>
        <w:rPr>
          <w:rStyle w:val="OtherTok"/>
        </w:rPr>
        <w:t xml:space="preserve">=</w:t>
      </w:r>
      <w:r>
        <w:rPr>
          <w:rStyle w:val="NormalTok"/>
        </w:rPr>
        <w:t xml:space="preserve"> </w:t>
      </w:r>
      <w:r>
        <w:rPr>
          <w:rStyle w:val="FunctionTok"/>
        </w:rPr>
        <w:t xml:space="preserve">subset_samples</w:t>
      </w:r>
      <w:r>
        <w:rPr>
          <w:rStyle w:val="NormalTok"/>
        </w:rPr>
        <w:t xml:space="preserve">(miso_counts, timepointgroup </w:t>
      </w:r>
      <w:r>
        <w:rPr>
          <w:rStyle w:val="SpecialCharTok"/>
        </w:rPr>
        <w:t xml:space="preserve">==</w:t>
      </w:r>
      <w:r>
        <w:rPr>
          <w:rStyle w:val="NormalTok"/>
        </w:rPr>
        <w:t xml:space="preserve"> </w:t>
      </w:r>
      <w:r>
        <w:rPr>
          <w:rStyle w:val="StringTok"/>
        </w:rPr>
        <w:t xml:space="preserve">"WO"</w:t>
      </w:r>
      <w:r>
        <w:rPr>
          <w:rStyle w:val="NormalTok"/>
        </w:rPr>
        <w:t xml:space="preserve">)</w:t>
      </w:r>
      <w:r>
        <w:br/>
      </w:r>
      <w:r>
        <w:br/>
      </w:r>
      <w:r>
        <w:rPr>
          <w:rStyle w:val="FunctionTok"/>
        </w:rPr>
        <w:t xml:space="preserve">plot_richness</w:t>
      </w:r>
      <w:r>
        <w:rPr>
          <w:rStyle w:val="NormalTok"/>
        </w:rPr>
        <w:t xml:space="preserve">(miso_counts_BD, </w:t>
      </w:r>
      <w:r>
        <w:rPr>
          <w:rStyle w:val="AttributeTok"/>
        </w:rPr>
        <w:t xml:space="preserve">x=</w:t>
      </w:r>
      <w:r>
        <w:rPr>
          <w:rStyle w:val="StringTok"/>
        </w:rPr>
        <w:t xml:space="preserve">"fill in the blank"</w:t>
      </w:r>
      <w:r>
        <w:rPr>
          <w:rStyle w:val="NormalTok"/>
        </w:rPr>
        <w:t xml:space="preserve">,</w:t>
      </w:r>
      <w:r>
        <w:br/>
      </w:r>
      <w:r>
        <w:rPr>
          <w:rStyle w:val="NormalTok"/>
        </w:rPr>
        <w:t xml:space="preserve">            </w:t>
      </w:r>
      <w:r>
        <w:rPr>
          <w:rStyle w:val="AttributeTok"/>
        </w:rPr>
        <w:t xml:space="preserve">color=</w:t>
      </w:r>
      <w:r>
        <w:rPr>
          <w:rStyle w:val="StringTok"/>
        </w:rPr>
        <w:t xml:space="preserve">"fill in the blank"</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"fill in the blank"</w:t>
      </w:r>
      <w:r>
        <w:rPr>
          <w:rStyle w:val="NormalTok"/>
        </w:rPr>
        <w:t xml:space="preserve">,</w:t>
      </w:r>
      <w:r>
        <w:br/>
      </w:r>
      <w:r>
        <w:rPr>
          <w:rStyle w:val="NormalTok"/>
        </w:rPr>
        <w:t xml:space="preserve">            </w:t>
      </w:r>
      <w:r>
        <w:rPr>
          <w:rStyle w:val="AttributeTok"/>
        </w:rPr>
        <w:t xml:space="preserve">measures=</w:t>
      </w:r>
      <w:r>
        <w:rPr>
          <w:rStyle w:val="NormalTok"/>
        </w:rPr>
        <w:t xml:space="preserve"> </w:t>
      </w:r>
      <w:r>
        <w:rPr>
          <w:rStyle w:val="FunctionTok"/>
        </w:rPr>
        <w:t xml:space="preserve">c</w:t>
      </w:r>
      <w:r>
        <w:rPr>
          <w:rStyle w:val="NormalTok"/>
        </w:rPr>
        <w:t xml:space="preserve">(</w:t>
      </w:r>
      <w:r>
        <w:rPr>
          <w:rStyle w:val="StringTok"/>
        </w:rPr>
        <w:t xml:space="preserve">"Simpson"</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your plot below:</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1D-2. Based on the alpha plot above, how did subsetting for WO alter the age-based alpha diversity plot? Did the trend in age-based alpha diversity change? Explain if this makes sense. Remember, WO has twice as few datapoints as BD and HD since there is only 1 WO timepoint (versus 2 for BD and HD).</w:t>
            </w:r>
          </w:p>
        </w:tc>
      </w:tr>
      <w:tr>
        <w:tc>
          <w:tcPr/>
          <w:p>
            <w:pPr>
              <w:pStyle w:val="Compact"/>
              <w:jc w:val="left"/>
            </w:pPr>
          </w:p>
        </w:tc>
      </w:tr>
    </w:tbl>
    <w:p>
      <w:pPr>
        <w:pStyle w:val="BodyText"/>
      </w:pPr>
    </w:p>
    <w:bookmarkEnd w:id="246"/>
    <w:bookmarkStart w:id="247" w:name="X8f5760ef4b912b7b783fb89c78bec09f79f3599"/>
    <w:p>
      <w:pPr>
        <w:pStyle w:val="Heading3"/>
      </w:pPr>
      <w:r>
        <w:rPr>
          <w:rStyle w:val="SectionNumber"/>
        </w:rPr>
        <w:t xml:space="preserve">7.7.2</w:t>
      </w:r>
      <w:r>
        <w:tab/>
      </w:r>
      <w:r>
        <w:t xml:space="preserve">Step 2. Perform differential abundance analysis comparing HD to BD for the population in general, and then for older individuals specifically (because older individuals produced the biggest diet–age interaction based on alpha diversity).</w:t>
      </w:r>
    </w:p>
    <w:p>
      <w:pPr>
        <w:pStyle w:val="FirstParagraph"/>
      </w:pPr>
      <w:r>
        <w:rPr>
          <w:bCs/>
          <w:b/>
        </w:rPr>
        <w:t xml:space="preserve">Step 2A. Perform differential abundance analysis between HD and BD.</w:t>
      </w:r>
    </w:p>
    <w:p>
      <w:pPr>
        <w:numPr>
          <w:ilvl w:val="0"/>
          <w:numId w:val="1150"/>
        </w:numPr>
      </w:pPr>
      <w:r>
        <w:t xml:space="preserve">Design - is based on timepointgroup (no double quotes)</w:t>
      </w:r>
    </w:p>
    <w:p>
      <w:pPr>
        <w:numPr>
          <w:ilvl w:val="0"/>
          <w:numId w:val="1150"/>
        </w:numPr>
      </w:pPr>
      <w:r>
        <w:t xml:space="preserve">Groups to compare - HD and BD (baseline)</w:t>
      </w:r>
    </w:p>
    <w:p>
      <w:pPr>
        <w:numPr>
          <w:ilvl w:val="0"/>
          <w:numId w:val="1150"/>
        </w:numPr>
      </w:pPr>
      <w:r>
        <w:t xml:space="preserve">Plot Phylum on the X-axis and color by Class</w:t>
      </w:r>
    </w:p>
    <w:p>
      <w:pPr>
        <w:numPr>
          <w:ilvl w:val="0"/>
          <w:numId w:val="1150"/>
        </w:numPr>
      </w:pPr>
      <w:r>
        <w:t xml:space="preserve">Make sure your graph has a title that includes the comparison you are making (ex. WO vs HD)</w:t>
      </w:r>
    </w:p>
    <w:p>
      <w:pPr>
        <w:numPr>
          <w:ilvl w:val="0"/>
          <w:numId w:val="1150"/>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50"/>
        </w:numPr>
      </w:pPr>
      <w:r>
        <w:t xml:space="preserve">Use the code below as a template:</w:t>
      </w:r>
    </w:p>
    <w:p>
      <w:pPr>
        <w:pStyle w:val="FirstParagraph"/>
      </w:pPr>
      <w:r>
        <w:t xml:space="preserve">STEP 1: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(miso_counts,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2: Select the groups to compare, where the latter group is your baseline</w:t>
      </w:r>
    </w:p>
    <w:p>
      <w:pPr>
        <w:pStyle w:val="SourceCode"/>
      </w:pPr>
      <w:r>
        <w:rPr>
          <w:rStyle w:val="NormalTok"/>
        </w:rPr>
        <w:t xml:space="preserve">comparision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3: Run the differential abundance analysis</w:t>
      </w:r>
    </w:p>
    <w:p>
      <w:pPr>
        <w:pStyle w:val="SourceCode"/>
      </w:pPr>
      <w:r>
        <w:rPr>
          <w:rStyle w:val="NormalTok"/>
        </w:rPr>
        <w:t xml:space="preserve">Significant_DEseq2_ASVs</w:t>
      </w:r>
      <w:r>
        <w:rPr>
          <w:rStyle w:val="OtherTok"/>
        </w:rPr>
        <w:t xml:space="preserve">&lt;-</w:t>
      </w:r>
      <w:r>
        <w:rPr>
          <w:rStyle w:val="FunctionTok"/>
        </w:rPr>
        <w:t xml:space="preserve">Differential_Abundance</w:t>
      </w:r>
      <w:r>
        <w:rPr>
          <w:rStyle w:val="NormalTok"/>
        </w:rPr>
        <w:t xml:space="preserve">(DESeq2, comparision, </w:t>
      </w:r>
      <w:r>
        <w:rPr>
          <w:rStyle w:val="FloatTok"/>
        </w:rPr>
        <w:t xml:space="preserve">0.05</w:t>
      </w:r>
      <w:r>
        <w:rPr>
          <w:rStyle w:val="NormalTok"/>
        </w:rPr>
        <w:t xml:space="preserve">)</w:t>
      </w:r>
    </w:p>
    <w:p>
      <w:pPr>
        <w:pStyle w:val="FirstParagraph"/>
      </w:pPr>
      <w:r>
        <w:t xml:space="preserve">STEP 4: Retrieve the list of ASVs with a significant difference in abundance between the chosen groups</w:t>
      </w:r>
    </w:p>
    <w:p>
      <w:pPr>
        <w:pStyle w:val="SourceCode"/>
      </w:pPr>
      <w:r>
        <w:rPr>
          <w:rStyle w:val="NormalTok"/>
        </w:rPr>
        <w:t xml:space="preserve">Significant_DEseq2_ASVs</w:t>
      </w:r>
    </w:p>
    <w:p>
      <w:pPr>
        <w:pStyle w:val="FirstParagraph"/>
      </w:pPr>
      <w:r>
        <w:t xml:space="preserve">STEP 5: Plot the results with your chosen x axis and legend</w:t>
      </w:r>
    </w:p>
    <w:p>
      <w:pPr>
        <w:pStyle w:val="SourceCode"/>
      </w:pPr>
      <w:r>
        <w:rPr>
          <w:rStyle w:val="FunctionTok"/>
        </w:rPr>
        <w:t xml:space="preserve">ggplot</w:t>
      </w:r>
      <w:r>
        <w:rPr>
          <w:rStyle w:val="NormalTok"/>
        </w:rPr>
        <w:t xml:space="preserve">(significant_ASVs,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2A-3. Discuss the meaning for your differential abundance plot above. Did you observe few or many differences between BD and HD for the general population (all individuals)? What does that indicate in terms of diet-induced microbiome changes?</w:t>
            </w:r>
          </w:p>
        </w:tc>
      </w:tr>
      <w:tr>
        <w:tc>
          <w:tcPr/>
          <w:p>
            <w:pPr>
              <w:pStyle w:val="Compact"/>
              <w:jc w:val="left"/>
            </w:pPr>
          </w:p>
        </w:tc>
      </w:tr>
    </w:tbl>
    <w:p>
      <w:pPr>
        <w:pStyle w:val="BodyText"/>
      </w:pPr>
    </w:p>
    <w:bookmarkEnd w:id="247"/>
    <w:bookmarkStart w:id="248" w:name="X5d873d7c1194470314eb407ed41c6f5cfdeeff4"/>
    <w:p>
      <w:pPr>
        <w:pStyle w:val="Heading3"/>
      </w:pPr>
      <w:r>
        <w:rPr>
          <w:rStyle w:val="SectionNumber"/>
        </w:rPr>
        <w:t xml:space="preserve">7.7.3</w:t>
      </w:r>
      <w:r>
        <w:tab/>
      </w:r>
      <w:r>
        <w:t xml:space="preserve">Step 2B. Perform differential abundance analysis between HD and BD for older individual (&gt; 50 yo.)</w:t>
      </w:r>
    </w:p>
    <w:p>
      <w:pPr>
        <w:numPr>
          <w:ilvl w:val="0"/>
          <w:numId w:val="1151"/>
        </w:numPr>
      </w:pPr>
      <w:r>
        <w:t xml:space="preserve">Subset data - older age (&gt; 50 yo)</w:t>
      </w:r>
    </w:p>
    <w:p>
      <w:pPr>
        <w:numPr>
          <w:ilvl w:val="0"/>
          <w:numId w:val="1151"/>
        </w:numPr>
      </w:pPr>
      <w:r>
        <w:t xml:space="preserve">Design - is based on timepointgroup (no double quotes)</w:t>
      </w:r>
    </w:p>
    <w:p>
      <w:pPr>
        <w:numPr>
          <w:ilvl w:val="0"/>
          <w:numId w:val="1151"/>
        </w:numPr>
      </w:pPr>
      <w:r>
        <w:t xml:space="preserve">Groups to compare - HD and BD (baseline)</w:t>
      </w:r>
    </w:p>
    <w:p>
      <w:pPr>
        <w:numPr>
          <w:ilvl w:val="0"/>
          <w:numId w:val="1151"/>
        </w:numPr>
      </w:pPr>
      <w:r>
        <w:t xml:space="preserve">Plot Phylum on the X-axis and color by Class</w:t>
      </w:r>
    </w:p>
    <w:p>
      <w:pPr>
        <w:numPr>
          <w:ilvl w:val="0"/>
          <w:numId w:val="1151"/>
        </w:numPr>
      </w:pPr>
      <w:r>
        <w:t xml:space="preserve">Make sure your graph has a title that includes the comparison you are making (ex. WO vs HD)</w:t>
      </w:r>
    </w:p>
    <w:p>
      <w:pPr>
        <w:numPr>
          <w:ilvl w:val="0"/>
          <w:numId w:val="1151"/>
        </w:numPr>
      </w:pPr>
      <w:r>
        <w:t xml:space="preserve">Refer to the</w:t>
      </w:r>
      <w:r>
        <w:t xml:space="preserve"> </w:t>
      </w:r>
      <w:r>
        <w:t xml:space="preserve">“</w:t>
      </w:r>
      <w:r>
        <w:t xml:space="preserve">Differential abundance</w:t>
      </w:r>
      <w:r>
        <w:t xml:space="preserve">”</w:t>
      </w:r>
      <w:r>
        <w:t xml:space="preserve"> </w:t>
      </w:r>
      <w:r>
        <w:t xml:space="preserve">section of the</w:t>
      </w:r>
      <w:r>
        <w:t xml:space="preserve"> </w:t>
      </w:r>
      <w:r>
        <w:t xml:space="preserve">“</w:t>
      </w:r>
      <w:r>
        <w:t xml:space="preserve">Analyze 16S rRNA Data with phyloseq</w:t>
      </w:r>
      <w:r>
        <w:t xml:space="preserve">”</w:t>
      </w:r>
      <w:r>
        <w:t xml:space="preserve"> </w:t>
      </w:r>
      <w:r>
        <w:t xml:space="preserve">tutorial for help using the plot_ordination() function.</w:t>
      </w:r>
    </w:p>
    <w:p>
      <w:pPr>
        <w:numPr>
          <w:ilvl w:val="0"/>
          <w:numId w:val="1151"/>
        </w:numPr>
      </w:pPr>
      <w:r>
        <w:t xml:space="preserve">Use the code below as a template:</w:t>
      </w:r>
    </w:p>
    <w:p>
      <w:pPr>
        <w:pStyle w:val="FirstParagraph"/>
      </w:pPr>
      <w:r>
        <w:t xml:space="preserve">STEP 1: Subset miso_counts object to only include older individuals over age 50</w:t>
      </w:r>
    </w:p>
    <w:p>
      <w:pPr>
        <w:pStyle w:val="SourceCode"/>
      </w:pPr>
      <w:r>
        <w:rPr>
          <w:rStyle w:val="NormalTok"/>
        </w:rPr>
        <w:t xml:space="preserve">subset </w:t>
      </w:r>
      <w:r>
        <w:rPr>
          <w:rStyle w:val="OtherTok"/>
        </w:rPr>
        <w:t xml:space="preserve">=</w:t>
      </w:r>
      <w:r>
        <w:rPr>
          <w:rStyle w:val="NormalTok"/>
        </w:rPr>
        <w:t xml:space="preserve"> </w:t>
      </w:r>
      <w:r>
        <w:rPr>
          <w:rStyle w:val="FunctionTok"/>
        </w:rPr>
        <w:t xml:space="preserve">subset_samples</w:t>
      </w:r>
      <w:r>
        <w:rPr>
          <w:rStyle w:val="NormalTok"/>
        </w:rPr>
        <w:t xml:space="preserve">(miso_counts, age </w:t>
      </w:r>
      <w:r>
        <w:rPr>
          <w:rStyle w:val="SpecialCharTok"/>
        </w:rPr>
        <w:t xml:space="preserve">&gt;</w:t>
      </w:r>
      <w:r>
        <w:rPr>
          <w:rStyle w:val="DecValTok"/>
        </w:rPr>
        <w:t xml:space="preserve">50</w:t>
      </w:r>
      <w:r>
        <w:rPr>
          <w:rStyle w:val="NormalTok"/>
        </w:rPr>
        <w:t xml:space="preserve">)</w:t>
      </w:r>
    </w:p>
    <w:p>
      <w:pPr>
        <w:pStyle w:val="FirstParagraph"/>
      </w:pPr>
      <w:r>
        <w:t xml:space="preserve">STEP 2: Convert the phyloseq object to a DESeq2 object and specify experimental design</w:t>
      </w:r>
    </w:p>
    <w:p>
      <w:pPr>
        <w:pStyle w:val="SourceCode"/>
      </w:pPr>
      <w:r>
        <w:rPr>
          <w:rStyle w:val="NormalTok"/>
        </w:rPr>
        <w:t xml:space="preserve">DESeq2 </w:t>
      </w:r>
      <w:r>
        <w:rPr>
          <w:rStyle w:val="OtherTok"/>
        </w:rPr>
        <w:t xml:space="preserve">&lt;-</w:t>
      </w:r>
      <w:r>
        <w:rPr>
          <w:rStyle w:val="NormalTok"/>
        </w:rPr>
        <w:t xml:space="preserve"> </w:t>
      </w:r>
      <w:r>
        <w:rPr>
          <w:rStyle w:val="FunctionTok"/>
        </w:rPr>
        <w:t xml:space="preserve">phyloseq_to_deseq2</w:t>
      </w:r>
      <w:r>
        <w:rPr>
          <w:rStyle w:val="NormalTok"/>
        </w:rPr>
        <w:t xml:space="preserve">(subset, </w:t>
      </w:r>
      <w:r>
        <w:rPr>
          <w:rStyle w:val="AttributeTok"/>
        </w:rPr>
        <w:t xml:space="preserve">design =</w:t>
      </w:r>
      <w:r>
        <w:rPr>
          <w:rStyle w:val="NormalTok"/>
        </w:rPr>
        <w:t xml:space="preserve"> </w:t>
      </w:r>
      <w:r>
        <w:rPr>
          <w:rStyle w:val="SpecialCharTok"/>
        </w:rPr>
        <w:t xml:space="preserve">~</w:t>
      </w:r>
      <w:r>
        <w:rPr>
          <w:rStyle w:val="NormalTok"/>
        </w:rPr>
        <w:t xml:space="preserve"> timepointgroup)</w:t>
      </w:r>
    </w:p>
    <w:p>
      <w:pPr>
        <w:pStyle w:val="FirstParagraph"/>
      </w:pPr>
      <w:r>
        <w:t xml:space="preserve">STEP 3: Select the groups to compare, where the latter group is your baseline</w:t>
      </w:r>
    </w:p>
    <w:p>
      <w:pPr>
        <w:pStyle w:val="SourceCode"/>
      </w:pPr>
      <w:r>
        <w:rPr>
          <w:rStyle w:val="NormalTok"/>
        </w:rPr>
        <w:t xml:space="preserve">comparision_subset </w:t>
      </w:r>
      <w:r>
        <w:rPr>
          <w:rStyle w:val="OtherTok"/>
        </w:rPr>
        <w:t xml:space="preserve">&lt;-</w:t>
      </w:r>
      <w:r>
        <w:rPr>
          <w:rStyle w:val="FunctionTok"/>
        </w:rPr>
        <w:t xml:space="preserve">c</w:t>
      </w:r>
      <w:r>
        <w:rPr>
          <w:rStyle w:val="NormalTok"/>
        </w:rPr>
        <w:t xml:space="preserve">(</w:t>
      </w:r>
      <w:r>
        <w:rPr>
          <w:rStyle w:val="StringTok"/>
        </w:rPr>
        <w:t xml:space="preserve">"timepointgroup"</w:t>
      </w:r>
      <w:r>
        <w:rPr>
          <w:rStyle w:val="NormalTok"/>
        </w:rPr>
        <w:t xml:space="preserve">, </w:t>
      </w:r>
      <w:r>
        <w:rPr>
          <w:rStyle w:val="StringTok"/>
        </w:rPr>
        <w:t xml:space="preserve">"HD"</w:t>
      </w:r>
      <w:r>
        <w:rPr>
          <w:rStyle w:val="NormalTok"/>
        </w:rPr>
        <w:t xml:space="preserve">, </w:t>
      </w:r>
      <w:r>
        <w:rPr>
          <w:rStyle w:val="StringTok"/>
        </w:rPr>
        <w:t xml:space="preserve">"fill in the blank (baseline)"</w:t>
      </w:r>
      <w:r>
        <w:rPr>
          <w:rStyle w:val="NormalTok"/>
        </w:rPr>
        <w:t xml:space="preserve">)</w:t>
      </w:r>
    </w:p>
    <w:p>
      <w:pPr>
        <w:pStyle w:val="FirstParagraph"/>
      </w:pPr>
      <w:r>
        <w:t xml:space="preserve">STEP 4: Run the differential abundance analysis</w:t>
      </w:r>
    </w:p>
    <w:p>
      <w:pPr>
        <w:pStyle w:val="SourceCode"/>
      </w:pPr>
      <w:r>
        <w:rPr>
          <w:rStyle w:val="NormalTok"/>
        </w:rPr>
        <w:t xml:space="preserve">Significant_ASVs_subset </w:t>
      </w:r>
      <w:r>
        <w:rPr>
          <w:rStyle w:val="OtherTok"/>
        </w:rPr>
        <w:t xml:space="preserve">&lt;-</w:t>
      </w:r>
      <w:r>
        <w:rPr>
          <w:rStyle w:val="NormalTok"/>
        </w:rPr>
        <w:t xml:space="preserve"> </w:t>
      </w:r>
      <w:r>
        <w:rPr>
          <w:rStyle w:val="FunctionTok"/>
        </w:rPr>
        <w:t xml:space="preserve">Differential_Abundance</w:t>
      </w:r>
      <w:r>
        <w:rPr>
          <w:rStyle w:val="NormalTok"/>
        </w:rPr>
        <w:t xml:space="preserve">(DESeq2, comparision_subset, </w:t>
      </w:r>
      <w:r>
        <w:rPr>
          <w:rStyle w:val="FloatTok"/>
        </w:rPr>
        <w:t xml:space="preserve">0.05</w:t>
      </w:r>
      <w:r>
        <w:rPr>
          <w:rStyle w:val="NormalTok"/>
        </w:rPr>
        <w:t xml:space="preserve">)</w:t>
      </w:r>
    </w:p>
    <w:p>
      <w:pPr>
        <w:pStyle w:val="FirstParagraph"/>
      </w:pPr>
      <w:r>
        <w:t xml:space="preserve">STEP 5: Retrieve the list of ASVs with a significant difference in abundance between the chosen groups</w:t>
      </w:r>
    </w:p>
    <w:p>
      <w:pPr>
        <w:pStyle w:val="SourceCode"/>
      </w:pPr>
      <w:r>
        <w:rPr>
          <w:rStyle w:val="NormalTok"/>
        </w:rPr>
        <w:t xml:space="preserve">Significant_ASVs_subset</w:t>
      </w:r>
    </w:p>
    <w:p>
      <w:pPr>
        <w:pStyle w:val="FirstParagraph"/>
      </w:pPr>
      <w:r>
        <w:t xml:space="preserve">STEP 6: Plot the results with your chosen x axis and legend</w:t>
      </w:r>
    </w:p>
    <w:p>
      <w:pPr>
        <w:pStyle w:val="SourceCode"/>
      </w:pPr>
      <w:r>
        <w:rPr>
          <w:rStyle w:val="FunctionTok"/>
        </w:rPr>
        <w:t xml:space="preserve">ggplot</w:t>
      </w:r>
      <w:r>
        <w:rPr>
          <w:rStyle w:val="NormalTok"/>
        </w:rPr>
        <w:t xml:space="preserve">(significant_ASVs_subset, </w:t>
      </w:r>
      <w:r>
        <w:rPr>
          <w:rStyle w:val="FunctionTok"/>
        </w:rPr>
        <w:t xml:space="preserve">aes</w:t>
      </w:r>
      <w:r>
        <w:rPr>
          <w:rStyle w:val="NormalTok"/>
        </w:rPr>
        <w:t xml:space="preserve">(</w:t>
      </w:r>
      <w:r>
        <w:rPr>
          <w:rStyle w:val="AttributeTok"/>
        </w:rPr>
        <w:t xml:space="preserve">x =</w:t>
      </w:r>
      <w:r>
        <w:rPr>
          <w:rStyle w:val="NormalTok"/>
        </w:rPr>
        <w:t xml:space="preserve"> Phylum, </w:t>
      </w:r>
      <w:r>
        <w:rPr>
          <w:rStyle w:val="AttributeTok"/>
        </w:rPr>
        <w:t xml:space="preserve">y=</w:t>
      </w:r>
      <w:r>
        <w:rPr>
          <w:rStyle w:val="NormalTok"/>
        </w:rPr>
        <w:t xml:space="preserve">log2FoldChange, </w:t>
      </w:r>
      <w:r>
        <w:rPr>
          <w:rStyle w:val="AttributeTok"/>
        </w:rPr>
        <w:t xml:space="preserve">color=</w:t>
      </w:r>
      <w:r>
        <w:rPr>
          <w:rStyle w:val="NormalTok"/>
        </w:rPr>
        <w:t xml:space="preserve"> fill </w:t>
      </w:r>
      <w:r>
        <w:rPr>
          <w:rStyle w:val="ControlFlowTok"/>
        </w:rPr>
        <w:t xml:space="preserve">in</w:t>
      </w:r>
      <w:r>
        <w:rPr>
          <w:rStyle w:val="NormalTok"/>
        </w:rPr>
        <w:t xml:space="preserve"> the blank))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SpecialCharTok"/>
        </w:rPr>
        <w:t xml:space="preserve">-</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vjust=</w:t>
      </w:r>
      <w:r>
        <w:rPr>
          <w:rStyle w:val="FloatTok"/>
        </w:rPr>
        <w:t xml:space="preserve">0.5</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"fill in the blank"</w:t>
      </w:r>
      <w:r>
        <w:rPr>
          <w:rStyle w:val="NormalTok"/>
        </w:rPr>
        <w:t xml:space="preserv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2B-1. Insert the resulting plot below:</w:t>
            </w:r>
          </w:p>
        </w:tc>
      </w:tr>
      <w:tr>
        <w:tc>
          <w:tcPr/>
          <w:p>
            <w:pPr>
              <w:pStyle w:val="Compact"/>
              <w:jc w:val="lef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2B-2. How many differentially abundant ASVs were identified?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2B-3. Discuss the meaning for your differential abundance plot above. Did you observe any differences between BD and HD for the older individuals? How does that compare to general population? Note, by comparison, when subsetting the younger population (&lt;= 50yo), the number of differential ASVs produced is 3. What does that indicate in terms of diet-age interaction?</w:t>
            </w:r>
          </w:p>
        </w:tc>
      </w:tr>
      <w:tr>
        <w:tc>
          <w:tcPr/>
          <w:p>
            <w:pPr>
              <w:pStyle w:val="Compact"/>
              <w:jc w:val="left"/>
            </w:pPr>
          </w:p>
        </w:tc>
      </w:tr>
    </w:tbl>
    <w:p>
      <w:pPr>
        <w:pStyle w:val="BodyText"/>
      </w:pPr>
    </w:p>
    <w:bookmarkEnd w:id="248"/>
    <w:bookmarkStart w:id="249" w:name="X8b1c9c7c5de947bb8baba551c1359f1ca1f8365"/>
    <w:p>
      <w:pPr>
        <w:pStyle w:val="Heading3"/>
      </w:pPr>
      <w:r>
        <w:rPr>
          <w:rStyle w:val="SectionNumber"/>
        </w:rPr>
        <w:t xml:space="preserve">7.7.4</w:t>
      </w:r>
      <w:r>
        <w:tab/>
      </w:r>
      <w:r>
        <w:t xml:space="preserve">Step 3. Select data for poster and include the code used to generate the figure.</w:t>
      </w:r>
    </w:p>
    <w:p>
      <w:pPr>
        <w:numPr>
          <w:ilvl w:val="0"/>
          <w:numId w:val="1152"/>
        </w:numPr>
        <w:pStyle w:val="Compact"/>
      </w:pPr>
      <w:r>
        <w:t xml:space="preserve">Prepare your final figure and associated code for the poster.</w:t>
      </w:r>
    </w:p>
    <w:p>
      <w:pPr>
        <w:numPr>
          <w:ilvl w:val="0"/>
          <w:numId w:val="1152"/>
        </w:numPr>
        <w:pStyle w:val="Compact"/>
      </w:pPr>
      <w:r>
        <w:t xml:space="preserve">Figure suggestion: A 4-part figure with top panel: Figure A showing alpha diversity in general (includes all 3 dietary interventions), and Figure B showing alpha diversity for HD diet only. The bottom panel: Figure C showing differentially abundant ASVs between HD and BD for all ages, and Figure D showing differentially abundant ASVs for older individuals.</w:t>
      </w:r>
    </w:p>
    <w:p>
      <w:pPr>
        <w:numPr>
          <w:ilvl w:val="0"/>
          <w:numId w:val="1152"/>
        </w:numPr>
        <w:pStyle w:val="Compact"/>
      </w:pPr>
      <w:r>
        <w:t xml:space="preserve">Ensure you have a figure legend that explains your final figure.</w:t>
      </w:r>
    </w:p>
    <w:p>
      <w:pPr>
        <w:numPr>
          <w:ilvl w:val="0"/>
          <w:numId w:val="1152"/>
        </w:numPr>
        <w:pStyle w:val="Compact"/>
      </w:pPr>
      <w:r>
        <w:t xml:space="preserve">Ensure you submit the code you used to generate your final figure.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Paste final poster figure and code below:</w:t>
            </w:r>
          </w:p>
        </w:tc>
      </w:tr>
      <w:tr>
        <w:tc>
          <w:tcPr/>
          <w:p>
            <w:pPr>
              <w:pStyle w:val="Compact"/>
              <w:jc w:val="left"/>
            </w:pPr>
          </w:p>
        </w:tc>
      </w:tr>
    </w:tbl>
    <w:p>
      <w:pPr>
        <w:pStyle w:val="BodyText"/>
      </w:pPr>
    </w:p>
    <w:bookmarkEnd w:id="249"/>
    <w:bookmarkEnd w:id="250"/>
    <w:bookmarkEnd w:id="251"/>
    <w:bookmarkStart w:id="259" w:name="about-the-authors"/>
    <w:p>
      <w:pPr>
        <w:pStyle w:val="Heading1"/>
      </w:pPr>
      <w:r>
        <w:t xml:space="preserve">About the Authors</w:t>
      </w:r>
    </w:p>
    <w:p>
      <w:pPr>
        <w:pStyle w:val="FirstParagraph"/>
      </w:pPr>
      <w:r>
        <w:t xml:space="preserve">These credits are based on our</w:t>
      </w:r>
      <w:r>
        <w:t xml:space="preserve"> </w:t>
      </w:r>
      <w:hyperlink r:id="rId2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254">
              <w:r>
                <w:rPr>
                  <w:rStyle w:val="Hyperlink"/>
                </w:rPr>
                <w:t xml:space="preserve">Candace Savonen</w:t>
              </w:r>
            </w:hyperlink>
            <w:r>
              <w:t xml:space="preserve">,</w:t>
            </w:r>
            <w:r>
              <w:t xml:space="preserve"> </w:t>
            </w:r>
            <w:hyperlink r:id="rId255">
              <w:r>
                <w:rPr>
                  <w:rStyle w:val="Hyperlink"/>
                </w:rPr>
                <w:t xml:space="preserve">Carrie Wright</w:t>
              </w:r>
            </w:hyperlink>
            <w:r>
              <w:t xml:space="preserve">,</w:t>
            </w:r>
            <w:r>
              <w:t xml:space="preserve"> </w:t>
            </w:r>
            <w:hyperlink r:id="rId2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2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5">
              <w:r>
                <w:rPr>
                  <w:rStyle w:val="Hyperlink"/>
                </w:rPr>
                <w:t xml:space="preserve">Carrie Wright</w:t>
              </w:r>
            </w:hyperlink>
            <w:r>
              <w:t xml:space="preserve">,</w:t>
            </w:r>
            <w:r>
              <w:t xml:space="preserve"> </w:t>
            </w:r>
            <w:hyperlink r:id="rId256">
              <w:r>
                <w:rPr>
                  <w:rStyle w:val="Hyperlink"/>
                </w:rPr>
                <w:t xml:space="preserve">Ava Hoffman</w:t>
              </w:r>
            </w:hyperlink>
            <w:r>
              <w:t xml:space="preserve">,</w:t>
            </w:r>
            <w:r>
              <w:t xml:space="preserve"> </w:t>
            </w:r>
            <w:hyperlink r:id="rId254">
              <w:r>
                <w:rPr>
                  <w:rStyle w:val="Hyperlink"/>
                </w:rPr>
                <w:t xml:space="preserve">Candace Savonen</w:t>
              </w:r>
            </w:hyperlink>
          </w:p>
        </w:tc>
      </w:tr>
      <w:tr>
        <w:tc>
          <w:tcPr/>
          <w:p>
            <w:pPr>
              <w:pStyle w:val="Compact"/>
              <w:jc w:val="left"/>
            </w:pPr>
            <w:r>
              <w:t xml:space="preserve">Package Developers (</w:t>
            </w:r>
            <w:hyperlink r:id="rId257">
              <w:r>
                <w:rPr>
                  <w:rStyle w:val="Hyperlink"/>
                </w:rPr>
                <w:t xml:space="preserve">ottrpal</w:t>
              </w:r>
            </w:hyperlink>
            <w:r>
              <w:t xml:space="preserve">)</w:t>
            </w:r>
            <w:r>
              <w:t xml:space="preserve"> </w:t>
            </w:r>
            <w:hyperlink r:id="rId254">
              <w:r>
                <w:rPr>
                  <w:rStyle w:val="Hyperlink"/>
                </w:rPr>
                <w:t xml:space="preserve">Candace Savonen</w:t>
              </w:r>
            </w:hyperlink>
            <w:r>
              <w:t xml:space="preserve">,</w:t>
            </w:r>
            <w:r>
              <w:t xml:space="preserve"> </w:t>
            </w:r>
            <w:hyperlink r:id="rId258">
              <w:r>
                <w:rPr>
                  <w:rStyle w:val="Hyperlink"/>
                </w:rPr>
                <w:t xml:space="preserve">John Muschelli</w:t>
              </w:r>
            </w:hyperlink>
            <w:r>
              <w:t xml:space="preserve">,</w:t>
            </w:r>
            <w:r>
              <w:t xml:space="preserve"> </w:t>
            </w:r>
            <w:hyperlink r:id="rId2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2025-07-17</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9"/>
    <w:bookmarkStart w:id="260" w:name="references"/>
    <w:p>
      <w:pPr>
        <w:pStyle w:val="Heading1"/>
      </w:pPr>
      <w:r>
        <w:t xml:space="preserve">References</w:t>
      </w:r>
    </w:p>
    <w:bookmarkEnd w:id="2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1"/>
  </w:num>
  <w:num w:numId="1075">
    <w:abstractNumId w:val="991"/>
  </w:num>
  <w:num w:numId="1076">
    <w:abstractNumId w:val="991"/>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0">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0" Target="media/rId210.png" /><Relationship Type="http://schemas.openxmlformats.org/officeDocument/2006/relationships/image" Id="rId170" Target="media/rId170.png" /><Relationship Type="http://schemas.openxmlformats.org/officeDocument/2006/relationships/image" Id="rId139" Target="media/rId139.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80" Target="media/rId80.png" /><Relationship Type="http://schemas.openxmlformats.org/officeDocument/2006/relationships/image" Id="rId94" Target="media/rId94.png" /><Relationship Type="http://schemas.openxmlformats.org/officeDocument/2006/relationships/hyperlink" Id="rId38" Target="---" TargetMode="External" /><Relationship Type="http://schemas.openxmlformats.org/officeDocument/2006/relationships/hyperlink" Id="rId42" Target="https://anvil.terra.bio/" TargetMode="External" /><Relationship Type="http://schemas.openxmlformats.org/officeDocument/2006/relationships/hyperlink" Id="rId255" Target="https://carriewright11.github.io/" TargetMode="External" /><Relationship Type="http://schemas.openxmlformats.org/officeDocument/2006/relationships/hyperlink" Id="rId163" Target="https://docs.google.com/document/d/12pKSIwcVXisaf6dniyoG_AGdCQh1dG1dDwZ5s1cz92c/edit?usp=sharing" TargetMode="External" /><Relationship Type="http://schemas.openxmlformats.org/officeDocument/2006/relationships/hyperlink" Id="rId110" Target="https://docs.google.com/document/d/1Mg9DGVk0EsSfYwl8VsRHb-_QdtZqiBmhWvbhUWkQERc/edit?usp=sharing" TargetMode="External" /><Relationship Type="http://schemas.openxmlformats.org/officeDocument/2006/relationships/hyperlink" Id="rId224" Target="https://docs.google.com/document/d/1OWgUwaT2MlSd-qq7wSlB3BnM-cq_GTxEyy38HV5ajoU/edit?usp=sharing" TargetMode="External" /><Relationship Type="http://schemas.openxmlformats.org/officeDocument/2006/relationships/hyperlink" Id="rId89" Target="https://docs.google.com/document/d/1Uzw-dPwx4kxrcDKLTM7hjxN09oFkTQWg/edit?usp=sharing&amp;ouid=117014088395158370475&amp;rtpof=true&amp;sd=true" TargetMode="External" /><Relationship Type="http://schemas.openxmlformats.org/officeDocument/2006/relationships/hyperlink" Id="rId184" Target="https://docs.google.com/document/d/1d1co_BVzZ1P5RuUYnPWrkB-Lvo7f4lYvahXhoCOjvIg/edit?usp=sharing" TargetMode="External" /><Relationship Type="http://schemas.openxmlformats.org/officeDocument/2006/relationships/hyperlink" Id="rId185" Target="https://docs.google.com/document/d/1pYTq_U-e3Fath5yB6N9b5ic-cMynUtclkEgdojkAXwE/edit?usp=sharing" TargetMode="External" /><Relationship Type="http://schemas.openxmlformats.org/officeDocument/2006/relationships/hyperlink" Id="rId142" Target="https://docs.google.com/presentation/d/14E26SbzaLEDJxAaZ1qjaZcJehAI8q2GHuTokNPKKDTc/edit?usp=sharing" TargetMode="External" /><Relationship Type="http://schemas.openxmlformats.org/officeDocument/2006/relationships/hyperlink" Id="rId173" Target="https://docs.google.com/presentation/d/15tv_IS177gF_px3JYKcQZmOsJg2d-GkjVXi7a-Skgs8/edit?usp=sharing" TargetMode="External" /><Relationship Type="http://schemas.openxmlformats.org/officeDocument/2006/relationships/hyperlink" Id="rId70" Target="https://docs.google.com/presentation/d/1Oaq8RzhaDANxkNh-tTKwme7e095pGgoiq5iZHbt7PLg" TargetMode="External" /><Relationship Type="http://schemas.openxmlformats.org/officeDocument/2006/relationships/hyperlink" Id="rId213" Target="https://docs.google.com/presentation/d/1QZbSBPOGkBeizh1L45C6EaktOxl6pqrTDGNIncHQ5lY/edit?usp=sharing"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57" Target="https://docs.google.com/presentation/d/1kxbnBLoRsdPW4ZkjwNsAHS1XFPuJpQZ8I1aVqyZISW0" TargetMode="External" /><Relationship Type="http://schemas.openxmlformats.org/officeDocument/2006/relationships/hyperlink" Id="rId97" Target="https://docs.google.com/presentation/d/1mibD1XUpgRZcDPbYj5XOMUASuScuJoUBVV7RkT5nnSc/edit?usp=sharing" TargetMode="External" /><Relationship Type="http://schemas.openxmlformats.org/officeDocument/2006/relationships/hyperlink" Id="rId158" Target="https://docs.google.com/spreadsheets/d/1TFXtaantSgDnMwnUvcAllQErWcOXOUwNCwRb_vyk2f0/edit?usp=sharing" TargetMode="External" /><Relationship Type="http://schemas.openxmlformats.org/officeDocument/2006/relationships/hyperlink" Id="rId146" Target="https://docs.google.com/spreadsheets/d/1hpSyjO0H8sXq6C1xM_oGMyv9vCY2qTvfYHVdqO9ZVhk/edit?usp=sharing" TargetMode="External" /><Relationship Type="http://schemas.openxmlformats.org/officeDocument/2006/relationships/hyperlink" Id="rId157" Target="https://docs.google.com/spreadsheets/d/1mDk_enQzQVQVplbLzPMYJBF5whsvZ62gOPDwkqIpJvM/edit?usp=sharing" TargetMode="External" /><Relationship Type="http://schemas.openxmlformats.org/officeDocument/2006/relationships/hyperlink" Id="rId149"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37" Target="https://drive.google.com/file/d/1Fk8Ha-cpAuaXccnsppGXNbRPbIdS5hFR/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7" Target="https://github.com/jhudsl/ottrpal" TargetMode="External" /><Relationship Type="http://schemas.openxmlformats.org/officeDocument/2006/relationships/hyperlink" Id="rId74" Target="https://help.c-moor.org/c/help/" TargetMode="External" /><Relationship Type="http://schemas.openxmlformats.org/officeDocument/2006/relationships/hyperlink" Id="rId258" Target="https://johnmuschelli.com/" TargetMode="External" /><Relationship Type="http://schemas.openxmlformats.org/officeDocument/2006/relationships/hyperlink" Id="rId56"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9" Target="https://link.c-moor.org/video-sciserver-create-learnr-container" TargetMode="External" /><Relationship Type="http://schemas.openxmlformats.org/officeDocument/2006/relationships/hyperlink" Id="rId85"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56" Target="https://www.avahoffman.com/" TargetMode="External" /><Relationship Type="http://schemas.openxmlformats.org/officeDocument/2006/relationships/hyperlink" Id="rId2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58" Target="https://www.sciserver.org/" TargetMode="External" /><Relationship Type="http://schemas.openxmlformats.org/officeDocument/2006/relationships/hyperlink" Id="rId25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42" Target="https://anvil.terra.bio/" TargetMode="External" /><Relationship Type="http://schemas.openxmlformats.org/officeDocument/2006/relationships/hyperlink" Id="rId255" Target="https://carriewright11.github.io/" TargetMode="External" /><Relationship Type="http://schemas.openxmlformats.org/officeDocument/2006/relationships/hyperlink" Id="rId163" Target="https://docs.google.com/document/d/12pKSIwcVXisaf6dniyoG_AGdCQh1dG1dDwZ5s1cz92c/edit?usp=sharing" TargetMode="External" /><Relationship Type="http://schemas.openxmlformats.org/officeDocument/2006/relationships/hyperlink" Id="rId110" Target="https://docs.google.com/document/d/1Mg9DGVk0EsSfYwl8VsRHb-_QdtZqiBmhWvbhUWkQERc/edit?usp=sharing" TargetMode="External" /><Relationship Type="http://schemas.openxmlformats.org/officeDocument/2006/relationships/hyperlink" Id="rId224" Target="https://docs.google.com/document/d/1OWgUwaT2MlSd-qq7wSlB3BnM-cq_GTxEyy38HV5ajoU/edit?usp=sharing" TargetMode="External" /><Relationship Type="http://schemas.openxmlformats.org/officeDocument/2006/relationships/hyperlink" Id="rId89" Target="https://docs.google.com/document/d/1Uzw-dPwx4kxrcDKLTM7hjxN09oFkTQWg/edit?usp=sharing&amp;ouid=117014088395158370475&amp;rtpof=true&amp;sd=true" TargetMode="External" /><Relationship Type="http://schemas.openxmlformats.org/officeDocument/2006/relationships/hyperlink" Id="rId184" Target="https://docs.google.com/document/d/1d1co_BVzZ1P5RuUYnPWrkB-Lvo7f4lYvahXhoCOjvIg/edit?usp=sharing" TargetMode="External" /><Relationship Type="http://schemas.openxmlformats.org/officeDocument/2006/relationships/hyperlink" Id="rId185" Target="https://docs.google.com/document/d/1pYTq_U-e3Fath5yB6N9b5ic-cMynUtclkEgdojkAXwE/edit?usp=sharing" TargetMode="External" /><Relationship Type="http://schemas.openxmlformats.org/officeDocument/2006/relationships/hyperlink" Id="rId142" Target="https://docs.google.com/presentation/d/14E26SbzaLEDJxAaZ1qjaZcJehAI8q2GHuTokNPKKDTc/edit?usp=sharing" TargetMode="External" /><Relationship Type="http://schemas.openxmlformats.org/officeDocument/2006/relationships/hyperlink" Id="rId173" Target="https://docs.google.com/presentation/d/15tv_IS177gF_px3JYKcQZmOsJg2d-GkjVXi7a-Skgs8/edit?usp=sharing" TargetMode="External" /><Relationship Type="http://schemas.openxmlformats.org/officeDocument/2006/relationships/hyperlink" Id="rId70" Target="https://docs.google.com/presentation/d/1Oaq8RzhaDANxkNh-tTKwme7e095pGgoiq5iZHbt7PLg" TargetMode="External" /><Relationship Type="http://schemas.openxmlformats.org/officeDocument/2006/relationships/hyperlink" Id="rId213" Target="https://docs.google.com/presentation/d/1QZbSBPOGkBeizh1L45C6EaktOxl6pqrTDGNIncHQ5lY/edit?usp=sharing" TargetMode="External" /><Relationship Type="http://schemas.openxmlformats.org/officeDocument/2006/relationships/hyperlink" Id="rId63" Target="https://docs.google.com/presentation/d/1codot9UeUO7l0EDcEre7dJgyXurD_xyxpw6IJL_aEjM" TargetMode="External" /><Relationship Type="http://schemas.openxmlformats.org/officeDocument/2006/relationships/hyperlink" Id="rId57" Target="https://docs.google.com/presentation/d/1kxbnBLoRsdPW4ZkjwNsAHS1XFPuJpQZ8I1aVqyZISW0" TargetMode="External" /><Relationship Type="http://schemas.openxmlformats.org/officeDocument/2006/relationships/hyperlink" Id="rId97" Target="https://docs.google.com/presentation/d/1mibD1XUpgRZcDPbYj5XOMUASuScuJoUBVV7RkT5nnSc/edit?usp=sharing" TargetMode="External" /><Relationship Type="http://schemas.openxmlformats.org/officeDocument/2006/relationships/hyperlink" Id="rId158" Target="https://docs.google.com/spreadsheets/d/1TFXtaantSgDnMwnUvcAllQErWcOXOUwNCwRb_vyk2f0/edit?usp=sharing" TargetMode="External" /><Relationship Type="http://schemas.openxmlformats.org/officeDocument/2006/relationships/hyperlink" Id="rId146" Target="https://docs.google.com/spreadsheets/d/1hpSyjO0H8sXq6C1xM_oGMyv9vCY2qTvfYHVdqO9ZVhk/edit?usp=sharing" TargetMode="External" /><Relationship Type="http://schemas.openxmlformats.org/officeDocument/2006/relationships/hyperlink" Id="rId157" Target="https://docs.google.com/spreadsheets/d/1mDk_enQzQVQVplbLzPMYJBF5whsvZ62gOPDwkqIpJvM/edit?usp=sharing" TargetMode="External" /><Relationship Type="http://schemas.openxmlformats.org/officeDocument/2006/relationships/hyperlink" Id="rId149" Target="https://docs.google.com/spreadsheets/d/1vD0wbxgYuDlfKA0DF2Km-N4GHL2gRoUaEN_oCrSb2jU/edit?usp=sharing" TargetMode="External" /><Relationship Type="http://schemas.openxmlformats.org/officeDocument/2006/relationships/hyperlink" Id="rId30" Target="https://doi.org/10.1371/journal.pone.0196878" TargetMode="External" /><Relationship Type="http://schemas.openxmlformats.org/officeDocument/2006/relationships/hyperlink" Id="rId37" Target="https://drive.google.com/file/d/1Fk8Ha-cpAuaXccnsppGXNbRPbIdS5hFR/view?usp=sharing"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3" Target="https://github.com/c-moor" TargetMode="External" /><Relationship Type="http://schemas.openxmlformats.org/officeDocument/2006/relationships/hyperlink" Id="rId257" Target="https://github.com/jhudsl/ottrpal" TargetMode="External" /><Relationship Type="http://schemas.openxmlformats.org/officeDocument/2006/relationships/hyperlink" Id="rId74" Target="https://help.c-moor.org/c/help/" TargetMode="External" /><Relationship Type="http://schemas.openxmlformats.org/officeDocument/2006/relationships/hyperlink" Id="rId258" Target="https://johnmuschelli.com/" TargetMode="External" /><Relationship Type="http://schemas.openxmlformats.org/officeDocument/2006/relationships/hyperlink" Id="rId56" Target="https://link.c-moor.org/video-join-sciserver" TargetMode="External" /><Relationship Type="http://schemas.openxmlformats.org/officeDocument/2006/relationships/hyperlink" Id="rId62" Target="https://link.c-moor.org/video-join-sciserver-group" TargetMode="External" /><Relationship Type="http://schemas.openxmlformats.org/officeDocument/2006/relationships/hyperlink" Id="rId69" Target="https://link.c-moor.org/video-sciserver-create-learnr-container" TargetMode="External" /><Relationship Type="http://schemas.openxmlformats.org/officeDocument/2006/relationships/hyperlink" Id="rId85" Target="https://pmc.ncbi.nlm.nih.gov/articles/PMC6790402/" TargetMode="External" /><Relationship Type="http://schemas.openxmlformats.org/officeDocument/2006/relationships/hyperlink" Id="rId31" Target="https://qubeshub.org/community/groups/niblse" TargetMode="External" /><Relationship Type="http://schemas.openxmlformats.org/officeDocument/2006/relationships/hyperlink" Id="rId27" Target="https://visionandchange.org/" TargetMode="External" /><Relationship Type="http://schemas.openxmlformats.org/officeDocument/2006/relationships/hyperlink" Id="rId256" Target="https://www.avahoffman.com/" TargetMode="External" /><Relationship Type="http://schemas.openxmlformats.org/officeDocument/2006/relationships/hyperlink" Id="rId2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252" Target="https://www.ottrproject.org/more_features.html#giving-credits-to-contributors" TargetMode="External" /><Relationship Type="http://schemas.openxmlformats.org/officeDocument/2006/relationships/hyperlink" Id="rId58" Target="https://www.sciserver.org/" TargetMode="External" /><Relationship Type="http://schemas.openxmlformats.org/officeDocument/2006/relationships/hyperlink" Id="rId25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2025-07-17T21:56:15Z</dcterms:created>
  <dcterms:modified xsi:type="dcterms:W3CDTF">2025-07-17T21:56:15Z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17,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