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72.png" ContentType="image/png"/>
  <Override PartName="/word/media/rId132.png" ContentType="image/png"/>
  <Override PartName="/word/media/rId100.png" ContentType="image/png"/>
  <Override PartName="/word/media/rId91.png" ContentType="image/png"/>
  <Override PartName="/word/media/rId88.png" ContentType="image/png"/>
  <Override PartName="/word/media/rId77.png" ContentType="image/png"/>
  <Override PartName="/word/media/rId81.png" ContentType="image/png"/>
  <Override PartName="/word/media/rId4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0" w:name="introduction"/>
    <w:p>
      <w:pPr>
        <w:pStyle w:val="Heading1"/>
      </w:pPr>
      <w:r>
        <w:rPr>
          <w:rStyle w:val="SectionNumber"/>
        </w:rPr>
        <w:t xml:space="preserve">1</w:t>
      </w:r>
      <w:r>
        <w:tab/>
      </w:r>
      <w:r>
        <w:t xml:space="preserve">Introduction</w:t>
      </w:r>
    </w:p>
    <w:bookmarkStart w:id="37" w:name="motivation"/>
    <w:p>
      <w:pPr>
        <w:pStyle w:val="Heading2"/>
      </w:pPr>
      <w:r>
        <w:rPr>
          <w:rStyle w:val="SectionNumber"/>
        </w:rPr>
        <w:t xml:space="preserve">1.1</w:t>
      </w:r>
      <w:r>
        <w:tab/>
      </w:r>
      <w:r>
        <w:t xml:space="preserve">Motivation</w:t>
      </w:r>
    </w:p>
    <w:bookmarkEnd w:id="37"/>
    <w:bookmarkStart w:id="38"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38"/>
    <w:bookmarkStart w:id="39"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glue          1.7.0   2024-01-09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
    <w:bookmarkEnd w:id="40"/>
    <w:bookmarkStart w:id="76" w:name="scientific-literature"/>
    <w:p>
      <w:pPr>
        <w:pStyle w:val="Heading1"/>
      </w:pPr>
      <w:r>
        <w:rPr>
          <w:rStyle w:val="SectionNumber"/>
        </w:rPr>
        <w:t xml:space="preserve">2</w:t>
      </w:r>
      <w:r>
        <w:tab/>
      </w:r>
      <w:r>
        <w:t xml:space="preserve">Scientific Literature</w:t>
      </w:r>
    </w:p>
    <w:bookmarkStart w:id="54" w:name="pre-lab---scientific-literature"/>
    <w:p>
      <w:pPr>
        <w:pStyle w:val="Heading2"/>
      </w:pPr>
      <w:r>
        <w:rPr>
          <w:rStyle w:val="SectionNumber"/>
        </w:rPr>
        <w:t xml:space="preserve">2.1</w:t>
      </w:r>
      <w:r>
        <w:tab/>
      </w:r>
      <w:r>
        <w:t xml:space="preserve">Pre-lab - Scientific literature</w:t>
      </w:r>
    </w:p>
    <w:p>
      <w:pPr>
        <w:pStyle w:val="FirstParagraph"/>
      </w:pPr>
      <w:r>
        <w:drawing>
          <wp:inline>
            <wp:extent cx="5334000" cy="3000375"/>
            <wp:effectExtent b="0" l="0" r="0" t="0"/>
            <wp:docPr descr="" title="" id="42" name="Picture"/>
            <a:graphic>
              <a:graphicData uri="http://schemas.openxmlformats.org/drawingml/2006/picture">
                <pic:pic>
                  <pic:nvPicPr>
                    <pic:cNvPr descr="resources/images/scientific-literature_files/figure-docx//1dEZtb0TgLbzhbr3HxQElwg8hENur2HMIzseg19OGd0g_g33d73503c03_0_51.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Start w:id="44" w:name="purpose"/>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44"/>
    <w:bookmarkStart w:id="45" w:name="grading-criteria"/>
    <w:p>
      <w:pPr>
        <w:pStyle w:val="Heading3"/>
      </w:pPr>
      <w:r>
        <w:rPr>
          <w:rStyle w:val="SectionNumber"/>
        </w:rPr>
        <w:t xml:space="preserve">2.1.2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45"/>
    <w:bookmarkStart w:id="49" w:name="activity"/>
    <w:p>
      <w:pPr>
        <w:pStyle w:val="Heading3"/>
      </w:pPr>
      <w:r>
        <w:rPr>
          <w:rStyle w:val="SectionNumber"/>
        </w:rPr>
        <w:t xml:space="preserve">2.1.3</w:t>
      </w:r>
      <w:r>
        <w:tab/>
      </w:r>
      <w:r>
        <w:t xml:space="preserve">Activity</w:t>
      </w:r>
    </w:p>
    <w:p>
      <w:pPr>
        <w:pStyle w:val="FirstParagraph"/>
      </w:pPr>
      <w:r>
        <w:rPr>
          <w:iCs/>
          <w:i/>
        </w:rPr>
        <w:t xml:space="preserve">Estimated time: 30 minutes</w:t>
      </w:r>
    </w:p>
    <w:bookmarkStart w:id="47" w:name="instructions"/>
    <w:p>
      <w:pPr>
        <w:pStyle w:val="Heading4"/>
      </w:pPr>
      <w:r>
        <w:rPr>
          <w:rStyle w:val="SectionNumber"/>
        </w:rPr>
        <w:t xml:space="preserve">2.1.3.1</w:t>
      </w:r>
      <w:r>
        <w:tab/>
      </w:r>
      <w:r>
        <w:t xml:space="preserve">Instructions</w:t>
      </w:r>
    </w:p>
    <w:p>
      <w:pPr>
        <w:pStyle w:val="FirstParagraph"/>
      </w:pPr>
      <w:r>
        <w:t xml:space="preserve">Read the paper</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47"/>
    <w:bookmarkStart w:id="48" w:name="questions"/>
    <w:p>
      <w:pPr>
        <w:pStyle w:val="Heading4"/>
      </w:pPr>
      <w:r>
        <w:rPr>
          <w:rStyle w:val="SectionNumber"/>
        </w:rPr>
        <w:t xml:space="preserve">2.1.3.2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48"/>
    <w:bookmarkEnd w:id="49"/>
    <w:bookmarkStart w:id="53" w:name="footnotes"/>
    <w:p>
      <w:pPr>
        <w:pStyle w:val="Heading3"/>
      </w:pPr>
      <w:r>
        <w:rPr>
          <w:rStyle w:val="SectionNumber"/>
        </w:rPr>
        <w:t xml:space="preserve">2.1.4</w:t>
      </w:r>
      <w:r>
        <w:tab/>
      </w:r>
      <w:r>
        <w:t xml:space="preserve">Footnotes</w:t>
      </w:r>
    </w:p>
    <w:bookmarkStart w:id="51" w:name="resources"/>
    <w:p>
      <w:pPr>
        <w:pStyle w:val="Heading4"/>
      </w:pPr>
      <w:r>
        <w:rPr>
          <w:rStyle w:val="SectionNumber"/>
        </w:rPr>
        <w:t xml:space="preserve">2.1.4.1</w:t>
      </w:r>
      <w:r>
        <w:tab/>
      </w:r>
      <w:r>
        <w:t xml:space="preserve">Resources</w:t>
      </w:r>
    </w:p>
    <w:p>
      <w:pPr>
        <w:numPr>
          <w:ilvl w:val="0"/>
          <w:numId w:val="1005"/>
        </w:numPr>
      </w:pPr>
      <w:hyperlink r:id="rId50">
        <w:r>
          <w:rPr>
            <w:rStyle w:val="Hyperlink"/>
          </w:rPr>
          <w:t xml:space="preserve">Google Doc</w:t>
        </w:r>
      </w:hyperlink>
    </w:p>
    <w:p>
      <w:pPr>
        <w:numPr>
          <w:ilvl w:val="0"/>
          <w:numId w:val="1005"/>
        </w:numPr>
      </w:pPr>
      <w:hyperlink r:id="rId46">
        <w:r>
          <w:rPr>
            <w:rStyle w:val="Hyperlink"/>
          </w:rPr>
          <w:t xml:space="preserve">Paper</w:t>
        </w:r>
      </w:hyperlink>
    </w:p>
    <w:bookmarkEnd w:id="51"/>
    <w:bookmarkStart w:id="52" w:name="contributions-and-affiliations"/>
    <w:p>
      <w:pPr>
        <w:pStyle w:val="Heading4"/>
      </w:pPr>
      <w:r>
        <w:rPr>
          <w:rStyle w:val="SectionNumber"/>
        </w:rPr>
        <w:t xml:space="preserve">2.1.4.2</w:t>
      </w:r>
      <w:r>
        <w:tab/>
      </w:r>
      <w:r>
        <w:t xml:space="preserve">Contributions and affiliations</w:t>
      </w:r>
    </w:p>
    <w:p>
      <w:pPr>
        <w:numPr>
          <w:ilvl w:val="0"/>
          <w:numId w:val="1006"/>
        </w:numPr>
        <w:pStyle w:val="Compact"/>
      </w:pPr>
      <w:r>
        <w:t xml:space="preserve">Valeriya Gaysinskaya, Johns Hopkins University</w:t>
      </w:r>
    </w:p>
    <w:p>
      <w:pPr>
        <w:numPr>
          <w:ilvl w:val="0"/>
          <w:numId w:val="1006"/>
        </w:numPr>
        <w:pStyle w:val="Compact"/>
      </w:pPr>
      <w:r>
        <w:t xml:space="preserve">Frederick Tan, Johns Hopkins University</w:t>
      </w:r>
    </w:p>
    <w:p>
      <w:pPr>
        <w:numPr>
          <w:ilvl w:val="0"/>
          <w:numId w:val="1006"/>
        </w:numPr>
        <w:pStyle w:val="Compact"/>
      </w:pPr>
      <w:r>
        <w:t xml:space="preserve">Katherine Cox, Johns Hopkins University</w:t>
      </w:r>
    </w:p>
    <w:p>
      <w:pPr>
        <w:numPr>
          <w:ilvl w:val="0"/>
          <w:numId w:val="1006"/>
        </w:numPr>
        <w:pStyle w:val="Compact"/>
      </w:pPr>
      <w:r>
        <w:t xml:space="preserve">Sayumi York, Notre Dame of Maryland University</w:t>
      </w:r>
    </w:p>
    <w:p>
      <w:pPr>
        <w:numPr>
          <w:ilvl w:val="0"/>
          <w:numId w:val="1006"/>
        </w:numPr>
        <w:pStyle w:val="Compact"/>
      </w:pPr>
      <w:r>
        <w:t xml:space="preserve">Stephanie Coffman, Clovis Community College</w:t>
      </w:r>
    </w:p>
    <w:p>
      <w:pPr>
        <w:numPr>
          <w:ilvl w:val="0"/>
          <w:numId w:val="1006"/>
        </w:numPr>
        <w:pStyle w:val="Compact"/>
      </w:pPr>
      <w:r>
        <w:t xml:space="preserve">Rosa Alcazar, Clovis Community College</w:t>
      </w:r>
    </w:p>
    <w:bookmarkEnd w:id="52"/>
    <w:bookmarkEnd w:id="53"/>
    <w:bookmarkEnd w:id="54"/>
    <w:bookmarkStart w:id="59" w:name="lecture---reading-a-paper"/>
    <w:p>
      <w:pPr>
        <w:pStyle w:val="Heading2"/>
      </w:pPr>
      <w:r>
        <w:rPr>
          <w:rStyle w:val="SectionNumber"/>
        </w:rPr>
        <w:t xml:space="preserve">2.2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56" name="Picture"/>
            <a:graphic>
              <a:graphicData uri="http://schemas.openxmlformats.org/drawingml/2006/picture">
                <pic:pic>
                  <pic:nvPicPr>
                    <pic:cNvPr descr="resources/images/scientific-literature_files/figure-docx//1mibD1XUpgRZcDPbYj5XOMUASuScuJoUBVV7RkT5nnSc_g36d36570436_0_413.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8">
        <w:r>
          <w:rPr>
            <w:rStyle w:val="Hyperlink"/>
          </w:rPr>
          <w:t xml:space="preserve">Lecture</w:t>
        </w:r>
      </w:hyperlink>
    </w:p>
    <w:bookmarkEnd w:id="59"/>
    <w:bookmarkStart w:id="75" w:name="activity---scientific-literature"/>
    <w:p>
      <w:pPr>
        <w:pStyle w:val="Heading2"/>
      </w:pPr>
      <w:r>
        <w:rPr>
          <w:rStyle w:val="SectionNumber"/>
        </w:rPr>
        <w:t xml:space="preserve">2.3</w:t>
      </w:r>
      <w:r>
        <w:tab/>
      </w:r>
      <w:r>
        <w:t xml:space="preserve">Activity - Scientific Literature</w:t>
      </w:r>
    </w:p>
    <w:bookmarkStart w:id="60" w:name="purpose-1"/>
    <w:p>
      <w:pPr>
        <w:pStyle w:val="Heading3"/>
      </w:pPr>
      <w:r>
        <w:rPr>
          <w:rStyle w:val="SectionNumber"/>
        </w:rPr>
        <w:t xml:space="preserve">2.3.1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60"/>
    <w:bookmarkStart w:id="61" w:name="learning-objectives"/>
    <w:p>
      <w:pPr>
        <w:pStyle w:val="Heading3"/>
      </w:pPr>
      <w:r>
        <w:rPr>
          <w:rStyle w:val="SectionNumber"/>
        </w:rPr>
        <w:t xml:space="preserve">2.3.2</w:t>
      </w:r>
      <w:r>
        <w:tab/>
      </w:r>
      <w:r>
        <w:t xml:space="preserve">Learning Objectives</w:t>
      </w:r>
    </w:p>
    <w:p>
      <w:pPr>
        <w:numPr>
          <w:ilvl w:val="0"/>
          <w:numId w:val="1007"/>
        </w:numPr>
        <w:pStyle w:val="Compact"/>
      </w:pPr>
      <w:r>
        <w:t xml:space="preserve">Understand the purpose and experimental setup of the paper</w:t>
      </w:r>
    </w:p>
    <w:p>
      <w:pPr>
        <w:numPr>
          <w:ilvl w:val="0"/>
          <w:numId w:val="1007"/>
        </w:numPr>
        <w:pStyle w:val="Compact"/>
      </w:pPr>
      <w:r>
        <w:t xml:space="preserve">Understand the presented evidence (Figures and Tables) of the paper</w:t>
      </w:r>
    </w:p>
    <w:bookmarkEnd w:id="61"/>
    <w:bookmarkStart w:id="62" w:name="introduction-1"/>
    <w:p>
      <w:pPr>
        <w:pStyle w:val="Heading3"/>
      </w:pPr>
      <w:r>
        <w:rPr>
          <w:rStyle w:val="SectionNumber"/>
        </w:rPr>
        <w:t xml:space="preserve">2.3.3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62"/>
    <w:bookmarkStart w:id="63" w:name="instructions-1"/>
    <w:p>
      <w:pPr>
        <w:pStyle w:val="Heading3"/>
      </w:pPr>
      <w:r>
        <w:rPr>
          <w:rStyle w:val="SectionNumber"/>
        </w:rPr>
        <w:t xml:space="preserve">2.3.4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63"/>
    <w:bookmarkStart w:id="64" w:name="activity-1---overview-of-the-paper"/>
    <w:p>
      <w:pPr>
        <w:pStyle w:val="Heading3"/>
      </w:pPr>
      <w:r>
        <w:rPr>
          <w:rStyle w:val="SectionNumber"/>
        </w:rPr>
        <w:t xml:space="preserve">2.3.5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64"/>
    <w:bookmarkStart w:id="69" w:name="X79a1c5953bce93f527c577d09a31e174a0dca84"/>
    <w:p>
      <w:pPr>
        <w:pStyle w:val="Heading3"/>
      </w:pPr>
      <w:r>
        <w:rPr>
          <w:rStyle w:val="SectionNumber"/>
        </w:rPr>
        <w:t xml:space="preserve">2.3.6</w:t>
      </w:r>
      <w:r>
        <w:tab/>
      </w:r>
      <w:r>
        <w:t xml:space="preserve">Activity 2 - Methods and Figure Analysis (in class and homework)</w:t>
      </w:r>
    </w:p>
    <w:p>
      <w:pPr>
        <w:pStyle w:val="FirstParagraph"/>
      </w:pPr>
      <w:r>
        <w:rPr>
          <w:iCs/>
          <w:i/>
        </w:rPr>
        <w:t xml:space="preserve">Estimated time: 45 minutes</w:t>
      </w:r>
    </w:p>
    <w:bookmarkStart w:id="65" w:name="X4d2dd1c27837ce92fb39d1b5ac256ed44ba63dd"/>
    <w:p>
      <w:pPr>
        <w:pStyle w:val="Heading4"/>
      </w:pPr>
      <w:r>
        <w:rPr>
          <w:rStyle w:val="SectionNumber"/>
        </w:rPr>
        <w:t xml:space="preserve">2.3.6.1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65"/>
    <w:bookmarkStart w:id="66" w:name="activity-2.2---figures-and-a-table"/>
    <w:p>
      <w:pPr>
        <w:pStyle w:val="Heading4"/>
      </w:pPr>
      <w:r>
        <w:rPr>
          <w:rStyle w:val="SectionNumber"/>
        </w:rPr>
        <w:t xml:space="preserve">2.3.6.2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66"/>
    <w:bookmarkStart w:id="67" w:name="activity-3-conclusions"/>
    <w:p>
      <w:pPr>
        <w:pStyle w:val="Heading4"/>
      </w:pPr>
      <w:r>
        <w:rPr>
          <w:rStyle w:val="SectionNumber"/>
        </w:rPr>
        <w:t xml:space="preserve">2.3.6.3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08"/>
        </w:numPr>
        <w:pStyle w:val="Compact"/>
      </w:pPr>
      <w:r>
        <w:t xml:space="preserve">How similar are the conclusions you came up with to the authors?</w:t>
      </w:r>
    </w:p>
    <w:p>
      <w:pPr>
        <w:numPr>
          <w:ilvl w:val="0"/>
          <w:numId w:val="1008"/>
        </w:numPr>
        <w:pStyle w:val="Compact"/>
      </w:pPr>
      <w:r>
        <w:t xml:space="preserve">Were there any differences in interpreting the data?</w:t>
      </w:r>
    </w:p>
    <w:p>
      <w:pPr>
        <w:numPr>
          <w:ilvl w:val="0"/>
          <w:numId w:val="1008"/>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67"/>
    <w:bookmarkStart w:id="68" w:name="activity-4-future-directions"/>
    <w:p>
      <w:pPr>
        <w:pStyle w:val="Heading4"/>
      </w:pPr>
      <w:r>
        <w:rPr>
          <w:rStyle w:val="SectionNumber"/>
        </w:rPr>
        <w:t xml:space="preserve">2.3.6.4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68"/>
    <w:bookmarkEnd w:id="69"/>
    <w:bookmarkStart w:id="70" w:name="grading-criteria-1"/>
    <w:p>
      <w:pPr>
        <w:pStyle w:val="Heading3"/>
      </w:pPr>
      <w:r>
        <w:rPr>
          <w:rStyle w:val="SectionNumber"/>
        </w:rPr>
        <w:t xml:space="preserve">2.3.7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70"/>
    <w:bookmarkStart w:id="74" w:name="footnotes-1"/>
    <w:p>
      <w:pPr>
        <w:pStyle w:val="Heading3"/>
      </w:pPr>
      <w:r>
        <w:rPr>
          <w:rStyle w:val="SectionNumber"/>
        </w:rPr>
        <w:t xml:space="preserve">2.3.8</w:t>
      </w:r>
      <w:r>
        <w:tab/>
      </w:r>
      <w:r>
        <w:t xml:space="preserve">Footnotes</w:t>
      </w:r>
    </w:p>
    <w:bookmarkStart w:id="72" w:name="resources-1"/>
    <w:p>
      <w:pPr>
        <w:pStyle w:val="Heading4"/>
      </w:pPr>
      <w:r>
        <w:rPr>
          <w:rStyle w:val="SectionNumber"/>
        </w:rPr>
        <w:t xml:space="preserve">2.3.8.1</w:t>
      </w:r>
      <w:r>
        <w:tab/>
      </w:r>
      <w:r>
        <w:t xml:space="preserve">Resources</w:t>
      </w:r>
    </w:p>
    <w:p>
      <w:pPr>
        <w:numPr>
          <w:ilvl w:val="0"/>
          <w:numId w:val="1009"/>
        </w:numPr>
      </w:pPr>
      <w:hyperlink r:id="rId71">
        <w:r>
          <w:rPr>
            <w:rStyle w:val="Hyperlink"/>
          </w:rPr>
          <w:t xml:space="preserve">Google Doc</w:t>
        </w:r>
      </w:hyperlink>
    </w:p>
    <w:p>
      <w:pPr>
        <w:numPr>
          <w:ilvl w:val="0"/>
          <w:numId w:val="1009"/>
        </w:numPr>
      </w:pPr>
      <w:hyperlink r:id="rId46">
        <w:r>
          <w:rPr>
            <w:rStyle w:val="Hyperlink"/>
          </w:rPr>
          <w:t xml:space="preserve">Paper</w:t>
        </w:r>
      </w:hyperlink>
    </w:p>
    <w:bookmarkEnd w:id="72"/>
    <w:bookmarkStart w:id="73" w:name="contributions-and-affiliations-1"/>
    <w:p>
      <w:pPr>
        <w:pStyle w:val="Heading4"/>
      </w:pPr>
      <w:r>
        <w:rPr>
          <w:rStyle w:val="SectionNumber"/>
        </w:rPr>
        <w:t xml:space="preserve">2.3.8.2</w:t>
      </w:r>
      <w:r>
        <w:tab/>
      </w:r>
      <w:r>
        <w:t xml:space="preserve">Contributions and affiliations</w:t>
      </w:r>
    </w:p>
    <w:p>
      <w:pPr>
        <w:numPr>
          <w:ilvl w:val="0"/>
          <w:numId w:val="1010"/>
        </w:numPr>
        <w:pStyle w:val="Compact"/>
      </w:pPr>
      <w:r>
        <w:t xml:space="preserve">Valeriya Gaysinskaya, Johns Hopkins University</w:t>
      </w:r>
    </w:p>
    <w:p>
      <w:pPr>
        <w:numPr>
          <w:ilvl w:val="0"/>
          <w:numId w:val="1010"/>
        </w:numPr>
        <w:pStyle w:val="Compact"/>
      </w:pPr>
      <w:r>
        <w:t xml:space="preserve">Frederick Tan, Johns Hopkins University</w:t>
      </w:r>
    </w:p>
    <w:p>
      <w:pPr>
        <w:numPr>
          <w:ilvl w:val="0"/>
          <w:numId w:val="1010"/>
        </w:numPr>
        <w:pStyle w:val="Compact"/>
      </w:pPr>
      <w:r>
        <w:t xml:space="preserve">Sayumi York, Notre Dame of Maryland University</w:t>
      </w:r>
    </w:p>
    <w:bookmarkEnd w:id="73"/>
    <w:bookmarkEnd w:id="74"/>
    <w:bookmarkEnd w:id="75"/>
    <w:bookmarkEnd w:id="76"/>
    <w:bookmarkStart w:id="98" w:name="meet-the-miso-study"/>
    <w:p>
      <w:pPr>
        <w:pStyle w:val="Heading1"/>
      </w:pPr>
      <w:r>
        <w:rPr>
          <w:rStyle w:val="SectionNumber"/>
        </w:rPr>
        <w:t xml:space="preserve">3</w:t>
      </w:r>
      <w:r>
        <w:tab/>
      </w:r>
      <w:r>
        <w:t xml:space="preserve">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80" w:name="miso-study-diet-and-sampling-schedule"/>
    <w:p>
      <w:pPr>
        <w:pStyle w:val="Heading3"/>
      </w:pPr>
      <w:r>
        <w:rPr>
          <w:rStyle w:val="SectionNumber"/>
        </w:rPr>
        <w:t xml:space="preserve">3.0.1</w:t>
      </w:r>
      <w:r>
        <w:tab/>
      </w:r>
      <w:r>
        <w:t xml:space="preserve">MISO study diet and sampling schedule</w:t>
      </w:r>
    </w:p>
    <w:p>
      <w:pPr>
        <w:pStyle w:val="FirstParagraph"/>
      </w:pPr>
      <w:r>
        <w:drawing>
          <wp:inline>
            <wp:extent cx="5334000" cy="3000375"/>
            <wp:effectExtent b="0" l="0" r="0" t="0"/>
            <wp:docPr descr="" title="" id="78" name="Picture"/>
            <a:graphic>
              <a:graphicData uri="http://schemas.openxmlformats.org/drawingml/2006/picture">
                <pic:pic>
                  <pic:nvPicPr>
                    <pic:cNvPr descr="resources/images/meet-MISO_files/figure-docx//1dEZtb0TgLbzhbr3HxQElwg8hENur2HMIzseg19OGd0g_g33d6fd7d4b6_0_27.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11"/>
        </w:numPr>
        <w:pStyle w:val="Compact"/>
      </w:pPr>
      <w:r>
        <w:t xml:space="preserve">Participants eat their usual,</w:t>
      </w:r>
      <w:r>
        <w:t xml:space="preserve"> </w:t>
      </w:r>
      <w:r>
        <w:rPr>
          <w:bCs/>
          <w:b/>
        </w:rPr>
        <w:t xml:space="preserve">baseline diet (BD) for 14 days</w:t>
      </w:r>
    </w:p>
    <w:p>
      <w:pPr>
        <w:numPr>
          <w:ilvl w:val="0"/>
          <w:numId w:val="1011"/>
        </w:numPr>
        <w:pStyle w:val="Compact"/>
      </w:pPr>
      <w:r>
        <w:t xml:space="preserve">Participants all eat the same diet, the</w:t>
      </w:r>
      <w:r>
        <w:t xml:space="preserve"> </w:t>
      </w:r>
      <w:r>
        <w:rPr>
          <w:bCs/>
          <w:b/>
        </w:rPr>
        <w:t xml:space="preserve">homogenized diet (HD), for 7 days</w:t>
      </w:r>
    </w:p>
    <w:p>
      <w:pPr>
        <w:numPr>
          <w:ilvl w:val="0"/>
          <w:numId w:val="1011"/>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12"/>
        </w:numPr>
        <w:pStyle w:val="Compact"/>
      </w:pPr>
      <w:r>
        <w:rPr>
          <w:bCs/>
          <w:b/>
        </w:rPr>
        <w:t xml:space="preserve">Timepoint 1:</w:t>
      </w:r>
      <w:r>
        <w:t xml:space="preserve"> </w:t>
      </w:r>
      <w:r>
        <w:t xml:space="preserve">Day 0 (the start of the study)</w:t>
      </w:r>
    </w:p>
    <w:p>
      <w:pPr>
        <w:numPr>
          <w:ilvl w:val="0"/>
          <w:numId w:val="1012"/>
        </w:numPr>
        <w:pStyle w:val="Compact"/>
      </w:pPr>
      <w:r>
        <w:rPr>
          <w:bCs/>
          <w:b/>
        </w:rPr>
        <w:t xml:space="preserve">Timepoint 2:</w:t>
      </w:r>
      <w:r>
        <w:t xml:space="preserve"> </w:t>
      </w:r>
      <w:r>
        <w:t xml:space="preserve">Day 13</w:t>
      </w:r>
    </w:p>
    <w:p>
      <w:pPr>
        <w:numPr>
          <w:ilvl w:val="0"/>
          <w:numId w:val="1012"/>
        </w:numPr>
        <w:pStyle w:val="Compact"/>
      </w:pPr>
      <w:r>
        <w:rPr>
          <w:bCs/>
          <w:b/>
        </w:rPr>
        <w:t xml:space="preserve">Timepoint 3:</w:t>
      </w:r>
      <w:r>
        <w:t xml:space="preserve"> </w:t>
      </w:r>
      <w:r>
        <w:t xml:space="preserve">Day 17</w:t>
      </w:r>
    </w:p>
    <w:p>
      <w:pPr>
        <w:numPr>
          <w:ilvl w:val="0"/>
          <w:numId w:val="1012"/>
        </w:numPr>
        <w:pStyle w:val="Compact"/>
      </w:pPr>
      <w:r>
        <w:rPr>
          <w:bCs/>
          <w:b/>
        </w:rPr>
        <w:t xml:space="preserve">Timepoint 4:</w:t>
      </w:r>
      <w:r>
        <w:t xml:space="preserve"> </w:t>
      </w:r>
      <w:r>
        <w:t xml:space="preserve">Day 21</w:t>
      </w:r>
    </w:p>
    <w:p>
      <w:pPr>
        <w:numPr>
          <w:ilvl w:val="0"/>
          <w:numId w:val="1012"/>
        </w:numPr>
        <w:pStyle w:val="Compact"/>
      </w:pPr>
      <w:r>
        <w:rPr>
          <w:bCs/>
          <w:b/>
        </w:rPr>
        <w:t xml:space="preserve">Timepoint 5:</w:t>
      </w:r>
      <w:r>
        <w:t xml:space="preserve"> </w:t>
      </w:r>
      <w:r>
        <w:t xml:space="preserve">Day 28</w:t>
      </w:r>
    </w:p>
    <w:bookmarkEnd w:id="80"/>
    <w:bookmarkStart w:id="87" w:name="miso-study-variables-and-factors"/>
    <w:p>
      <w:pPr>
        <w:pStyle w:val="Heading3"/>
      </w:pPr>
      <w:r>
        <w:rPr>
          <w:rStyle w:val="SectionNumber"/>
        </w:rPr>
        <w:t xml:space="preserve">3.0.2</w:t>
      </w:r>
      <w:r>
        <w:tab/>
      </w:r>
      <w:r>
        <w:t xml:space="preserve">MISO study variables and factors</w:t>
      </w:r>
    </w:p>
    <w:p>
      <w:pPr>
        <w:pStyle w:val="FirstParagraph"/>
      </w:pPr>
      <w:r>
        <w:drawing>
          <wp:inline>
            <wp:extent cx="5334000" cy="3000375"/>
            <wp:effectExtent b="0" l="0" r="0" t="0"/>
            <wp:docPr descr="" title="" id="82" name="Picture"/>
            <a:graphic>
              <a:graphicData uri="http://schemas.openxmlformats.org/drawingml/2006/picture">
                <pic:pic>
                  <pic:nvPicPr>
                    <pic:cNvPr descr="resources/images/meet-MISO_files/figure-docx//1dEZtb0TgLbzhbr3HxQElwg8hENur2HMIzseg19OGd0g_g33d6fd7d4b6_0_61.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84" w:name="study-design-variables"/>
    <w:p>
      <w:pPr>
        <w:pStyle w:val="Heading4"/>
      </w:pPr>
      <w:r>
        <w:rPr>
          <w:rStyle w:val="SectionNumber"/>
        </w:rPr>
        <w:t xml:space="preserve">3.0.2.1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84"/>
    <w:bookmarkStart w:id="85" w:name="subject-variables"/>
    <w:p>
      <w:pPr>
        <w:pStyle w:val="Heading4"/>
      </w:pPr>
      <w:r>
        <w:rPr>
          <w:rStyle w:val="SectionNumber"/>
        </w:rPr>
        <w:t xml:space="preserve">3.0.2.2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85"/>
    <w:bookmarkStart w:id="86" w:name="metabolite-variables"/>
    <w:p>
      <w:pPr>
        <w:pStyle w:val="Heading4"/>
      </w:pPr>
      <w:r>
        <w:rPr>
          <w:rStyle w:val="SectionNumber"/>
        </w:rPr>
        <w:t xml:space="preserve">3.0.2.3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86"/>
    <w:bookmarkEnd w:id="87"/>
    <w:bookmarkStart w:id="94" w:name="amplicon-sequence-variants-asvs-data"/>
    <w:p>
      <w:pPr>
        <w:pStyle w:val="Heading3"/>
      </w:pPr>
      <w:r>
        <w:rPr>
          <w:rStyle w:val="SectionNumber"/>
        </w:rPr>
        <w:t xml:space="preserve">3.0.3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89" name="Picture"/>
            <a:graphic>
              <a:graphicData uri="http://schemas.openxmlformats.org/drawingml/2006/picture">
                <pic:pic>
                  <pic:nvPicPr>
                    <pic:cNvPr descr="resources/images/meet-MISO_files/figure-docx//1dEZtb0TgLbzhbr3HxQElwg8hENur2HMIzseg19OGd0g_g33d6fd7d4b6_0_136.png" id="9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92" name="Picture"/>
            <a:graphic>
              <a:graphicData uri="http://schemas.openxmlformats.org/drawingml/2006/picture">
                <pic:pic>
                  <pic:nvPicPr>
                    <pic:cNvPr descr="resources/images/meet-MISO_files/figure-docx//1dEZtb0TgLbzhbr3HxQElwg8hENur2HMIzseg19OGd0g_g33d6fd7d4b6_0_113.png" id="93"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bookmarkEnd w:id="94"/>
    <w:bookmarkStart w:id="97" w:name="footnotes-2"/>
    <w:p>
      <w:pPr>
        <w:pStyle w:val="Heading3"/>
      </w:pPr>
      <w:r>
        <w:rPr>
          <w:rStyle w:val="SectionNumber"/>
        </w:rPr>
        <w:t xml:space="preserve">3.0.4</w:t>
      </w:r>
      <w:r>
        <w:tab/>
      </w:r>
      <w:r>
        <w:t xml:space="preserve">Footnotes</w:t>
      </w:r>
    </w:p>
    <w:bookmarkStart w:id="95" w:name="resources-2"/>
    <w:p>
      <w:pPr>
        <w:pStyle w:val="Heading4"/>
      </w:pPr>
      <w:r>
        <w:rPr>
          <w:rStyle w:val="SectionNumber"/>
        </w:rPr>
        <w:t xml:space="preserve">3.0.4.1</w:t>
      </w:r>
      <w:r>
        <w:tab/>
      </w:r>
      <w:r>
        <w:t xml:space="preserve">Resources</w:t>
      </w:r>
    </w:p>
    <w:bookmarkEnd w:id="95"/>
    <w:bookmarkStart w:id="96" w:name="contributions-and-affiliations-2"/>
    <w:p>
      <w:pPr>
        <w:pStyle w:val="Heading4"/>
      </w:pPr>
      <w:r>
        <w:rPr>
          <w:rStyle w:val="SectionNumber"/>
        </w:rPr>
        <w:t xml:space="preserve">3.0.4.2</w:t>
      </w:r>
      <w:r>
        <w:tab/>
      </w:r>
      <w:r>
        <w:t xml:space="preserve">Contributions and affiliations</w:t>
      </w:r>
    </w:p>
    <w:p>
      <w:pPr>
        <w:numPr>
          <w:ilvl w:val="0"/>
          <w:numId w:val="1013"/>
        </w:numPr>
        <w:pStyle w:val="Compact"/>
      </w:pPr>
      <w:r>
        <w:t xml:space="preserve">Sayumi York, Notre Dame of Maryland University</w:t>
      </w:r>
    </w:p>
    <w:bookmarkEnd w:id="96"/>
    <w:bookmarkEnd w:id="97"/>
    <w:bookmarkEnd w:id="98"/>
    <w:bookmarkStart w:id="130" w:name="s-rrna-data-in-spreadsheets"/>
    <w:p>
      <w:pPr>
        <w:pStyle w:val="Heading1"/>
      </w:pPr>
      <w:r>
        <w:rPr>
          <w:rStyle w:val="SectionNumber"/>
        </w:rPr>
        <w:t xml:space="preserve">4</w:t>
      </w:r>
      <w:r>
        <w:tab/>
      </w:r>
      <w:r>
        <w:t xml:space="preserve">16S rRNA Data in spreadsheets</w:t>
      </w:r>
    </w:p>
    <w:bookmarkStart w:id="99" w:name="exploring-16s-rrna-data-in-spreadsheets"/>
    <w:p>
      <w:pPr>
        <w:pStyle w:val="Heading2"/>
      </w:pPr>
      <w:r>
        <w:rPr>
          <w:rStyle w:val="SectionNumber"/>
        </w:rPr>
        <w:t xml:space="preserve">4.1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99"/>
    <w:bookmarkStart w:id="104" w:name="Xa4adffd64d730ef6c179c36c2b3e5f3e9720550"/>
    <w:p>
      <w:pPr>
        <w:pStyle w:val="Heading2"/>
      </w:pPr>
      <w:r>
        <w:rPr>
          <w:rStyle w:val="SectionNumber"/>
        </w:rPr>
        <w:t xml:space="preserve">4.2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resources/images/introducing-16S-data_files/figure-docx//14E26SbzaLEDJxAaZ1qjaZcJehAI8q2GHuTokNPKKDTc_g35f391192_00.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9" w:name="X38d67995e004189abbfdb85032bc1f607a0e112"/>
    <w:p>
      <w:pPr>
        <w:pStyle w:val="Heading2"/>
      </w:pPr>
      <w:r>
        <w:rPr>
          <w:rStyle w:val="SectionNumber"/>
        </w:rPr>
        <w:t xml:space="preserve">4.3</w:t>
      </w:r>
      <w:r>
        <w:tab/>
      </w:r>
      <w:r>
        <w:t xml:space="preserve">Activity - Introducing 16S rRNA Data Using Spreadsheet</w:t>
      </w:r>
    </w:p>
    <w:bookmarkStart w:id="105" w:name="learning-objectives-1"/>
    <w:p>
      <w:pPr>
        <w:pStyle w:val="Heading3"/>
      </w:pPr>
      <w:r>
        <w:rPr>
          <w:rStyle w:val="SectionNumber"/>
        </w:rPr>
        <w:t xml:space="preserve">4.3.1</w:t>
      </w:r>
      <w:r>
        <w:tab/>
      </w:r>
      <w:r>
        <w:t xml:space="preserve">Learning objectives</w:t>
      </w:r>
    </w:p>
    <w:p>
      <w:pPr>
        <w:numPr>
          <w:ilvl w:val="0"/>
          <w:numId w:val="1014"/>
        </w:numPr>
        <w:pStyle w:val="Compact"/>
      </w:pPr>
      <w:r>
        <w:t xml:space="preserve">Explore Amplicon Sequence Variants (ASVs) through the taxonomy profile of select ASVs, and sample metadata for a subset of ASVs.</w:t>
      </w:r>
    </w:p>
    <w:p>
      <w:pPr>
        <w:numPr>
          <w:ilvl w:val="0"/>
          <w:numId w:val="1014"/>
        </w:numPr>
        <w:pStyle w:val="Compact"/>
      </w:pPr>
      <w:r>
        <w:t xml:space="preserve">Generate initial research questions based on the above exploratory data analysis</w:t>
      </w:r>
    </w:p>
    <w:bookmarkEnd w:id="105"/>
    <w:bookmarkStart w:id="106" w:name="introduction-2"/>
    <w:p>
      <w:pPr>
        <w:pStyle w:val="Heading3"/>
      </w:pPr>
      <w:r>
        <w:rPr>
          <w:rStyle w:val="SectionNumber"/>
        </w:rPr>
        <w:t xml:space="preserve">4.3.2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06"/>
    <w:bookmarkStart w:id="109" w:name="Xaa0d1fbde33bae56a2031a1e7d334da13785e1c"/>
    <w:p>
      <w:pPr>
        <w:pStyle w:val="Heading3"/>
      </w:pPr>
      <w:r>
        <w:rPr>
          <w:rStyle w:val="SectionNumber"/>
        </w:rPr>
        <w:t xml:space="preserve">4.3.3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08" w:name="X831cde4a382edecbe3380b97771df7523800efd"/>
    <w:p>
      <w:pPr>
        <w:pStyle w:val="Heading4"/>
      </w:pPr>
      <w:r>
        <w:rPr>
          <w:rStyle w:val="SectionNumber"/>
        </w:rPr>
        <w:t xml:space="preserve">4.3.3.1</w:t>
      </w:r>
      <w:r>
        <w:tab/>
      </w:r>
      <w:r>
        <w:t xml:space="preserve">Activity 1-1. Explore data contents using one sample only, namely MISO1-S02-1 (subject 2, timepoint 1).</w:t>
      </w:r>
    </w:p>
    <w:p>
      <w:pPr>
        <w:pStyle w:val="FirstParagraph"/>
      </w:pPr>
      <w:r>
        <w:t xml:space="preserve">Access</w:t>
      </w:r>
      <w:r>
        <w:t xml:space="preserve"> </w:t>
      </w:r>
      <w:hyperlink r:id="rId107">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15"/>
        </w:numPr>
        <w:pStyle w:val="Compact"/>
      </w:pPr>
      <w:r>
        <w:t xml:space="preserve">Rows = ASVs</w:t>
      </w:r>
    </w:p>
    <w:p>
      <w:pPr>
        <w:numPr>
          <w:ilvl w:val="0"/>
          <w:numId w:val="1015"/>
        </w:numPr>
        <w:pStyle w:val="Compact"/>
      </w:pPr>
      <w:r>
        <w:t xml:space="preserve">Columns = Samples and taxonomy:</w:t>
      </w:r>
    </w:p>
    <w:p>
      <w:pPr>
        <w:numPr>
          <w:ilvl w:val="1"/>
          <w:numId w:val="1016"/>
        </w:numPr>
        <w:pStyle w:val="Compact"/>
      </w:pPr>
      <w:r>
        <w:t xml:space="preserve">Col A = ASV id</w:t>
      </w:r>
    </w:p>
    <w:p>
      <w:pPr>
        <w:numPr>
          <w:ilvl w:val="1"/>
          <w:numId w:val="1016"/>
        </w:numPr>
        <w:pStyle w:val="Compact"/>
      </w:pPr>
      <w:r>
        <w:t xml:space="preserve">Cols B-H = Taxonomic information</w:t>
      </w:r>
    </w:p>
    <w:p>
      <w:pPr>
        <w:numPr>
          <w:ilvl w:val="1"/>
          <w:numId w:val="1016"/>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17"/>
        </w:numPr>
        <w:pStyle w:val="Compact"/>
      </w:pPr>
      <w:r>
        <w:t xml:space="preserve">Create an empty new first row for temporary calculations by clicking to insert 1 row above.</w:t>
      </w:r>
    </w:p>
    <w:p>
      <w:pPr>
        <w:numPr>
          <w:ilvl w:val="0"/>
          <w:numId w:val="1017"/>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18"/>
        </w:numPr>
        <w:pStyle w:val="Compact"/>
      </w:pPr>
      <w:r>
        <w:t xml:space="preserve">Make sure your graph is a bar plot: click on the 3 dots in the top right corner of the plot → edit chart and in the Chart editor, under Chart type, selecting Column Chart.</w:t>
      </w:r>
    </w:p>
    <w:p>
      <w:pPr>
        <w:numPr>
          <w:ilvl w:val="0"/>
          <w:numId w:val="1018"/>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08"/>
    <w:bookmarkEnd w:id="109"/>
    <w:bookmarkStart w:id="113" w:name="Xe0a69a9212b769e6c2500824c8f02943646fd62"/>
    <w:p>
      <w:pPr>
        <w:pStyle w:val="Heading3"/>
      </w:pPr>
      <w:r>
        <w:rPr>
          <w:rStyle w:val="SectionNumber"/>
        </w:rPr>
        <w:t xml:space="preserve">4.3.4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19"/>
        </w:numPr>
      </w:pPr>
      <w:r>
        <w:t xml:space="preserve">For this activity, the data file</w:t>
      </w:r>
      <w:r>
        <w:t xml:space="preserve"> </w:t>
      </w:r>
      <w:hyperlink r:id="rId110">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19"/>
        </w:numPr>
      </w:pPr>
      <w:r>
        <w:t xml:space="preserve">Since there is only 1 WO datapoint per individual, each WO sample corresponds to a different individual, so you should see 21 samples.</w:t>
      </w:r>
    </w:p>
    <w:bookmarkStart w:id="111" w:name="X9376faab03f12c2bf3d4a1a46987838618b4ed3"/>
    <w:p>
      <w:pPr>
        <w:pStyle w:val="Heading4"/>
      </w:pPr>
      <w:r>
        <w:rPr>
          <w:rStyle w:val="SectionNumber"/>
        </w:rPr>
        <w:t xml:space="preserve">4.3.4.1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20"/>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20"/>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20"/>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21"/>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22"/>
        </w:numPr>
        <w:pStyle w:val="Compact"/>
      </w:pPr>
      <w:r>
        <w:t xml:space="preserve">Copy columns A (% samples) and C (ASV id) into a new sheet and Paste Special → Values only</w:t>
      </w:r>
    </w:p>
    <w:p>
      <w:pPr>
        <w:numPr>
          <w:ilvl w:val="0"/>
          <w:numId w:val="1022"/>
        </w:numPr>
        <w:pStyle w:val="Compact"/>
      </w:pPr>
      <w:r>
        <w:t xml:space="preserve">Delete empty row 1</w:t>
      </w:r>
    </w:p>
    <w:p>
      <w:pPr>
        <w:numPr>
          <w:ilvl w:val="0"/>
          <w:numId w:val="1022"/>
        </w:numPr>
        <w:pStyle w:val="Compact"/>
      </w:pPr>
      <w:r>
        <w:t xml:space="preserve">Right-click on Row 1 to Create a filter, then Sort Z to A</w:t>
      </w:r>
    </w:p>
    <w:p>
      <w:pPr>
        <w:numPr>
          <w:ilvl w:val="0"/>
          <w:numId w:val="1022"/>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1"/>
    <w:bookmarkStart w:id="112" w:name="X83ac6f08d95f19f935f67e5ccc63f53d26f14c8"/>
    <w:p>
      <w:pPr>
        <w:pStyle w:val="Heading4"/>
      </w:pPr>
      <w:r>
        <w:rPr>
          <w:rStyle w:val="SectionNumber"/>
        </w:rPr>
        <w:t xml:space="preserve">4.3.4.2</w:t>
      </w:r>
      <w:r>
        <w:tab/>
      </w:r>
      <w:r>
        <w:t xml:space="preserve">Activity 2-2. Explore most common ASV taxonomy</w:t>
      </w:r>
    </w:p>
    <w:p>
      <w:pPr>
        <w:numPr>
          <w:ilvl w:val="0"/>
          <w:numId w:val="1023"/>
        </w:numPr>
      </w:pPr>
      <w:r>
        <w:t xml:space="preserve">Go the original MISO_PS_Leah_SY_Sample1 google docs and record taxonomic information for most common ASV from the activity above.</w:t>
      </w:r>
    </w:p>
    <w:p>
      <w:pPr>
        <w:numPr>
          <w:ilvl w:val="0"/>
          <w:numId w:val="1023"/>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12"/>
    <w:bookmarkEnd w:id="113"/>
    <w:bookmarkStart w:id="114" w:name="Xd3160f07db318521396fa25fabb140c7f509a07"/>
    <w:p>
      <w:pPr>
        <w:pStyle w:val="Heading3"/>
      </w:pPr>
      <w:r>
        <w:rPr>
          <w:rStyle w:val="SectionNumber"/>
        </w:rPr>
        <w:t xml:space="preserve">4.3.5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24"/>
        </w:numPr>
      </w:pPr>
      <w:r>
        <w:t xml:space="preserve">Make sure your bar graph is a bar plot: click on the 3 dots in the top right corner of the plot → edit chart and in the Chart editor, under Chart type, selecting Column Chart.</w:t>
      </w:r>
    </w:p>
    <w:p>
      <w:pPr>
        <w:numPr>
          <w:ilvl w:val="0"/>
          <w:numId w:val="1024"/>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14"/>
    <w:bookmarkStart w:id="117" w:name="Xef23b50a219e4632b5da6f886c45cb6084129e6"/>
    <w:p>
      <w:pPr>
        <w:pStyle w:val="Heading3"/>
      </w:pPr>
      <w:r>
        <w:rPr>
          <w:rStyle w:val="SectionNumber"/>
        </w:rPr>
        <w:t xml:space="preserve">4.3.6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25"/>
        </w:numPr>
        <w:pStyle w:val="Compact"/>
      </w:pPr>
      <w:r>
        <w:t xml:space="preserve">Timepoints 1 and 2: BD (Baseline diet) prior to normalization with homogenized diet</w:t>
      </w:r>
    </w:p>
    <w:p>
      <w:pPr>
        <w:numPr>
          <w:ilvl w:val="0"/>
          <w:numId w:val="1025"/>
        </w:numPr>
        <w:pStyle w:val="Compact"/>
      </w:pPr>
      <w:r>
        <w:t xml:space="preserve">Timepoints 3 and 4: HD (Homogenized diet): normalized to be same for all</w:t>
      </w:r>
    </w:p>
    <w:p>
      <w:pPr>
        <w:numPr>
          <w:ilvl w:val="0"/>
          <w:numId w:val="1025"/>
        </w:numPr>
        <w:pStyle w:val="Compact"/>
      </w:pPr>
      <w:r>
        <w:t xml:space="preserve">Timepoint 5: WO (Washout diet), which simply involves individuals going back to their baseline, regular diet</w:t>
      </w:r>
    </w:p>
    <w:bookmarkStart w:id="115" w:name="Xab8d6493b7cf61e1c3a9cfd4807734799394094"/>
    <w:p>
      <w:pPr>
        <w:pStyle w:val="Heading4"/>
      </w:pPr>
      <w:r>
        <w:rPr>
          <w:rStyle w:val="SectionNumber"/>
        </w:rPr>
        <w:t xml:space="preserve">4.3.6.1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26"/>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26"/>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26"/>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27"/>
        </w:numPr>
        <w:pStyle w:val="Compact"/>
      </w:pPr>
      <w:r>
        <w:t xml:space="preserve">Click on the 1st (header) row</w:t>
      </w:r>
    </w:p>
    <w:p>
      <w:pPr>
        <w:numPr>
          <w:ilvl w:val="0"/>
          <w:numId w:val="1027"/>
        </w:numPr>
        <w:pStyle w:val="Compact"/>
      </w:pPr>
      <w:r>
        <w:t xml:space="preserve">Right-click to select</w:t>
      </w:r>
      <w:r>
        <w:t xml:space="preserve"> </w:t>
      </w:r>
      <w:r>
        <w:t xml:space="preserve">‘</w:t>
      </w:r>
      <w:r>
        <w:t xml:space="preserve">Create a filter</w:t>
      </w:r>
      <w:r>
        <w:t xml:space="preserve">’</w:t>
      </w:r>
    </w:p>
    <w:p>
      <w:pPr>
        <w:numPr>
          <w:ilvl w:val="0"/>
          <w:numId w:val="1027"/>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28"/>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28"/>
        </w:numPr>
        <w:pStyle w:val="Compact"/>
      </w:pPr>
      <w:r>
        <w:t xml:space="preserve">Go to Insert Chart. For this chart you can highlight the rows starting with title row so as to include sample names in your chart.</w:t>
      </w:r>
    </w:p>
    <w:p>
      <w:pPr>
        <w:numPr>
          <w:ilvl w:val="0"/>
          <w:numId w:val="1028"/>
        </w:numPr>
        <w:pStyle w:val="Compact"/>
      </w:pPr>
      <w:r>
        <w:t xml:space="preserve">Make sure your graph is a bar plot: click on the 3 dots in the top right corner of the plot → edit chart and in the Chart editor, under Chart type, selecting Column Chart.</w:t>
      </w:r>
    </w:p>
    <w:p>
      <w:pPr>
        <w:numPr>
          <w:ilvl w:val="0"/>
          <w:numId w:val="1028"/>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5"/>
    <w:bookmarkStart w:id="116" w:name="X15c1eec03cd6fd0de36c07ee1e3392bf59371cd"/>
    <w:p>
      <w:pPr>
        <w:pStyle w:val="Heading4"/>
      </w:pPr>
      <w:r>
        <w:rPr>
          <w:rStyle w:val="SectionNumber"/>
        </w:rPr>
        <w:t xml:space="preserve">4.3.6.2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29"/>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29"/>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6"/>
    <w:bookmarkEnd w:id="117"/>
    <w:bookmarkStart w:id="123" w:name="activity-4-try-it-out"/>
    <w:p>
      <w:pPr>
        <w:pStyle w:val="Heading3"/>
      </w:pPr>
      <w:r>
        <w:rPr>
          <w:rStyle w:val="SectionNumber"/>
        </w:rPr>
        <w:t xml:space="preserve">4.3.7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30"/>
        </w:numPr>
        <w:pStyle w:val="Compact"/>
      </w:pPr>
      <w:hyperlink r:id="rId118">
        <w:r>
          <w:rPr>
            <w:rStyle w:val="Hyperlink"/>
          </w:rPr>
          <w:t xml:space="preserve">ASV counts (2185 rows by 114 columns)</w:t>
        </w:r>
      </w:hyperlink>
    </w:p>
    <w:p>
      <w:pPr>
        <w:numPr>
          <w:ilvl w:val="0"/>
          <w:numId w:val="1030"/>
        </w:numPr>
        <w:pStyle w:val="Compact"/>
      </w:pPr>
      <w:hyperlink r:id="rId119">
        <w:r>
          <w:rPr>
            <w:rStyle w:val="Hyperlink"/>
          </w:rPr>
          <w:t xml:space="preserve">Sample metadata (106 rows by 28 columns)</w:t>
        </w:r>
      </w:hyperlink>
    </w:p>
    <w:p>
      <w:pPr>
        <w:numPr>
          <w:ilvl w:val="0"/>
          <w:numId w:val="1030"/>
        </w:numPr>
        <w:pStyle w:val="Compact"/>
      </w:pPr>
      <w:hyperlink r:id="rId120">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31"/>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31"/>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31"/>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21" w:name="X457e1c7c317164101daa770371840bd6c4c38ac"/>
    <w:p>
      <w:pPr>
        <w:pStyle w:val="Heading4"/>
      </w:pPr>
      <w:r>
        <w:rPr>
          <w:rStyle w:val="SectionNumber"/>
        </w:rPr>
        <w:t xml:space="preserve">4.3.7.1</w:t>
      </w:r>
      <w:r>
        <w:tab/>
      </w:r>
      <w:r>
        <w:t xml:space="preserve">Question 1 - Profile and compare ASV abundance and taxonomy for 2 diets, BD and HD. Your final analysis should result in a plot and/or a table.</w:t>
      </w:r>
    </w:p>
    <w:p>
      <w:pPr>
        <w:numPr>
          <w:ilvl w:val="0"/>
          <w:numId w:val="1032"/>
        </w:numPr>
        <w:pStyle w:val="Compact"/>
      </w:pPr>
      <w:r>
        <w:t xml:space="preserve">Question 1A: Compare 1 BD timepoint and 1 HD timepoint (males): n = 20</w:t>
      </w:r>
    </w:p>
    <w:p>
      <w:pPr>
        <w:numPr>
          <w:ilvl w:val="0"/>
          <w:numId w:val="1032"/>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33"/>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33"/>
        </w:numPr>
        <w:pStyle w:val="Compact"/>
      </w:pPr>
      <w:r>
        <w:t xml:space="preserve">How will you compare the multiple BD1 samples against the multiple HD1 samples?</w:t>
      </w:r>
    </w:p>
    <w:p>
      <w:pPr>
        <w:numPr>
          <w:ilvl w:val="0"/>
          <w:numId w:val="1034"/>
        </w:numPr>
        <w:pStyle w:val="Compact"/>
      </w:pPr>
      <w:r>
        <w:t xml:space="preserve">ASV counts - plot average or boxplot of abundance for top ASVs?</w:t>
      </w:r>
    </w:p>
    <w:p>
      <w:pPr>
        <w:numPr>
          <w:ilvl w:val="0"/>
          <w:numId w:val="1034"/>
        </w:numPr>
        <w:pStyle w:val="Compact"/>
      </w:pPr>
      <w:r>
        <w:t xml:space="preserve">For taxonomy - is there an overlap between 5 BD and 5 HD taxa? Should you consider a pie chart, a barplot or no plot?)</w:t>
      </w:r>
    </w:p>
    <w:bookmarkEnd w:id="121"/>
    <w:bookmarkStart w:id="122" w:name="X2f38f2d307a4f82a28b4205cc5ca5397046bc31"/>
    <w:p>
      <w:pPr>
        <w:pStyle w:val="Heading4"/>
      </w:pPr>
      <w:r>
        <w:rPr>
          <w:rStyle w:val="SectionNumber"/>
        </w:rPr>
        <w:t xml:space="preserve">4.3.7.2</w:t>
      </w:r>
      <w:r>
        <w:tab/>
      </w:r>
      <w:r>
        <w:t xml:space="preserve">Question 2 - Profile and compare ASV abundance and taxonomy of 21 individuals using a single homogenized dietary timepoint. Your final analysis should result in a plot and/or a table.</w:t>
      </w:r>
    </w:p>
    <w:p>
      <w:pPr>
        <w:numPr>
          <w:ilvl w:val="0"/>
          <w:numId w:val="1035"/>
        </w:numPr>
        <w:pStyle w:val="Compact"/>
      </w:pPr>
      <w:r>
        <w:t xml:space="preserve">Question 2A: Examine HD1 timepoint (males and females): n = 21</w:t>
      </w:r>
    </w:p>
    <w:p>
      <w:pPr>
        <w:numPr>
          <w:ilvl w:val="0"/>
          <w:numId w:val="1035"/>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22"/>
    <w:bookmarkEnd w:id="123"/>
    <w:bookmarkStart w:id="124" w:name="grading-criteria-2"/>
    <w:p>
      <w:pPr>
        <w:pStyle w:val="Heading3"/>
      </w:pPr>
      <w:r>
        <w:rPr>
          <w:rStyle w:val="SectionNumber"/>
        </w:rPr>
        <w:t xml:space="preserve">4.3.8</w:t>
      </w:r>
      <w:r>
        <w:tab/>
      </w:r>
      <w:r>
        <w:t xml:space="preserve">Grading criteria</w:t>
      </w:r>
    </w:p>
    <w:p>
      <w:pPr>
        <w:numPr>
          <w:ilvl w:val="0"/>
          <w:numId w:val="1036"/>
        </w:numPr>
        <w:pStyle w:val="Compact"/>
      </w:pPr>
      <w:r>
        <w:t xml:space="preserve">Download the assignment to your local computer as a .docx, complete it, and upload the assignment to your LMS (Blackboard, Canvas, Google Classroom).</w:t>
      </w:r>
    </w:p>
    <w:p>
      <w:pPr>
        <w:numPr>
          <w:ilvl w:val="0"/>
          <w:numId w:val="1036"/>
        </w:numPr>
        <w:pStyle w:val="Compact"/>
      </w:pPr>
      <w:r>
        <w:t xml:space="preserve">Download the Google Sheets to your local computers as a .xlsx, complete all the steps for the assignment, and upload the .xlsx to your LMS (Blackboard, Canvas, Google Classroom).</w:t>
      </w:r>
    </w:p>
    <w:bookmarkEnd w:id="124"/>
    <w:bookmarkStart w:id="128" w:name="footnotes-3"/>
    <w:p>
      <w:pPr>
        <w:pStyle w:val="Heading3"/>
      </w:pPr>
      <w:r>
        <w:rPr>
          <w:rStyle w:val="SectionNumber"/>
        </w:rPr>
        <w:t xml:space="preserve">4.3.9</w:t>
      </w:r>
      <w:r>
        <w:tab/>
      </w:r>
      <w:r>
        <w:t xml:space="preserve">Footnotes</w:t>
      </w:r>
    </w:p>
    <w:bookmarkStart w:id="126" w:name="resources-3"/>
    <w:p>
      <w:pPr>
        <w:pStyle w:val="Heading4"/>
      </w:pPr>
      <w:r>
        <w:rPr>
          <w:rStyle w:val="SectionNumber"/>
        </w:rPr>
        <w:t xml:space="preserve">4.3.9.1</w:t>
      </w:r>
      <w:r>
        <w:tab/>
      </w:r>
      <w:r>
        <w:t xml:space="preserve">Resources</w:t>
      </w:r>
    </w:p>
    <w:p>
      <w:pPr>
        <w:numPr>
          <w:ilvl w:val="0"/>
          <w:numId w:val="1037"/>
        </w:numPr>
        <w:pStyle w:val="Compact"/>
      </w:pPr>
      <w:hyperlink r:id="rId125">
        <w:r>
          <w:rPr>
            <w:rStyle w:val="Hyperlink"/>
          </w:rPr>
          <w:t xml:space="preserve">Google Doc</w:t>
        </w:r>
      </w:hyperlink>
    </w:p>
    <w:p>
      <w:pPr>
        <w:numPr>
          <w:ilvl w:val="0"/>
          <w:numId w:val="1037"/>
        </w:numPr>
        <w:pStyle w:val="Compact"/>
      </w:pPr>
      <w:hyperlink r:id="rId107">
        <w:r>
          <w:rPr>
            <w:rStyle w:val="Hyperlink"/>
          </w:rPr>
          <w:t xml:space="preserve">‘</w:t>
        </w:r>
        <w:r>
          <w:rPr>
            <w:rStyle w:val="Hyperlink"/>
          </w:rPr>
          <w:t xml:space="preserve">MISO_PS_Leah_SY_Sample1</w:t>
        </w:r>
        <w:r>
          <w:rPr>
            <w:rStyle w:val="Hyperlink"/>
          </w:rPr>
          <w:t xml:space="preserve">’</w:t>
        </w:r>
      </w:hyperlink>
    </w:p>
    <w:p>
      <w:pPr>
        <w:numPr>
          <w:ilvl w:val="0"/>
          <w:numId w:val="1037"/>
        </w:numPr>
        <w:pStyle w:val="Compact"/>
      </w:pPr>
      <w:hyperlink r:id="rId110">
        <w:r>
          <w:rPr>
            <w:rStyle w:val="Hyperlink"/>
          </w:rPr>
          <w:t xml:space="preserve">MISO_PS_Leah_SY_WO-select</w:t>
        </w:r>
      </w:hyperlink>
    </w:p>
    <w:p>
      <w:pPr>
        <w:numPr>
          <w:ilvl w:val="0"/>
          <w:numId w:val="1037"/>
        </w:numPr>
        <w:pStyle w:val="Compact"/>
      </w:pPr>
      <w:hyperlink r:id="rId118">
        <w:r>
          <w:rPr>
            <w:rStyle w:val="Hyperlink"/>
          </w:rPr>
          <w:t xml:space="preserve">ASV counts (2185 rows by 114 columns)</w:t>
        </w:r>
      </w:hyperlink>
    </w:p>
    <w:p>
      <w:pPr>
        <w:numPr>
          <w:ilvl w:val="0"/>
          <w:numId w:val="1037"/>
        </w:numPr>
        <w:pStyle w:val="Compact"/>
      </w:pPr>
      <w:hyperlink r:id="rId119">
        <w:r>
          <w:rPr>
            <w:rStyle w:val="Hyperlink"/>
          </w:rPr>
          <w:t xml:space="preserve">Sample metadata (106 rows by 28 columns)</w:t>
        </w:r>
      </w:hyperlink>
    </w:p>
    <w:p>
      <w:pPr>
        <w:numPr>
          <w:ilvl w:val="0"/>
          <w:numId w:val="1037"/>
        </w:numPr>
        <w:pStyle w:val="Compact"/>
      </w:pPr>
      <w:hyperlink r:id="rId120">
        <w:r>
          <w:rPr>
            <w:rStyle w:val="Hyperlink"/>
          </w:rPr>
          <w:t xml:space="preserve">Class Poster</w:t>
        </w:r>
      </w:hyperlink>
    </w:p>
    <w:bookmarkEnd w:id="126"/>
    <w:bookmarkStart w:id="127" w:name="contributions-and-affiliations-3"/>
    <w:p>
      <w:pPr>
        <w:pStyle w:val="Heading4"/>
      </w:pPr>
      <w:r>
        <w:rPr>
          <w:rStyle w:val="SectionNumber"/>
        </w:rPr>
        <w:t xml:space="preserve">4.3.9.2</w:t>
      </w:r>
      <w:r>
        <w:tab/>
      </w:r>
      <w: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Gauri Paul, Clovis Community College</w:t>
      </w:r>
    </w:p>
    <w:p>
      <w:pPr>
        <w:numPr>
          <w:ilvl w:val="0"/>
          <w:numId w:val="1038"/>
        </w:numPr>
        <w:pStyle w:val="Compact"/>
      </w:pPr>
      <w:r>
        <w:t xml:space="preserve">Frederick Tan, Johns Hopkins University</w:t>
      </w:r>
    </w:p>
    <w:p>
      <w:pPr>
        <w:numPr>
          <w:ilvl w:val="0"/>
          <w:numId w:val="1038"/>
        </w:numPr>
        <w:pStyle w:val="Compact"/>
      </w:pPr>
      <w:r>
        <w:t xml:space="preserve">Sayumi York, Notre Dame of Maryland University</w:t>
      </w:r>
    </w:p>
    <w:bookmarkEnd w:id="127"/>
    <w:bookmarkEnd w:id="128"/>
    <w:bookmarkEnd w:id="129"/>
    <w:bookmarkEnd w:id="130"/>
    <w:bookmarkStart w:id="170" w:name="exploring-16s-rrna-data-with-phyloseq"/>
    <w:p>
      <w:pPr>
        <w:pStyle w:val="Heading1"/>
      </w:pPr>
      <w:r>
        <w:rPr>
          <w:rStyle w:val="SectionNumber"/>
        </w:rPr>
        <w:t xml:space="preserve">5</w:t>
      </w:r>
      <w:r>
        <w:tab/>
      </w:r>
      <w:r>
        <w:t xml:space="preserve">Exploring 16S rRNA Data with phyloseq</w:t>
      </w:r>
    </w:p>
    <w:bookmarkStart w:id="131" w:name="exploring-16s-rrna-data-with-phyloseq-1"/>
    <w:p>
      <w:pPr>
        <w:pStyle w:val="Heading2"/>
      </w:pPr>
      <w:r>
        <w:rPr>
          <w:rStyle w:val="SectionNumber"/>
        </w:rPr>
        <w:t xml:space="preserve">5.1</w:t>
      </w:r>
      <w:r>
        <w:tab/>
      </w:r>
      <w:r>
        <w:t xml:space="preserve">Exploring 16S rRNA Data with phyloseq</w:t>
      </w:r>
    </w:p>
    <w:bookmarkEnd w:id="131"/>
    <w:bookmarkStart w:id="136" w:name="Xfcffbdcf25bedde438c04e8687daab58b4477b9"/>
    <w:p>
      <w:pPr>
        <w:pStyle w:val="Heading2"/>
      </w:pPr>
      <w:r>
        <w:rPr>
          <w:rStyle w:val="SectionNumber"/>
        </w:rPr>
        <w:t xml:space="preserve">5.2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33" name="Picture"/>
            <a:graphic>
              <a:graphicData uri="http://schemas.openxmlformats.org/drawingml/2006/picture">
                <pic:pic>
                  <pic:nvPicPr>
                    <pic:cNvPr descr="resources/images/explore-phyloseq_files/figure-docx//15tv_IS177gF_px3JYKcQZmOsJg2d-GkjVXi7a-Skgs8_g35f391192_00.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5">
        <w:r>
          <w:rPr>
            <w:rStyle w:val="Hyperlink"/>
          </w:rPr>
          <w:t xml:space="preserve">Lecture</w:t>
        </w:r>
      </w:hyperlink>
    </w:p>
    <w:bookmarkEnd w:id="136"/>
    <w:bookmarkStart w:id="151" w:name="X3e9a8c427ff3d180216de2316d0bc005457f816"/>
    <w:p>
      <w:pPr>
        <w:pStyle w:val="Heading2"/>
      </w:pPr>
      <w:r>
        <w:rPr>
          <w:rStyle w:val="SectionNumber"/>
        </w:rPr>
        <w:t xml:space="preserve">5.3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37" w:name="learning-objectives-2"/>
    <w:p>
      <w:pPr>
        <w:pStyle w:val="Heading3"/>
      </w:pPr>
      <w:r>
        <w:rPr>
          <w:rStyle w:val="SectionNumber"/>
        </w:rPr>
        <w:t xml:space="preserve">5.3.1</w:t>
      </w:r>
      <w:r>
        <w:tab/>
      </w:r>
      <w:r>
        <w:t xml:space="preserve">Learning objectives</w:t>
      </w:r>
    </w:p>
    <w:p>
      <w:pPr>
        <w:numPr>
          <w:ilvl w:val="0"/>
          <w:numId w:val="1039"/>
        </w:numPr>
        <w:pStyle w:val="Compact"/>
      </w:pPr>
      <w:r>
        <w:t xml:space="preserve">Use phyloseq to explore data associated with Amplicon Sequence Variants (ASVs).</w:t>
      </w:r>
    </w:p>
    <w:p>
      <w:pPr>
        <w:numPr>
          <w:ilvl w:val="0"/>
          <w:numId w:val="1039"/>
        </w:numPr>
        <w:pStyle w:val="Compact"/>
      </w:pPr>
      <w:r>
        <w:t xml:space="preserve">In phyloseq, subset data based on metadata and taxonomy.</w:t>
      </w:r>
    </w:p>
    <w:p>
      <w:pPr>
        <w:numPr>
          <w:ilvl w:val="0"/>
          <w:numId w:val="1039"/>
        </w:numPr>
        <w:pStyle w:val="Compact"/>
      </w:pPr>
      <w:r>
        <w:t xml:space="preserve">In phyloseq, profile and plot taxonomy.</w:t>
      </w:r>
    </w:p>
    <w:bookmarkEnd w:id="137"/>
    <w:bookmarkStart w:id="138"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38"/>
    <w:bookmarkStart w:id="139" w:name="Xe45af9acbb28abccd6a23dcf034e37d37ee88bd"/>
    <w:p>
      <w:pPr>
        <w:pStyle w:val="Heading3"/>
      </w:pPr>
      <w:r>
        <w:rPr>
          <w:rStyle w:val="SectionNumber"/>
        </w:rPr>
        <w:t xml:space="preserve">5.3.3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40"/>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40"/>
        </w:numPr>
        <w:pStyle w:val="Compact"/>
      </w:pPr>
      <w:r>
        <w:t xml:space="preserve">Check the box next to Data volume</w:t>
      </w:r>
      <w:r>
        <w:t xml:space="preserve"> </w:t>
      </w:r>
      <w:r>
        <w:t xml:space="preserve">“</w:t>
      </w:r>
      <w:r>
        <w:t xml:space="preserve">C-MOOR Data</w:t>
      </w:r>
      <w:r>
        <w:t xml:space="preserve">”</w:t>
      </w:r>
    </w:p>
    <w:p>
      <w:pPr>
        <w:numPr>
          <w:ilvl w:val="0"/>
          <w:numId w:val="1040"/>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4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0"/>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39"/>
    <w:bookmarkStart w:id="144" w:name="activity-2-try-it-out-questions"/>
    <w:p>
      <w:pPr>
        <w:pStyle w:val="Heading3"/>
      </w:pPr>
      <w:r>
        <w:rPr>
          <w:rStyle w:val="SectionNumber"/>
        </w:rPr>
        <w:t xml:space="preserve">5.3.4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20">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40" w:name="X3970f89dd765a83559f7ef93a84d5c8174de857"/>
    <w:p>
      <w:pPr>
        <w:pStyle w:val="Heading4"/>
      </w:pPr>
      <w:r>
        <w:rPr>
          <w:rStyle w:val="SectionNumber"/>
        </w:rPr>
        <w:t xml:space="preserve">5.3.4.1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41"/>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41"/>
        </w:numPr>
        <w:pStyle w:val="Compact"/>
      </w:pPr>
      <w:r>
        <w:t xml:space="preserve">Evaluate the effect of individuality – Plot the microbiome for all 21 individuals but focus on just the HD timepointgroup (where diet is the same).</w:t>
      </w:r>
    </w:p>
    <w:bookmarkEnd w:id="140"/>
    <w:bookmarkStart w:id="141" w:name="Xff240a2d483d54ced52f51f9c4c7d07d2360700"/>
    <w:p>
      <w:pPr>
        <w:pStyle w:val="Heading4"/>
      </w:pPr>
      <w:r>
        <w:rPr>
          <w:rStyle w:val="SectionNumber"/>
        </w:rPr>
        <w:t xml:space="preserve">5.3.4.2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42"/>
        </w:numPr>
        <w:pStyle w:val="Compact"/>
      </w:pPr>
      <w:r>
        <w:t xml:space="preserve">Plot all the Phyla and identify the most abundant Phylum</w:t>
      </w:r>
    </w:p>
    <w:p>
      <w:pPr>
        <w:numPr>
          <w:ilvl w:val="0"/>
          <w:numId w:val="1042"/>
        </w:numPr>
        <w:pStyle w:val="Compact"/>
      </w:pPr>
      <w:r>
        <w:t xml:space="preserve">Subset the most abundant Phylum, and plot all the Orders</w:t>
      </w:r>
    </w:p>
    <w:p>
      <w:pPr>
        <w:numPr>
          <w:ilvl w:val="0"/>
          <w:numId w:val="1042"/>
        </w:numPr>
        <w:pStyle w:val="Compact"/>
      </w:pPr>
      <w:r>
        <w:t xml:space="preserve">Subset the most abundant Order, and plot all the Families</w:t>
      </w:r>
    </w:p>
    <w:p>
      <w:pPr>
        <w:numPr>
          <w:ilvl w:val="0"/>
          <w:numId w:val="1042"/>
        </w:numPr>
        <w:pStyle w:val="Compact"/>
      </w:pPr>
      <w:r>
        <w:t xml:space="preserve">Subset the most abundant Family, and plot all the Genera</w:t>
      </w:r>
    </w:p>
    <w:p>
      <w:pPr>
        <w:numPr>
          <w:ilvl w:val="0"/>
          <w:numId w:val="1042"/>
        </w:numPr>
        <w:pStyle w:val="Compact"/>
      </w:pPr>
      <w:r>
        <w:t xml:space="preserve">Subset the most abundant Genus, and plot all the Species</w:t>
      </w:r>
    </w:p>
    <w:bookmarkEnd w:id="141"/>
    <w:bookmarkStart w:id="142" w:name="Xceaa160192ac623c0852540bd90f0b232ee8573"/>
    <w:p>
      <w:pPr>
        <w:pStyle w:val="Heading4"/>
      </w:pPr>
      <w:r>
        <w:rPr>
          <w:rStyle w:val="SectionNumber"/>
        </w:rPr>
        <w:t xml:space="preserve">5.3.4.3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43"/>
        </w:numPr>
        <w:pStyle w:val="Compact"/>
      </w:pPr>
      <w:r>
        <w:t xml:space="preserve">Survey differences in phylum and species composition by gender.</w:t>
      </w:r>
    </w:p>
    <w:p>
      <w:pPr>
        <w:numPr>
          <w:ilvl w:val="0"/>
          <w:numId w:val="1043"/>
        </w:numPr>
        <w:pStyle w:val="Compact"/>
      </w:pPr>
      <w:r>
        <w:t xml:space="preserve">Plot differences in species for a high abundance phylum by gender.</w:t>
      </w:r>
    </w:p>
    <w:p>
      <w:pPr>
        <w:numPr>
          <w:ilvl w:val="0"/>
          <w:numId w:val="1043"/>
        </w:numPr>
        <w:pStyle w:val="Compact"/>
      </w:pPr>
      <w:r>
        <w:t xml:space="preserve">Plot differences in species for a low abundance phylum by gender.</w:t>
      </w:r>
    </w:p>
    <w:p>
      <w:pPr>
        <w:numPr>
          <w:ilvl w:val="0"/>
          <w:numId w:val="1043"/>
        </w:numPr>
        <w:pStyle w:val="Compact"/>
      </w:pPr>
      <w:r>
        <w:t xml:space="preserve">Plot two candidate microbes reported in the literature to vary with gender.</w:t>
      </w:r>
    </w:p>
    <w:bookmarkEnd w:id="142"/>
    <w:bookmarkStart w:id="143" w:name="X1ad1701246c1eca43dcadb7b5da61951b044c41"/>
    <w:p>
      <w:pPr>
        <w:pStyle w:val="Heading4"/>
      </w:pPr>
      <w:r>
        <w:rPr>
          <w:rStyle w:val="SectionNumber"/>
        </w:rPr>
        <w:t xml:space="preserve">5.3.4.4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44"/>
        </w:numPr>
        <w:pStyle w:val="Compact"/>
      </w:pPr>
      <w:r>
        <w:t xml:space="preserve">Plot all Phyla based on age.</w:t>
      </w:r>
    </w:p>
    <w:p>
      <w:pPr>
        <w:numPr>
          <w:ilvl w:val="0"/>
          <w:numId w:val="1044"/>
        </w:numPr>
        <w:pStyle w:val="Compact"/>
      </w:pPr>
      <w:r>
        <w:t xml:space="preserve">Normalize age that includes multiple individuals to avoid overestimation (e.g., 2 individuals are of age 27, 46 and 58, and 3 individuals are 54).</w:t>
      </w:r>
    </w:p>
    <w:p>
      <w:pPr>
        <w:numPr>
          <w:ilvl w:val="0"/>
          <w:numId w:val="1044"/>
        </w:numPr>
        <w:pStyle w:val="Compact"/>
      </w:pPr>
      <w:r>
        <w:t xml:space="preserve">Profile candidate Phyla Firmicutes based on age.</w:t>
      </w:r>
    </w:p>
    <w:p>
      <w:pPr>
        <w:numPr>
          <w:ilvl w:val="0"/>
          <w:numId w:val="1044"/>
        </w:numPr>
        <w:pStyle w:val="Compact"/>
      </w:pPr>
      <w:r>
        <w:t xml:space="preserve">Profile candidate Phyla Bacteroidetes based on age.</w:t>
      </w:r>
    </w:p>
    <w:bookmarkEnd w:id="143"/>
    <w:bookmarkEnd w:id="144"/>
    <w:bookmarkStart w:id="145" w:name="grading-criteria-3"/>
    <w:p>
      <w:pPr>
        <w:pStyle w:val="Heading3"/>
      </w:pPr>
      <w:r>
        <w:rPr>
          <w:rStyle w:val="SectionNumber"/>
        </w:rPr>
        <w:t xml:space="preserve">5.3.5</w:t>
      </w:r>
      <w:r>
        <w:tab/>
      </w:r>
      <w:r>
        <w:t xml:space="preserve">Grading criteria</w:t>
      </w:r>
    </w:p>
    <w:p>
      <w:pPr>
        <w:numPr>
          <w:ilvl w:val="0"/>
          <w:numId w:val="1045"/>
        </w:numPr>
        <w:pStyle w:val="Compact"/>
      </w:pPr>
      <w:r>
        <w:t xml:space="preserve">Download the assignment to your local computer as a .docx, complete it, and upload the assignment to your LMS (Blackboard, Canvas, Google Classroom).</w:t>
      </w:r>
    </w:p>
    <w:bookmarkEnd w:id="145"/>
    <w:bookmarkStart w:id="150" w:name="footnotes-4"/>
    <w:p>
      <w:pPr>
        <w:pStyle w:val="Heading3"/>
      </w:pPr>
      <w:r>
        <w:rPr>
          <w:rStyle w:val="SectionNumber"/>
        </w:rPr>
        <w:t xml:space="preserve">5.3.6</w:t>
      </w:r>
      <w:r>
        <w:tab/>
      </w:r>
      <w:r>
        <w:t xml:space="preserve">Footnotes</w:t>
      </w:r>
    </w:p>
    <w:bookmarkStart w:id="148" w:name="resources-4"/>
    <w:p>
      <w:pPr>
        <w:pStyle w:val="Heading4"/>
      </w:pPr>
      <w:r>
        <w:rPr>
          <w:rStyle w:val="SectionNumber"/>
        </w:rPr>
        <w:t xml:space="preserve">5.3.6.1</w:t>
      </w:r>
      <w:r>
        <w:tab/>
      </w:r>
      <w:r>
        <w:t xml:space="preserve">Resources</w:t>
      </w:r>
    </w:p>
    <w:p>
      <w:pPr>
        <w:numPr>
          <w:ilvl w:val="0"/>
          <w:numId w:val="1046"/>
        </w:numPr>
      </w:pPr>
      <w:hyperlink r:id="rId120">
        <w:r>
          <w:rPr>
            <w:rStyle w:val="Hyperlink"/>
          </w:rPr>
          <w:t xml:space="preserve">Class Poster</w:t>
        </w:r>
      </w:hyperlink>
    </w:p>
    <w:p>
      <w:pPr>
        <w:numPr>
          <w:ilvl w:val="0"/>
          <w:numId w:val="1046"/>
        </w:numPr>
      </w:pPr>
      <w:hyperlink r:id="rId146">
        <w:r>
          <w:rPr>
            <w:rStyle w:val="Hyperlink"/>
          </w:rPr>
          <w:t xml:space="preserve">Google Doc</w:t>
        </w:r>
      </w:hyperlink>
    </w:p>
    <w:p>
      <w:pPr>
        <w:numPr>
          <w:ilvl w:val="0"/>
          <w:numId w:val="1046"/>
        </w:numPr>
      </w:pPr>
      <w:hyperlink r:id="rId147">
        <w:r>
          <w:rPr>
            <w:rStyle w:val="Hyperlink"/>
          </w:rPr>
          <w:t xml:space="preserve">16S rRNA R Quick Reference</w:t>
        </w:r>
      </w:hyperlink>
    </w:p>
    <w:bookmarkEnd w:id="148"/>
    <w:bookmarkStart w:id="149" w:name="contributions-and-affiliations-4"/>
    <w:p>
      <w:pPr>
        <w:pStyle w:val="Heading4"/>
      </w:pPr>
      <w:r>
        <w:rPr>
          <w:rStyle w:val="SectionNumber"/>
        </w:rPr>
        <w:t xml:space="preserve">5.3.6.2</w:t>
      </w:r>
      <w:r>
        <w:tab/>
      </w:r>
      <w: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Gauri Paul, Clovis Community College</w:t>
      </w:r>
    </w:p>
    <w:p>
      <w:pPr>
        <w:numPr>
          <w:ilvl w:val="0"/>
          <w:numId w:val="1047"/>
        </w:numPr>
        <w:pStyle w:val="Compact"/>
      </w:pPr>
      <w:r>
        <w:t xml:space="preserve">Frederick Tan, Johns Hopkins University</w:t>
      </w:r>
    </w:p>
    <w:p>
      <w:pPr>
        <w:numPr>
          <w:ilvl w:val="0"/>
          <w:numId w:val="1047"/>
        </w:numPr>
        <w:pStyle w:val="Compact"/>
      </w:pPr>
      <w:r>
        <w:t xml:space="preserve">Sayumi York, Notre Dame of Maryland University</w:t>
      </w:r>
    </w:p>
    <w:bookmarkEnd w:id="149"/>
    <w:bookmarkEnd w:id="150"/>
    <w:bookmarkEnd w:id="151"/>
    <w:bookmarkStart w:id="154" w:name="X4d4ca1b452e7987c69de277e9ce95c54822fb0d"/>
    <w:p>
      <w:pPr>
        <w:pStyle w:val="Heading2"/>
      </w:pPr>
      <w:r>
        <w:rPr>
          <w:rStyle w:val="SectionNumber"/>
        </w:rPr>
        <w:t xml:space="preserve">5.4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52" w:name="Xc42490a7e52876b0cf8b34ba878c458ecf6c0d4"/>
    <w:p>
      <w:pPr>
        <w:pStyle w:val="Heading3"/>
      </w:pPr>
      <w:r>
        <w:rPr>
          <w:rStyle w:val="SectionNumber"/>
        </w:rPr>
        <w:t xml:space="preserve">5.4.1</w:t>
      </w:r>
      <w:r>
        <w:tab/>
      </w:r>
      <w:r>
        <w:t xml:space="preserve">Step 1A: Plot high-level taxonomy (Phylum level) for each timepoint using the plot_bar() function.** Specifically, your plot should show Phyla diversity across all 5 timepoints.</w:t>
      </w:r>
    </w:p>
    <w:p>
      <w:pPr>
        <w:numPr>
          <w:ilvl w:val="0"/>
          <w:numId w:val="1048"/>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48"/>
        </w:numPr>
        <w:pStyle w:val="Compact"/>
      </w:pPr>
      <w:r>
        <w:t xml:space="preserve">Ensure your plot has a title</w:t>
      </w:r>
    </w:p>
    <w:p>
      <w:pPr>
        <w:numPr>
          <w:ilvl w:val="0"/>
          <w:numId w:val="1048"/>
        </w:numPr>
        <w:pStyle w:val="Compact"/>
      </w:pPr>
      <w:r>
        <w:t xml:space="preserve">Remember, the BD diet includes timepoints 1 and 2, the HD diet includes timepoints 3 and 4, and the WO diet includes timepoint 5.</w:t>
      </w:r>
    </w:p>
    <w:p>
      <w:pPr>
        <w:numPr>
          <w:ilvl w:val="0"/>
          <w:numId w:val="1048"/>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49"/>
        </w:numPr>
        <w:pStyle w:val="Compact"/>
      </w:pPr>
      <w:r>
        <w:t xml:space="preserve">Include a list of the identified Phyla and their names</w:t>
      </w:r>
    </w:p>
    <w:p>
      <w:pPr>
        <w:numPr>
          <w:ilvl w:val="0"/>
          <w:numId w:val="1049"/>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2"/>
    <w:bookmarkStart w:id="153" w:name="Xc78212b44611b2036a33bea1f2cb97e3f1cb28f"/>
    <w:p>
      <w:pPr>
        <w:pStyle w:val="Heading3"/>
      </w:pPr>
      <w:r>
        <w:rPr>
          <w:rStyle w:val="SectionNumber"/>
        </w:rPr>
        <w:t xml:space="preserve">5.4.2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50"/>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5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51"/>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52"/>
        </w:numPr>
        <w:pStyle w:val="Compact"/>
      </w:pPr>
      <w:r>
        <w:t xml:space="preserve">Combine plot 1A-1 and 1B-1 into a single figure. Include their titles and short figure description (figure legend).</w:t>
      </w:r>
    </w:p>
    <w:p>
      <w:pPr>
        <w:numPr>
          <w:ilvl w:val="0"/>
          <w:numId w:val="1052"/>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3"/>
    <w:bookmarkEnd w:id="154"/>
    <w:bookmarkStart w:id="160" w:name="X52620bebbd61fa8f7bc585afe2b70105c561004"/>
    <w:p>
      <w:pPr>
        <w:pStyle w:val="Heading2"/>
      </w:pPr>
      <w:r>
        <w:rPr>
          <w:rStyle w:val="SectionNumber"/>
        </w:rPr>
        <w:t xml:space="preserve">5.5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155" w:name="X7b48b8da6143e29cbbda40ca37a070df2933ae3"/>
    <w:p>
      <w:pPr>
        <w:pStyle w:val="Heading3"/>
      </w:pPr>
      <w:r>
        <w:rPr>
          <w:rStyle w:val="SectionNumber"/>
        </w:rPr>
        <w:t xml:space="preserve">5.5.1</w:t>
      </w:r>
      <w:r>
        <w:tab/>
      </w:r>
      <w:r>
        <w:t xml:space="preserve">Step 2A. Plot Phyla across all subjects and identify the most abundant Phyla.** Specifically, your plot should show Phyla diversity across all 21 individuals.</w:t>
      </w:r>
    </w:p>
    <w:p>
      <w:pPr>
        <w:numPr>
          <w:ilvl w:val="0"/>
          <w:numId w:val="1053"/>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53"/>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155"/>
    <w:bookmarkStart w:id="159" w:name="X7139f1be24f956f0f40afe6682cc8c0c7c9716b"/>
    <w:p>
      <w:pPr>
        <w:pStyle w:val="Heading3"/>
      </w:pPr>
      <w:r>
        <w:rPr>
          <w:rStyle w:val="SectionNumber"/>
        </w:rPr>
        <w:t xml:space="preserve">5.5.2</w:t>
      </w:r>
      <w:r>
        <w:tab/>
      </w:r>
      <w:r>
        <w:t xml:space="preserve">Step 2B. Subset the most abundant Phyla, and plot Order (Skip Class)</w:t>
      </w:r>
    </w:p>
    <w:p>
      <w:pPr>
        <w:numPr>
          <w:ilvl w:val="0"/>
          <w:numId w:val="105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156" w:name="Xabbdf55606f58d7d6fafd9bc2edb7defe600b03"/>
    <w:p>
      <w:pPr>
        <w:pStyle w:val="Heading4"/>
      </w:pPr>
      <w:r>
        <w:rPr>
          <w:rStyle w:val="SectionNumber"/>
        </w:rPr>
        <w:t xml:space="preserve">5.5.2.1</w:t>
      </w:r>
      <w:r>
        <w:tab/>
      </w:r>
      <w:r>
        <w:t xml:space="preserve">Step 2C. Subset the most abundant Order, and plot associated Family</w:t>
      </w:r>
    </w:p>
    <w:p>
      <w:pPr>
        <w:numPr>
          <w:ilvl w:val="0"/>
          <w:numId w:val="1055"/>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5"/>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156"/>
    <w:bookmarkStart w:id="157" w:name="X8503efb866327a0b909fbc74abc6bbf2b7abd54"/>
    <w:p>
      <w:pPr>
        <w:pStyle w:val="Heading4"/>
      </w:pPr>
      <w:r>
        <w:rPr>
          <w:rStyle w:val="SectionNumber"/>
        </w:rPr>
        <w:t xml:space="preserve">5.5.2.2</w:t>
      </w:r>
      <w:r>
        <w:tab/>
      </w:r>
      <w:r>
        <w:t xml:space="preserve">Step 2D. Subset most abundant Family, and plot associated Genus</w:t>
      </w:r>
    </w:p>
    <w:p>
      <w:pPr>
        <w:numPr>
          <w:ilvl w:val="0"/>
          <w:numId w:val="105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6"/>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157"/>
    <w:bookmarkStart w:id="158" w:name="X297f878056c0b28dc2a46fdbf7aa111b883b0b1"/>
    <w:p>
      <w:pPr>
        <w:pStyle w:val="Heading4"/>
      </w:pPr>
      <w:r>
        <w:rPr>
          <w:rStyle w:val="SectionNumber"/>
        </w:rPr>
        <w:t xml:space="preserve">5.5.2.3</w:t>
      </w:r>
      <w:r>
        <w:tab/>
      </w:r>
      <w:r>
        <w:t xml:space="preserve">Step 2E. Subset the most abundant Genus, and plot associated Species</w:t>
      </w:r>
    </w:p>
    <w:p>
      <w:pPr>
        <w:numPr>
          <w:ilvl w:val="0"/>
          <w:numId w:val="1057"/>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7"/>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58"/>
        </w:numPr>
      </w:pPr>
      <w:r>
        <w:t xml:space="preserve">Note, given the many different Species associated with an abundant Genus, we may need to reduce the legend text and key size in order to visualize the plot better.</w:t>
      </w:r>
    </w:p>
    <w:p>
      <w:pPr>
        <w:numPr>
          <w:ilvl w:val="0"/>
          <w:numId w:val="1058"/>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59"/>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59"/>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8"/>
    <w:bookmarkEnd w:id="159"/>
    <w:bookmarkEnd w:id="160"/>
    <w:bookmarkStart w:id="165" w:name="Xf07bdb27473f6c68d614de5835bcfe771092cc5"/>
    <w:p>
      <w:pPr>
        <w:pStyle w:val="Heading2"/>
      </w:pPr>
      <w:r>
        <w:rPr>
          <w:rStyle w:val="SectionNumber"/>
        </w:rPr>
        <w:t xml:space="preserve">5.6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161" w:name="X30c62400bcd05f0224a1b73321b93f9cca6d687"/>
    <w:p>
      <w:pPr>
        <w:pStyle w:val="Heading4"/>
      </w:pPr>
      <w:r>
        <w:rPr>
          <w:rStyle w:val="SectionNumber"/>
        </w:rPr>
        <w:t xml:space="preserve">5.6.0.1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60"/>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60"/>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161"/>
    <w:bookmarkStart w:id="162" w:name="X489b42404d1e8570eb5f41cc0ab48400a0c8e3f"/>
    <w:p>
      <w:pPr>
        <w:pStyle w:val="Heading4"/>
      </w:pPr>
      <w:r>
        <w:rPr>
          <w:rStyle w:val="SectionNumber"/>
        </w:rPr>
        <w:t xml:space="preserve">5.6.0.2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6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1"/>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62"/>
        </w:numPr>
      </w:pPr>
      <w:r>
        <w:t xml:space="preserve">Note, given the many different Species associated with an abundant Genus, we may need to reduce the legend text and key size in order to visualize the plot better.</w:t>
      </w:r>
    </w:p>
    <w:p>
      <w:pPr>
        <w:numPr>
          <w:ilvl w:val="0"/>
          <w:numId w:val="1062"/>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162"/>
    <w:bookmarkStart w:id="163" w:name="Xb894903059dcddb99417701dd118a39d26ae795"/>
    <w:p>
      <w:pPr>
        <w:pStyle w:val="Heading3"/>
      </w:pPr>
      <w:r>
        <w:rPr>
          <w:rStyle w:val="SectionNumber"/>
        </w:rPr>
        <w:t xml:space="preserve">5.6.1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63"/>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3"/>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163"/>
    <w:bookmarkStart w:id="164" w:name="X5f70ddfa74df22de0026f05f7ad8eac7deb90ee"/>
    <w:p>
      <w:pPr>
        <w:pStyle w:val="Heading3"/>
      </w:pPr>
      <w:r>
        <w:rPr>
          <w:rStyle w:val="SectionNumber"/>
        </w:rPr>
        <w:t xml:space="preserve">5.6.2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6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65"/>
        </w:numPr>
        <w:pStyle w:val="Compact"/>
      </w:pPr>
      <w:r>
        <w:t xml:space="preserve">Phylum: Proteobacteria</w:t>
      </w:r>
    </w:p>
    <w:p>
      <w:pPr>
        <w:numPr>
          <w:ilvl w:val="0"/>
          <w:numId w:val="1065"/>
        </w:numPr>
        <w:pStyle w:val="Compact"/>
      </w:pPr>
      <w:r>
        <w:t xml:space="preserve">Order: Clostridiales</w:t>
      </w:r>
    </w:p>
    <w:p>
      <w:pPr>
        <w:numPr>
          <w:ilvl w:val="0"/>
          <w:numId w:val="1065"/>
        </w:numPr>
        <w:pStyle w:val="Compact"/>
      </w:pPr>
      <w:r>
        <w:t xml:space="preserve">Family: Ruminococcaceae</w:t>
      </w:r>
    </w:p>
    <w:p>
      <w:pPr>
        <w:numPr>
          <w:ilvl w:val="0"/>
          <w:numId w:val="1065"/>
        </w:numPr>
        <w:pStyle w:val="Compact"/>
      </w:pPr>
      <w:r>
        <w:t xml:space="preserve">Genus: Prevotella</w:t>
      </w:r>
    </w:p>
    <w:p>
      <w:pPr>
        <w:numPr>
          <w:ilvl w:val="0"/>
          <w:numId w:val="1065"/>
        </w:numPr>
        <w:pStyle w:val="Compact"/>
      </w:pPr>
      <w:r>
        <w:t xml:space="preserve">Genus: Fusobacterium</w:t>
      </w:r>
    </w:p>
    <w:p>
      <w:pPr>
        <w:numPr>
          <w:ilvl w:val="0"/>
          <w:numId w:val="1065"/>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4"/>
    <w:bookmarkEnd w:id="165"/>
    <w:bookmarkStart w:id="169" w:name="X5ffbbefb093f912e8383b28a8f1ea2e66a65dbd"/>
    <w:p>
      <w:pPr>
        <w:pStyle w:val="Heading2"/>
      </w:pPr>
      <w:r>
        <w:rPr>
          <w:rStyle w:val="SectionNumber"/>
        </w:rPr>
        <w:t xml:space="preserve">5.7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166" w:name="X2622e4cbd51e6b50ddd7c4fe93f1862f3f7f850"/>
    <w:p>
      <w:pPr>
        <w:pStyle w:val="Heading3"/>
      </w:pPr>
      <w:r>
        <w:rPr>
          <w:rStyle w:val="SectionNumber"/>
        </w:rPr>
        <w:t xml:space="preserve">5.7.1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6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66"/>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67"/>
        </w:numPr>
        <w:pStyle w:val="Compact"/>
      </w:pPr>
      <w:r>
        <w:t xml:space="preserve">You probably found it difficult to discern any differences.</w:t>
      </w:r>
    </w:p>
    <w:p>
      <w:pPr>
        <w:numPr>
          <w:ilvl w:val="0"/>
          <w:numId w:val="1067"/>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166"/>
    <w:bookmarkStart w:id="167" w:name="X4d702404d7626cb25beef07571773745b349ee9"/>
    <w:p>
      <w:pPr>
        <w:pStyle w:val="Heading3"/>
      </w:pPr>
      <w:r>
        <w:rPr>
          <w:rStyle w:val="SectionNumber"/>
        </w:rPr>
        <w:t xml:space="preserve">5.7.2</w:t>
      </w:r>
      <w:r>
        <w:tab/>
      </w:r>
      <w:r>
        <w:t xml:space="preserve">Step 4B. Merge samples by age, then re-normalize and finally re-plot Phyla by age.</w:t>
      </w:r>
    </w:p>
    <w:p>
      <w:pPr>
        <w:numPr>
          <w:ilvl w:val="0"/>
          <w:numId w:val="1068"/>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69"/>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70"/>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71"/>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72"/>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167"/>
    <w:bookmarkStart w:id="168" w:name="Xb0dde540f1329d426b80139059fb81b3e14b6a6"/>
    <w:p>
      <w:pPr>
        <w:pStyle w:val="Heading3"/>
      </w:pPr>
      <w:r>
        <w:rPr>
          <w:rStyle w:val="SectionNumber"/>
        </w:rPr>
        <w:t xml:space="preserve">5.7.3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73"/>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3"/>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8"/>
    <w:bookmarkEnd w:id="169"/>
    <w:bookmarkEnd w:id="170"/>
    <w:bookmarkStart w:id="213" w:name="analyzing-16s-rrna-data-with-phyloseq"/>
    <w:p>
      <w:pPr>
        <w:pStyle w:val="Heading1"/>
      </w:pPr>
      <w:r>
        <w:rPr>
          <w:rStyle w:val="SectionNumber"/>
        </w:rPr>
        <w:t xml:space="preserve">6</w:t>
      </w:r>
      <w:r>
        <w:tab/>
      </w:r>
      <w:r>
        <w:t xml:space="preserve">Analyzing 16S rRNA Data with phyloseq</w:t>
      </w:r>
    </w:p>
    <w:bookmarkStart w:id="171" w:name="analyzing-16s-rrna-data-with-phyloseq-1"/>
    <w:p>
      <w:pPr>
        <w:pStyle w:val="Heading2"/>
      </w:pPr>
      <w:r>
        <w:rPr>
          <w:rStyle w:val="SectionNumber"/>
        </w:rPr>
        <w:t xml:space="preserve">6.1</w:t>
      </w:r>
      <w:r>
        <w:tab/>
      </w:r>
      <w:r>
        <w:t xml:space="preserve">Analyzing 16S rRNA Data with phyloseq</w:t>
      </w:r>
    </w:p>
    <w:bookmarkEnd w:id="171"/>
    <w:bookmarkStart w:id="176" w:name="Xc987d52058f3cfdde5814fbc9ed44a17b9bd862"/>
    <w:p>
      <w:pPr>
        <w:pStyle w:val="Heading2"/>
      </w:pPr>
      <w:r>
        <w:rPr>
          <w:rStyle w:val="SectionNumber"/>
        </w:rPr>
        <w:t xml:space="preserve">6.2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3" name="Picture"/>
            <a:graphic>
              <a:graphicData uri="http://schemas.openxmlformats.org/drawingml/2006/picture">
                <pic:pic>
                  <pic:nvPicPr>
                    <pic:cNvPr descr="resources/images/analyze-phyloseq_files/figure-docx//1QZbSBPOGkBeizh1L45C6EaktOxl6pqrTDGNIncHQ5lY_g35f391192_00.png" id="174"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75">
        <w:r>
          <w:rPr>
            <w:rStyle w:val="Hyperlink"/>
          </w:rPr>
          <w:t xml:space="preserve">Lecture</w:t>
        </w:r>
      </w:hyperlink>
    </w:p>
    <w:bookmarkEnd w:id="176"/>
    <w:bookmarkStart w:id="190" w:name="X8f91bb87d0455a3b5505646cf528f27e7ba8c11"/>
    <w:p>
      <w:pPr>
        <w:pStyle w:val="Heading2"/>
      </w:pPr>
      <w:r>
        <w:rPr>
          <w:rStyle w:val="SectionNumber"/>
        </w:rPr>
        <w:t xml:space="preserve">6.3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74"/>
        </w:numPr>
        <w:pStyle w:val="Compact"/>
      </w:pPr>
      <w:r>
        <w:rPr>
          <w:bCs/>
          <w:b/>
        </w:rPr>
        <w:t xml:space="preserve">phyloseq</w:t>
      </w:r>
      <w:r>
        <w:t xml:space="preserve">: A popular package for taxonomy profiling</w:t>
      </w:r>
    </w:p>
    <w:p>
      <w:pPr>
        <w:numPr>
          <w:ilvl w:val="0"/>
          <w:numId w:val="1074"/>
        </w:numPr>
        <w:pStyle w:val="Compact"/>
      </w:pPr>
      <w:r>
        <w:rPr>
          <w:bCs/>
          <w:b/>
        </w:rPr>
        <w:t xml:space="preserve">DESeq2</w:t>
      </w:r>
      <w:r>
        <w:t xml:space="preserve">: A package originally designed for differential expression which we will use for differential abundance</w:t>
      </w:r>
    </w:p>
    <w:p>
      <w:pPr>
        <w:numPr>
          <w:ilvl w:val="0"/>
          <w:numId w:val="1074"/>
        </w:numPr>
        <w:pStyle w:val="Compact"/>
      </w:pPr>
      <w:r>
        <w:rPr>
          <w:bCs/>
          <w:b/>
        </w:rPr>
        <w:t xml:space="preserve">ggplot2</w:t>
      </w:r>
      <w:r>
        <w:t xml:space="preserve">: A tidyverse package that produces high-quality figures</w:t>
      </w:r>
    </w:p>
    <w:bookmarkStart w:id="177" w:name="learning-objectives-3"/>
    <w:p>
      <w:pPr>
        <w:pStyle w:val="Heading3"/>
      </w:pPr>
      <w:r>
        <w:rPr>
          <w:rStyle w:val="SectionNumber"/>
        </w:rPr>
        <w:t xml:space="preserve">6.3.1</w:t>
      </w:r>
      <w:r>
        <w:tab/>
      </w:r>
      <w:r>
        <w:t xml:space="preserve">Learning objectives</w:t>
      </w:r>
    </w:p>
    <w:p>
      <w:pPr>
        <w:numPr>
          <w:ilvl w:val="0"/>
          <w:numId w:val="1075"/>
        </w:numPr>
        <w:pStyle w:val="Compact"/>
      </w:pPr>
      <w:r>
        <w:t xml:space="preserve">Use phyloseq to cluster samples based on the similarity of their microbial compositions using multidimensional scaling methods (NMDS or PCoA)</w:t>
      </w:r>
    </w:p>
    <w:p>
      <w:pPr>
        <w:numPr>
          <w:ilvl w:val="0"/>
          <w:numId w:val="1075"/>
        </w:numPr>
        <w:pStyle w:val="Compact"/>
      </w:pPr>
      <w:r>
        <w:t xml:space="preserve">Use phyloseq to profile alpha diversity (Shannon and Simpson’s indices)</w:t>
      </w:r>
    </w:p>
    <w:p>
      <w:pPr>
        <w:numPr>
          <w:ilvl w:val="0"/>
          <w:numId w:val="1075"/>
        </w:numPr>
        <w:pStyle w:val="Compact"/>
      </w:pPr>
      <w:r>
        <w:t xml:space="preserve">Use DESeq2 to perform differential abundance analysis</w:t>
      </w:r>
    </w:p>
    <w:bookmarkEnd w:id="177"/>
    <w:bookmarkStart w:id="178" w:name="introduction-4"/>
    <w:p>
      <w:pPr>
        <w:pStyle w:val="Heading3"/>
      </w:pPr>
      <w:r>
        <w:rPr>
          <w:rStyle w:val="SectionNumber"/>
        </w:rPr>
        <w:t xml:space="preserve">6.3.2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178"/>
    <w:bookmarkStart w:id="179" w:name="X86de0bad542461c14caf91529ba08092a314e92"/>
    <w:p>
      <w:pPr>
        <w:pStyle w:val="Heading3"/>
      </w:pPr>
      <w:r>
        <w:rPr>
          <w:rStyle w:val="SectionNumber"/>
        </w:rPr>
        <w:t xml:space="preserve">6.3.3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76"/>
        </w:numPr>
        <w:pStyle w:val="Compact"/>
      </w:pPr>
      <w:r>
        <w:t xml:space="preserve">Log into SciServer, click on compute, and create a new C-MOOR LearnR container. When creating a container, remember to:</w:t>
      </w:r>
    </w:p>
    <w:p>
      <w:pPr>
        <w:numPr>
          <w:ilvl w:val="0"/>
          <w:numId w:val="1077"/>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77"/>
        </w:numPr>
        <w:pStyle w:val="Compact"/>
      </w:pPr>
      <w:r>
        <w:t xml:space="preserve">Check the box next to Data volume</w:t>
      </w:r>
      <w:r>
        <w:t xml:space="preserve"> </w:t>
      </w:r>
      <w:r>
        <w:t xml:space="preserve">“</w:t>
      </w:r>
      <w:r>
        <w:t xml:space="preserve">C-MOOR Data</w:t>
      </w:r>
      <w:r>
        <w:t xml:space="preserve">”</w:t>
      </w:r>
    </w:p>
    <w:p>
      <w:pPr>
        <w:numPr>
          <w:ilvl w:val="0"/>
          <w:numId w:val="1078"/>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07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78"/>
        </w:numPr>
        <w:pStyle w:val="Compact"/>
      </w:pPr>
      <w:r>
        <w:t xml:space="preserve">This tutorial has small boxes in which you can enter and run short lines of code to analyze the data.</w:t>
      </w:r>
    </w:p>
    <w:p>
      <w:pPr>
        <w:numPr>
          <w:ilvl w:val="0"/>
          <w:numId w:val="1078"/>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079"/>
        </w:numPr>
        <w:pStyle w:val="Compact"/>
      </w:pPr>
      <w:r>
        <w:t xml:space="preserve">Subsets the Bacteroidetes phylum</w:t>
      </w:r>
    </w:p>
    <w:p>
      <w:pPr>
        <w:numPr>
          <w:ilvl w:val="0"/>
          <w:numId w:val="1079"/>
        </w:numPr>
        <w:pStyle w:val="Compact"/>
      </w:pPr>
      <w:r>
        <w:t xml:space="preserve">Color is by subject</w:t>
      </w:r>
    </w:p>
    <w:p>
      <w:pPr>
        <w:numPr>
          <w:ilvl w:val="0"/>
          <w:numId w:val="1079"/>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79"/>
    <w:bookmarkStart w:id="184" w:name="activity-2-try-it-out-questions-1"/>
    <w:p>
      <w:pPr>
        <w:pStyle w:val="Heading3"/>
      </w:pPr>
      <w:r>
        <w:rPr>
          <w:rStyle w:val="SectionNumber"/>
        </w:rPr>
        <w:t xml:space="preserve">6.3.4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20">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180" w:name="Xd7fe6c5293c3dabe27f88cf1c7ce09a9de27f08"/>
    <w:p>
      <w:pPr>
        <w:pStyle w:val="Heading4"/>
      </w:pPr>
      <w:r>
        <w:rPr>
          <w:rStyle w:val="SectionNumber"/>
        </w:rPr>
        <w:t xml:space="preserve">6.3.4.1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080"/>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080"/>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080"/>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080"/>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080"/>
        </w:numPr>
        <w:pStyle w:val="Compact"/>
      </w:pPr>
      <w:r>
        <w:t xml:space="preserve">Evaluate the impact of gender on alpha diversity by plotting ASVs based on the 5 different levels of metabolites in the study (Creatinine, PCS, IS, HIPP, PAG).</w:t>
      </w:r>
    </w:p>
    <w:bookmarkEnd w:id="180"/>
    <w:bookmarkStart w:id="181" w:name="Xce8ba0af66d77c0493c92044e197fc52f25ceec"/>
    <w:p>
      <w:pPr>
        <w:pStyle w:val="Heading4"/>
      </w:pPr>
      <w:r>
        <w:rPr>
          <w:rStyle w:val="SectionNumber"/>
        </w:rPr>
        <w:t xml:space="preserve">6.3.4.2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081"/>
        </w:numPr>
        <w:pStyle w:val="Compact"/>
      </w:pPr>
      <w:r>
        <w:t xml:space="preserve">Make a PCoA plot, ordinate on the entire dataset (all ASVs) and color by individual. Investigate the shape of the resulting PCoA plot.</w:t>
      </w:r>
    </w:p>
    <w:p>
      <w:pPr>
        <w:numPr>
          <w:ilvl w:val="0"/>
          <w:numId w:val="1081"/>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081"/>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181"/>
    <w:bookmarkStart w:id="182" w:name="X42c4a4c2165e20d75f675444fe8cf678c8bf11b"/>
    <w:p>
      <w:pPr>
        <w:pStyle w:val="Heading4"/>
      </w:pPr>
      <w:r>
        <w:rPr>
          <w:rStyle w:val="SectionNumber"/>
        </w:rPr>
        <w:t xml:space="preserve">6.3.4.3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082"/>
        </w:numPr>
        <w:pStyle w:val="Compact"/>
      </w:pPr>
      <w:r>
        <w:t xml:space="preserve">Perform DESeq2 analysis between females and males and identify differences.</w:t>
      </w:r>
    </w:p>
    <w:p>
      <w:pPr>
        <w:numPr>
          <w:ilvl w:val="0"/>
          <w:numId w:val="1082"/>
        </w:numPr>
        <w:pStyle w:val="Compact"/>
      </w:pPr>
      <w:r>
        <w:t xml:space="preserve">Test if younger age contributes to differential microbe abundance between females and males by subsetting younger (&lt; 50 years old) individuals.</w:t>
      </w:r>
    </w:p>
    <w:p>
      <w:pPr>
        <w:numPr>
          <w:ilvl w:val="0"/>
          <w:numId w:val="1082"/>
        </w:numPr>
        <w:pStyle w:val="Compact"/>
      </w:pPr>
      <w:r>
        <w:t xml:space="preserve">Test if older age contributes to differential microbe abundance between females and males by subsetting older (&gt; 50 years old) individuals.</w:t>
      </w:r>
    </w:p>
    <w:bookmarkEnd w:id="182"/>
    <w:bookmarkStart w:id="183" w:name="X589fd5694809ec29780eb6eef5817c774102113"/>
    <w:p>
      <w:pPr>
        <w:pStyle w:val="Heading4"/>
      </w:pPr>
      <w:r>
        <w:rPr>
          <w:rStyle w:val="SectionNumber"/>
        </w:rPr>
        <w:t xml:space="preserve">6.3.4.4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083"/>
        </w:numPr>
        <w:pStyle w:val="Compact"/>
      </w:pPr>
      <w:r>
        <w:t xml:space="preserve">Plot alpha diversity based age for the population in general, and then for individuals subsetted for BD, HD and WO diets. Look for shifts in alpha diversity with change in diet.</w:t>
      </w:r>
    </w:p>
    <w:p>
      <w:pPr>
        <w:numPr>
          <w:ilvl w:val="0"/>
          <w:numId w:val="1083"/>
        </w:numPr>
        <w:pStyle w:val="Compact"/>
      </w:pPr>
      <w:r>
        <w:t xml:space="preserve">Perform DESeq2 analysis based on the diet for the population in general, establishing baseline differential abundance between dietary groups HD and BD.</w:t>
      </w:r>
    </w:p>
    <w:p>
      <w:pPr>
        <w:numPr>
          <w:ilvl w:val="0"/>
          <w:numId w:val="1083"/>
        </w:numPr>
        <w:pStyle w:val="Compact"/>
      </w:pPr>
      <w:r>
        <w:t xml:space="preserve">Perform DESeq2 analysis based on the diet for the younger (&lt;= 50 yo) and older (&gt;=50 yo) individuals, evaluating age-associated changes in differential abundance between dietary groups HD and BD.</w:t>
      </w:r>
    </w:p>
    <w:bookmarkEnd w:id="183"/>
    <w:bookmarkEnd w:id="184"/>
    <w:bookmarkStart w:id="185" w:name="grading-criteria-4"/>
    <w:p>
      <w:pPr>
        <w:pStyle w:val="Heading3"/>
      </w:pPr>
      <w:r>
        <w:rPr>
          <w:rStyle w:val="SectionNumber"/>
        </w:rPr>
        <w:t xml:space="preserve">6.3.5</w:t>
      </w:r>
      <w:r>
        <w:tab/>
      </w:r>
      <w:r>
        <w:t xml:space="preserve">Grading criteria</w:t>
      </w:r>
    </w:p>
    <w:p>
      <w:pPr>
        <w:numPr>
          <w:ilvl w:val="0"/>
          <w:numId w:val="1084"/>
        </w:numPr>
        <w:pStyle w:val="Compact"/>
      </w:pPr>
      <w:r>
        <w:t xml:space="preserve">Download this assignment as Microsoft Word (.docx) and upload on Canvas</w:t>
      </w:r>
    </w:p>
    <w:bookmarkEnd w:id="185"/>
    <w:bookmarkStart w:id="189" w:name="footnotes-5"/>
    <w:p>
      <w:pPr>
        <w:pStyle w:val="Heading3"/>
      </w:pPr>
      <w:r>
        <w:rPr>
          <w:rStyle w:val="SectionNumber"/>
        </w:rPr>
        <w:t xml:space="preserve">6.3.6</w:t>
      </w:r>
      <w:r>
        <w:tab/>
      </w:r>
      <w:r>
        <w:t xml:space="preserve">Footnotes</w:t>
      </w:r>
    </w:p>
    <w:bookmarkStart w:id="187" w:name="resources-5"/>
    <w:p>
      <w:pPr>
        <w:pStyle w:val="Heading4"/>
      </w:pPr>
      <w:r>
        <w:rPr>
          <w:rStyle w:val="SectionNumber"/>
        </w:rPr>
        <w:t xml:space="preserve">6.3.6.1</w:t>
      </w:r>
      <w:r>
        <w:tab/>
      </w:r>
      <w:r>
        <w:t xml:space="preserve">Resources</w:t>
      </w:r>
    </w:p>
    <w:p>
      <w:pPr>
        <w:pStyle w:val="FirstParagraph"/>
      </w:pPr>
      <w:hyperlink r:id="rId186">
        <w:r>
          <w:rPr>
            <w:rStyle w:val="Hyperlink"/>
          </w:rPr>
          <w:t xml:space="preserve">Google Doc</w:t>
        </w:r>
      </w:hyperlink>
    </w:p>
    <w:bookmarkEnd w:id="187"/>
    <w:bookmarkStart w:id="188" w:name="contributions-and-affiliations-5"/>
    <w:p>
      <w:pPr>
        <w:pStyle w:val="Heading4"/>
      </w:pPr>
      <w:r>
        <w:rPr>
          <w:rStyle w:val="SectionNumber"/>
        </w:rPr>
        <w:t xml:space="preserve">6.3.6.2</w:t>
      </w:r>
      <w:r>
        <w:tab/>
      </w:r>
      <w: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Gauri Paul, Clovis Community College</w:t>
      </w:r>
    </w:p>
    <w:p>
      <w:pPr>
        <w:numPr>
          <w:ilvl w:val="0"/>
          <w:numId w:val="1085"/>
        </w:numPr>
        <w:pStyle w:val="Compact"/>
      </w:pPr>
      <w:r>
        <w:t xml:space="preserve">Frederick Tan, Johns Hopkins University</w:t>
      </w:r>
    </w:p>
    <w:p>
      <w:pPr>
        <w:numPr>
          <w:ilvl w:val="0"/>
          <w:numId w:val="1085"/>
        </w:numPr>
        <w:pStyle w:val="Compact"/>
      </w:pPr>
      <w:r>
        <w:t xml:space="preserve">Sayumi York, Notre Dame of Maryland University</w:t>
      </w:r>
    </w:p>
    <w:bookmarkEnd w:id="188"/>
    <w:bookmarkEnd w:id="189"/>
    <w:bookmarkEnd w:id="190"/>
    <w:bookmarkStart w:id="197" w:name="X6e72b077ebe1d568b55a78e6f7c82187a139671"/>
    <w:p>
      <w:pPr>
        <w:pStyle w:val="Heading2"/>
      </w:pPr>
      <w:r>
        <w:rPr>
          <w:rStyle w:val="SectionNumber"/>
        </w:rPr>
        <w:t xml:space="preserve">6.4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191" w:name="Xaf182b85ae6e5e29b42cf857378a05c8dc0f8da"/>
    <w:p>
      <w:pPr>
        <w:pStyle w:val="Heading3"/>
      </w:pPr>
      <w:r>
        <w:rPr>
          <w:rStyle w:val="SectionNumber"/>
        </w:rPr>
        <w:t xml:space="preserve">6.4.1</w:t>
      </w:r>
      <w:r>
        <w:tab/>
      </w:r>
      <w:r>
        <w:t xml:space="preserve">Step 1A. Plot alpha diversity of the full MISO dataset by subject (individuals).</w:t>
      </w:r>
    </w:p>
    <w:p>
      <w:pPr>
        <w:numPr>
          <w:ilvl w:val="0"/>
          <w:numId w:val="1086"/>
        </w:numPr>
        <w:pStyle w:val="Compact"/>
      </w:pPr>
      <w:r>
        <w:t xml:space="preserve">subject is on the x-axis</w:t>
      </w:r>
    </w:p>
    <w:p>
      <w:pPr>
        <w:numPr>
          <w:ilvl w:val="0"/>
          <w:numId w:val="1086"/>
        </w:numPr>
        <w:pStyle w:val="Compact"/>
      </w:pPr>
      <w:r>
        <w:t xml:space="preserve">Color is by subject</w:t>
      </w:r>
    </w:p>
    <w:p>
      <w:pPr>
        <w:numPr>
          <w:ilvl w:val="0"/>
          <w:numId w:val="108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1"/>
    <w:bookmarkStart w:id="192" w:name="X95a5bc41a2ceb0c13393477850239ebabf31d91"/>
    <w:p>
      <w:pPr>
        <w:pStyle w:val="Heading3"/>
      </w:pPr>
      <w:r>
        <w:rPr>
          <w:rStyle w:val="SectionNumber"/>
        </w:rPr>
        <w:t xml:space="preserve">6.4.2</w:t>
      </w:r>
      <w:r>
        <w:tab/>
      </w:r>
      <w:r>
        <w:t xml:space="preserve">Step 1B. Plot alpha diversity of the full MISO dataset, by timepointgroup.</w:t>
      </w:r>
    </w:p>
    <w:p>
      <w:pPr>
        <w:numPr>
          <w:ilvl w:val="0"/>
          <w:numId w:val="1087"/>
        </w:numPr>
        <w:pStyle w:val="Compact"/>
      </w:pPr>
      <w:r>
        <w:t xml:space="preserve">timepoint group is on the x-axis</w:t>
      </w:r>
    </w:p>
    <w:p>
      <w:pPr>
        <w:numPr>
          <w:ilvl w:val="0"/>
          <w:numId w:val="1087"/>
        </w:numPr>
        <w:pStyle w:val="Compact"/>
      </w:pPr>
      <w:r>
        <w:t xml:space="preserve">Color is by subject</w:t>
      </w:r>
    </w:p>
    <w:p>
      <w:pPr>
        <w:numPr>
          <w:ilvl w:val="0"/>
          <w:numId w:val="108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192"/>
    <w:bookmarkStart w:id="193" w:name="X03d73b1e28d9932bcdd5fa49a29cdf6e18ce075"/>
    <w:p>
      <w:pPr>
        <w:pStyle w:val="Heading3"/>
      </w:pPr>
      <w:r>
        <w:rPr>
          <w:rStyle w:val="SectionNumber"/>
        </w:rPr>
        <w:t xml:space="preserve">6.4.3</w:t>
      </w:r>
      <w:r>
        <w:tab/>
      </w:r>
      <w:r>
        <w:t xml:space="preserve">Step 1C. Plot alpha diversity of the full MISO dataset by age.</w:t>
      </w:r>
    </w:p>
    <w:p>
      <w:pPr>
        <w:numPr>
          <w:ilvl w:val="0"/>
          <w:numId w:val="1088"/>
        </w:numPr>
        <w:pStyle w:val="Compact"/>
      </w:pPr>
      <w:r>
        <w:t xml:space="preserve">age is on the x-axis</w:t>
      </w:r>
    </w:p>
    <w:p>
      <w:pPr>
        <w:numPr>
          <w:ilvl w:val="0"/>
          <w:numId w:val="1088"/>
        </w:numPr>
        <w:pStyle w:val="Compact"/>
      </w:pPr>
      <w:r>
        <w:t xml:space="preserve">Color is by subject</w:t>
      </w:r>
    </w:p>
    <w:p>
      <w:pPr>
        <w:numPr>
          <w:ilvl w:val="0"/>
          <w:numId w:val="1088"/>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3"/>
    <w:bookmarkStart w:id="194" w:name="X74afc393557a17bea599b20543f2769d957adaa"/>
    <w:p>
      <w:pPr>
        <w:pStyle w:val="Heading3"/>
      </w:pPr>
      <w:r>
        <w:rPr>
          <w:rStyle w:val="SectionNumber"/>
        </w:rPr>
        <w:t xml:space="preserve">6.4.4</w:t>
      </w:r>
      <w:r>
        <w:tab/>
      </w:r>
      <w:r>
        <w:t xml:space="preserve">Step 1D. Plot alpha diversity of the full MISO dataset by gender.</w:t>
      </w:r>
    </w:p>
    <w:p>
      <w:pPr>
        <w:numPr>
          <w:ilvl w:val="0"/>
          <w:numId w:val="1089"/>
        </w:numPr>
        <w:pStyle w:val="Compact"/>
      </w:pPr>
      <w:r>
        <w:t xml:space="preserve">gender is on the x-axis</w:t>
      </w:r>
    </w:p>
    <w:p>
      <w:pPr>
        <w:numPr>
          <w:ilvl w:val="0"/>
          <w:numId w:val="1089"/>
        </w:numPr>
        <w:pStyle w:val="Compact"/>
      </w:pPr>
      <w:r>
        <w:t xml:space="preserve">Color is by subject</w:t>
      </w:r>
    </w:p>
    <w:p>
      <w:pPr>
        <w:numPr>
          <w:ilvl w:val="0"/>
          <w:numId w:val="1089"/>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194"/>
    <w:bookmarkStart w:id="195" w:name="Xa64c90cdd633dbf4f262448999ee162edae5e66"/>
    <w:p>
      <w:pPr>
        <w:pStyle w:val="Heading3"/>
      </w:pPr>
      <w:r>
        <w:rPr>
          <w:rStyle w:val="SectionNumber"/>
        </w:rPr>
        <w:t xml:space="preserve">6.4.5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090"/>
        </w:numPr>
        <w:pStyle w:val="Compact"/>
      </w:pPr>
      <w:r>
        <w:t xml:space="preserve">metabolite on the x-axis (one at a time: Creatinine, PCS, IS, HIPP, PAG)</w:t>
      </w:r>
    </w:p>
    <w:p>
      <w:pPr>
        <w:numPr>
          <w:ilvl w:val="0"/>
          <w:numId w:val="1090"/>
        </w:numPr>
        <w:pStyle w:val="Compact"/>
      </w:pPr>
      <w:r>
        <w:t xml:space="preserve">Color is by subject</w:t>
      </w:r>
    </w:p>
    <w:p>
      <w:pPr>
        <w:numPr>
          <w:ilvl w:val="0"/>
          <w:numId w:val="109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195"/>
    <w:bookmarkStart w:id="196" w:name="X1d841a3602300eb409ac1022bd75f557782c5fa"/>
    <w:p>
      <w:pPr>
        <w:pStyle w:val="Heading3"/>
      </w:pPr>
      <w:r>
        <w:rPr>
          <w:rStyle w:val="SectionNumber"/>
        </w:rPr>
        <w:t xml:space="preserve">6.4.6</w:t>
      </w:r>
      <w:r>
        <w:tab/>
      </w:r>
      <w:r>
        <w:t xml:space="preserve">Step 3. Select data for poster and include the code used to generate the figure.</w:t>
      </w:r>
    </w:p>
    <w:p>
      <w:pPr>
        <w:numPr>
          <w:ilvl w:val="0"/>
          <w:numId w:val="1091"/>
        </w:numPr>
        <w:pStyle w:val="Compact"/>
      </w:pPr>
      <w:r>
        <w:t xml:space="preserve">Prepare your final figure and associated code for the poster.</w:t>
      </w:r>
    </w:p>
    <w:p>
      <w:pPr>
        <w:numPr>
          <w:ilvl w:val="0"/>
          <w:numId w:val="1091"/>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092"/>
        </w:numPr>
        <w:pStyle w:val="Compact"/>
      </w:pPr>
      <w:r>
        <w:t xml:space="preserve">Ensure you have a figure legend that explains your final figure.</w:t>
      </w:r>
    </w:p>
    <w:p>
      <w:pPr>
        <w:numPr>
          <w:ilvl w:val="0"/>
          <w:numId w:val="1092"/>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196"/>
    <w:bookmarkEnd w:id="197"/>
    <w:bookmarkStart w:id="202" w:name="X0c0171d6de6614d5b4dee402dd920b23c012e84"/>
    <w:p>
      <w:pPr>
        <w:pStyle w:val="Heading2"/>
      </w:pPr>
      <w:r>
        <w:rPr>
          <w:rStyle w:val="SectionNumber"/>
        </w:rPr>
        <w:t xml:space="preserve">6.5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198" w:name="Xdbe292352db7afac5a51548fc4f770f554d872d"/>
    <w:p>
      <w:pPr>
        <w:pStyle w:val="Heading3"/>
      </w:pPr>
      <w:r>
        <w:rPr>
          <w:rStyle w:val="SectionNumber"/>
        </w:rPr>
        <w:t xml:space="preserve">6.5.1</w:t>
      </w:r>
      <w:r>
        <w:tab/>
      </w:r>
      <w:r>
        <w:t xml:space="preserve">Step 1. Make a PcOA plot, ordinating on the entire miso dataset, and coloring by individual. Investigate resulting plot shape.</w:t>
      </w:r>
    </w:p>
    <w:p>
      <w:pPr>
        <w:numPr>
          <w:ilvl w:val="0"/>
          <w:numId w:val="1093"/>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093"/>
        </w:numPr>
      </w:pPr>
      <w:r>
        <w:t xml:space="preserve">Subsequent coloring of the pattern with metadata variables can reveal underlying relationships between data and experiment variables.</w:t>
      </w:r>
    </w:p>
    <w:p>
      <w:pPr>
        <w:numPr>
          <w:ilvl w:val="0"/>
          <w:numId w:val="1093"/>
        </w:numPr>
      </w:pPr>
      <w:r>
        <w:t xml:space="preserve">color - by subject</w:t>
      </w:r>
    </w:p>
    <w:p>
      <w:pPr>
        <w:numPr>
          <w:ilvl w:val="0"/>
          <w:numId w:val="1093"/>
        </w:numPr>
      </w:pPr>
      <w:r>
        <w:t xml:space="preserve">Include a title for your PCoA plot</w:t>
      </w:r>
    </w:p>
    <w:p>
      <w:pPr>
        <w:numPr>
          <w:ilvl w:val="0"/>
          <w:numId w:val="1093"/>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198"/>
    <w:bookmarkStart w:id="199" w:name="Xbdf29036cc93ad68605530d54a1b03bb1f90193"/>
    <w:p>
      <w:pPr>
        <w:pStyle w:val="Heading3"/>
      </w:pPr>
      <w:r>
        <w:rPr>
          <w:rStyle w:val="SectionNumber"/>
        </w:rPr>
        <w:t xml:space="preserve">6.5.2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094"/>
        </w:numPr>
        <w:pStyle w:val="Compact"/>
      </w:pPr>
      <w:r>
        <w:t xml:space="preserve">Color - by timepointgroup</w:t>
      </w:r>
    </w:p>
    <w:p>
      <w:pPr>
        <w:numPr>
          <w:ilvl w:val="0"/>
          <w:numId w:val="1094"/>
        </w:numPr>
        <w:pStyle w:val="Compact"/>
      </w:pPr>
      <w:r>
        <w:t xml:space="preserve">Include a title for your PcOA plot</w:t>
      </w:r>
    </w:p>
    <w:p>
      <w:pPr>
        <w:numPr>
          <w:ilvl w:val="0"/>
          <w:numId w:val="1094"/>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095"/>
        </w:numPr>
        <w:pStyle w:val="Compact"/>
      </w:pPr>
      <w:r>
        <w:t xml:space="preserve">Color - by gender</w:t>
      </w:r>
    </w:p>
    <w:p>
      <w:pPr>
        <w:numPr>
          <w:ilvl w:val="0"/>
          <w:numId w:val="1095"/>
        </w:numPr>
        <w:pStyle w:val="Compact"/>
      </w:pPr>
      <w:r>
        <w:t xml:space="preserve">Include a title for your PcOA plot</w:t>
      </w:r>
    </w:p>
    <w:p>
      <w:pPr>
        <w:numPr>
          <w:ilvl w:val="0"/>
          <w:numId w:val="1095"/>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096"/>
        </w:numPr>
        <w:pStyle w:val="Compact"/>
      </w:pPr>
      <w:r>
        <w:t xml:space="preserve">Color - age</w:t>
      </w:r>
    </w:p>
    <w:p>
      <w:pPr>
        <w:numPr>
          <w:ilvl w:val="0"/>
          <w:numId w:val="1096"/>
        </w:numPr>
        <w:pStyle w:val="Compact"/>
      </w:pPr>
      <w:r>
        <w:t xml:space="preserve">Include title name for your PcOA plot</w:t>
      </w:r>
    </w:p>
    <w:p>
      <w:pPr>
        <w:numPr>
          <w:ilvl w:val="0"/>
          <w:numId w:val="1096"/>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096"/>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199"/>
    <w:bookmarkStart w:id="200" w:name="Xb26c900387b81686f79fad443810f58b1a7fc4e"/>
    <w:p>
      <w:pPr>
        <w:pStyle w:val="Heading3"/>
      </w:pPr>
      <w:r>
        <w:rPr>
          <w:rStyle w:val="SectionNumber"/>
        </w:rPr>
        <w:t xml:space="preserve">6.5.3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097"/>
        </w:numPr>
        <w:pStyle w:val="Compact"/>
      </w:pPr>
      <w:r>
        <w:t xml:space="preserve">Color - metabolite one at a time: Creatinine, PCS, IS, HIPP, PAG</w:t>
      </w:r>
    </w:p>
    <w:p>
      <w:pPr>
        <w:numPr>
          <w:ilvl w:val="0"/>
          <w:numId w:val="1097"/>
        </w:numPr>
        <w:pStyle w:val="Compact"/>
      </w:pPr>
      <w:r>
        <w:t xml:space="preserve">Include a title for your PcOA plot</w:t>
      </w:r>
    </w:p>
    <w:p>
      <w:pPr>
        <w:numPr>
          <w:ilvl w:val="0"/>
          <w:numId w:val="1097"/>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00"/>
    <w:bookmarkStart w:id="201" w:name="Xa81b0a621064153c4331032af5404a6eb7d19b8"/>
    <w:p>
      <w:pPr>
        <w:pStyle w:val="Heading3"/>
      </w:pPr>
      <w:r>
        <w:rPr>
          <w:rStyle w:val="SectionNumber"/>
        </w:rPr>
        <w:t xml:space="preserve">6.5.4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098"/>
        </w:numPr>
        <w:pStyle w:val="Compact"/>
      </w:pPr>
      <w:r>
        <w:t xml:space="preserve">Subset data - by the timepointgroup</w:t>
      </w:r>
      <w:r>
        <w:t xml:space="preserve"> </w:t>
      </w:r>
      <w:r>
        <w:t xml:space="preserve">“</w:t>
      </w:r>
      <w:r>
        <w:t xml:space="preserve">HD</w:t>
      </w:r>
      <w:r>
        <w:t xml:space="preserve">”</w:t>
      </w:r>
    </w:p>
    <w:p>
      <w:pPr>
        <w:numPr>
          <w:ilvl w:val="0"/>
          <w:numId w:val="1098"/>
        </w:numPr>
        <w:pStyle w:val="Compact"/>
      </w:pPr>
      <w:r>
        <w:t xml:space="preserve">Ordinate - misoHD</w:t>
      </w:r>
    </w:p>
    <w:p>
      <w:pPr>
        <w:numPr>
          <w:ilvl w:val="0"/>
          <w:numId w:val="1098"/>
        </w:numPr>
        <w:pStyle w:val="Compact"/>
      </w:pPr>
      <w:r>
        <w:t xml:space="preserve">Color - by your selected metabolite from part 3</w:t>
      </w:r>
    </w:p>
    <w:p>
      <w:pPr>
        <w:numPr>
          <w:ilvl w:val="0"/>
          <w:numId w:val="1098"/>
        </w:numPr>
        <w:pStyle w:val="Compact"/>
      </w:pPr>
      <w:r>
        <w:t xml:space="preserve">Include a title for your PcOA plot</w:t>
      </w:r>
    </w:p>
    <w:p>
      <w:pPr>
        <w:numPr>
          <w:ilvl w:val="0"/>
          <w:numId w:val="1098"/>
        </w:numPr>
        <w:pStyle w:val="Compact"/>
      </w:pPr>
      <w:r>
        <w:t xml:space="preserve">Use the following code as a template:</w:t>
      </w:r>
    </w:p>
    <w:p>
      <w:pPr>
        <w:numPr>
          <w:ilvl w:val="0"/>
          <w:numId w:val="1099"/>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00"/>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01"/>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02"/>
        </w:numPr>
        <w:pStyle w:val="Compact"/>
      </w:pPr>
      <w:r>
        <w:t xml:space="preserve">Subset data - by the timepointgroup</w:t>
      </w:r>
      <w:r>
        <w:t xml:space="preserve"> </w:t>
      </w:r>
      <w:r>
        <w:t xml:space="preserve">“</w:t>
      </w:r>
      <w:r>
        <w:t xml:space="preserve">BD</w:t>
      </w:r>
      <w:r>
        <w:t xml:space="preserve">”</w:t>
      </w:r>
    </w:p>
    <w:p>
      <w:pPr>
        <w:numPr>
          <w:ilvl w:val="0"/>
          <w:numId w:val="1102"/>
        </w:numPr>
        <w:pStyle w:val="Compact"/>
      </w:pPr>
      <w:r>
        <w:t xml:space="preserve">Ordinate - misoBD</w:t>
      </w:r>
    </w:p>
    <w:p>
      <w:pPr>
        <w:numPr>
          <w:ilvl w:val="0"/>
          <w:numId w:val="1102"/>
        </w:numPr>
        <w:pStyle w:val="Compact"/>
      </w:pPr>
      <w:r>
        <w:t xml:space="preserve">Color - by your selected metabolite from part 3</w:t>
      </w:r>
    </w:p>
    <w:p>
      <w:pPr>
        <w:numPr>
          <w:ilvl w:val="0"/>
          <w:numId w:val="1102"/>
        </w:numPr>
        <w:pStyle w:val="Compact"/>
      </w:pPr>
      <w:r>
        <w:t xml:space="preserve">Include a title for your PcOA plot</w:t>
      </w:r>
    </w:p>
    <w:p>
      <w:pPr>
        <w:numPr>
          <w:ilvl w:val="0"/>
          <w:numId w:val="1102"/>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03"/>
        </w:numPr>
        <w:pStyle w:val="Compact"/>
      </w:pPr>
      <w:r>
        <w:t xml:space="preserve">Prepare your final figure and associated code for the poster.</w:t>
      </w:r>
    </w:p>
    <w:p>
      <w:pPr>
        <w:numPr>
          <w:ilvl w:val="0"/>
          <w:numId w:val="1103"/>
        </w:numPr>
        <w:pStyle w:val="Compact"/>
      </w:pPr>
      <w:r>
        <w:t xml:space="preserve">Figure suggestion: A 2-part figure with Figure A showing PCoA plot based on subject and Figure B, showing PCoA plot with your favorite metabolite (Creatinine, PCS, IS, HIPP, or PAG).</w:t>
      </w:r>
    </w:p>
    <w:p>
      <w:pPr>
        <w:numPr>
          <w:ilvl w:val="0"/>
          <w:numId w:val="1103"/>
        </w:numPr>
        <w:pStyle w:val="Compact"/>
      </w:pPr>
      <w:r>
        <w:t xml:space="preserve">Ensure you have a figure legend that explains your final figure.</w:t>
      </w:r>
    </w:p>
    <w:p>
      <w:pPr>
        <w:numPr>
          <w:ilvl w:val="0"/>
          <w:numId w:val="1103"/>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01"/>
    <w:bookmarkEnd w:id="202"/>
    <w:bookmarkStart w:id="207" w:name="X595ac7e568229e6fc777f68597beefe0ba51994"/>
    <w:p>
      <w:pPr>
        <w:pStyle w:val="Heading2"/>
      </w:pPr>
      <w:r>
        <w:rPr>
          <w:rStyle w:val="SectionNumber"/>
        </w:rPr>
        <w:t xml:space="preserve">6.6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03" w:name="Xd507241b7910661e2cc6426c8de0d60c4521a74"/>
    <w:p>
      <w:pPr>
        <w:pStyle w:val="Heading3"/>
      </w:pPr>
      <w:r>
        <w:rPr>
          <w:rStyle w:val="SectionNumber"/>
        </w:rPr>
        <w:t xml:space="preserve">6.6.1</w:t>
      </w:r>
      <w:r>
        <w:tab/>
      </w:r>
      <w:r>
        <w:t xml:space="preserve">Step 3A. Perform differential abundance analysis between genders.</w:t>
      </w:r>
    </w:p>
    <w:p>
      <w:pPr>
        <w:numPr>
          <w:ilvl w:val="0"/>
          <w:numId w:val="1104"/>
        </w:numPr>
      </w:pPr>
      <w:r>
        <w:t xml:space="preserve">Design - is based on gender (no double quotes)</w:t>
      </w:r>
    </w:p>
    <w:p>
      <w:pPr>
        <w:numPr>
          <w:ilvl w:val="0"/>
          <w:numId w:val="1104"/>
        </w:numPr>
      </w:pPr>
      <w:r>
        <w:t xml:space="preserve">Groups to compare - females, F and males, M (baseline)</w:t>
      </w:r>
    </w:p>
    <w:p>
      <w:pPr>
        <w:numPr>
          <w:ilvl w:val="0"/>
          <w:numId w:val="1104"/>
        </w:numPr>
      </w:pPr>
      <w:r>
        <w:t xml:space="preserve">Plot Phylum on the X-axis and color by Class</w:t>
      </w:r>
    </w:p>
    <w:p>
      <w:pPr>
        <w:numPr>
          <w:ilvl w:val="0"/>
          <w:numId w:val="1104"/>
        </w:numPr>
      </w:pPr>
      <w:r>
        <w:t xml:space="preserve">Make sure your graph has a title that includes the comparison you are making (ex. WO vs HD)</w:t>
      </w:r>
    </w:p>
    <w:p>
      <w:pPr>
        <w:numPr>
          <w:ilvl w:val="0"/>
          <w:numId w:val="1104"/>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04"/>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03"/>
    <w:bookmarkStart w:id="204" w:name="X79916a6b28072c69ac15d7943d38357558bb002"/>
    <w:p>
      <w:pPr>
        <w:pStyle w:val="Heading3"/>
      </w:pPr>
      <w:r>
        <w:rPr>
          <w:rStyle w:val="SectionNumber"/>
        </w:rPr>
        <w:t xml:space="preserve">6.6.2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05"/>
        </w:numPr>
        <w:pStyle w:val="Compact"/>
      </w:pPr>
      <w:r>
        <w:t xml:space="preserve">Subset phyloseq object to only include younger individuals (age &lt; 50)</w:t>
      </w:r>
    </w:p>
    <w:p>
      <w:pPr>
        <w:numPr>
          <w:ilvl w:val="0"/>
          <w:numId w:val="1105"/>
        </w:numPr>
        <w:pStyle w:val="Compact"/>
      </w:pPr>
      <w:r>
        <w:t xml:space="preserve">For DESeq2 analysis, keep the design the same as in part A - based on gender</w:t>
      </w:r>
    </w:p>
    <w:p>
      <w:pPr>
        <w:numPr>
          <w:ilvl w:val="0"/>
          <w:numId w:val="1105"/>
        </w:numPr>
        <w:pStyle w:val="Compact"/>
      </w:pPr>
      <w:r>
        <w:t xml:space="preserve">Groups to compare: females (F) and males (M, baseline)</w:t>
      </w:r>
    </w:p>
    <w:p>
      <w:pPr>
        <w:numPr>
          <w:ilvl w:val="0"/>
          <w:numId w:val="1105"/>
        </w:numPr>
        <w:pStyle w:val="Compact"/>
      </w:pPr>
      <w:r>
        <w:t xml:space="preserve">Plot Phylum on the X-axis and color by Class</w:t>
      </w:r>
    </w:p>
    <w:p>
      <w:pPr>
        <w:numPr>
          <w:ilvl w:val="0"/>
          <w:numId w:val="1105"/>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04"/>
    <w:bookmarkStart w:id="205" w:name="X2d2d6babfb94edafc1b96bec6735622172a6a35"/>
    <w:p>
      <w:pPr>
        <w:pStyle w:val="Heading3"/>
      </w:pPr>
      <w:r>
        <w:rPr>
          <w:rStyle w:val="SectionNumber"/>
        </w:rPr>
        <w:t xml:space="preserve">6.6.3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05"/>
    <w:bookmarkStart w:id="206" w:name="X1a0630c2b30ccd136ab7ec9a3eca54086dc681f"/>
    <w:p>
      <w:pPr>
        <w:pStyle w:val="Heading3"/>
      </w:pPr>
      <w:r>
        <w:rPr>
          <w:rStyle w:val="SectionNumber"/>
        </w:rPr>
        <w:t xml:space="preserve">6.6.4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06"/>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06"/>
        </w:numPr>
      </w:pPr>
      <w:r>
        <w:t xml:space="preserve">Ensure you have a figure legend that explains your final figure.</w:t>
      </w:r>
    </w:p>
    <w:p>
      <w:pPr>
        <w:numPr>
          <w:ilvl w:val="0"/>
          <w:numId w:val="1106"/>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06"/>
    <w:bookmarkEnd w:id="207"/>
    <w:bookmarkStart w:id="212" w:name="X56a60be2dd7d6c27ff89e2b144d61170039defe"/>
    <w:p>
      <w:pPr>
        <w:pStyle w:val="Heading2"/>
      </w:pPr>
      <w:r>
        <w:rPr>
          <w:rStyle w:val="SectionNumber"/>
        </w:rPr>
        <w:t xml:space="preserve">6.7</w:t>
      </w:r>
      <w:r>
        <w:tab/>
      </w:r>
      <w:r>
        <w:t xml:space="preserve">Try it Question 4 -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08" w:name="Xecef1bd61b4608eb484bedd06a6aa9d1243b13f"/>
    <w:p>
      <w:pPr>
        <w:pStyle w:val="Heading3"/>
      </w:pPr>
      <w:r>
        <w:rPr>
          <w:rStyle w:val="SectionNumber"/>
        </w:rPr>
        <w:t xml:space="preserve">6.7.1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07"/>
        </w:numPr>
        <w:pStyle w:val="Compact"/>
      </w:pPr>
      <w:r>
        <w:t xml:space="preserve">Subset data - None</w:t>
      </w:r>
    </w:p>
    <w:p>
      <w:pPr>
        <w:numPr>
          <w:ilvl w:val="0"/>
          <w:numId w:val="1107"/>
        </w:numPr>
        <w:pStyle w:val="Compact"/>
      </w:pPr>
      <w:r>
        <w:t xml:space="preserve">age is on the x-axis</w:t>
      </w:r>
    </w:p>
    <w:p>
      <w:pPr>
        <w:numPr>
          <w:ilvl w:val="0"/>
          <w:numId w:val="1107"/>
        </w:numPr>
        <w:pStyle w:val="Compact"/>
      </w:pPr>
      <w:r>
        <w:t xml:space="preserve">Color is by subject</w:t>
      </w:r>
    </w:p>
    <w:p>
      <w:pPr>
        <w:numPr>
          <w:ilvl w:val="0"/>
          <w:numId w:val="110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08"/>
        </w:numPr>
        <w:pStyle w:val="Compact"/>
      </w:pPr>
      <w:r>
        <w:t xml:space="preserve">Subset data - timepointgroup BD</w:t>
      </w:r>
    </w:p>
    <w:p>
      <w:pPr>
        <w:numPr>
          <w:ilvl w:val="0"/>
          <w:numId w:val="1108"/>
        </w:numPr>
        <w:pStyle w:val="Compact"/>
      </w:pPr>
      <w:r>
        <w:t xml:space="preserve">age is on the x-axis</w:t>
      </w:r>
    </w:p>
    <w:p>
      <w:pPr>
        <w:numPr>
          <w:ilvl w:val="0"/>
          <w:numId w:val="1108"/>
        </w:numPr>
        <w:pStyle w:val="Compact"/>
      </w:pPr>
      <w:r>
        <w:t xml:space="preserve">Color is by subject</w:t>
      </w:r>
    </w:p>
    <w:p>
      <w:pPr>
        <w:numPr>
          <w:ilvl w:val="0"/>
          <w:numId w:val="1108"/>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09"/>
        </w:numPr>
        <w:pStyle w:val="Compact"/>
      </w:pPr>
      <w:r>
        <w:t xml:space="preserve">Subset data - timepointgroup HD</w:t>
      </w:r>
    </w:p>
    <w:p>
      <w:pPr>
        <w:numPr>
          <w:ilvl w:val="0"/>
          <w:numId w:val="1109"/>
        </w:numPr>
        <w:pStyle w:val="Compact"/>
      </w:pPr>
      <w:r>
        <w:t xml:space="preserve">age is on the x-axis</w:t>
      </w:r>
    </w:p>
    <w:p>
      <w:pPr>
        <w:numPr>
          <w:ilvl w:val="0"/>
          <w:numId w:val="1109"/>
        </w:numPr>
        <w:pStyle w:val="Compact"/>
      </w:pPr>
      <w:r>
        <w:t xml:space="preserve">Color is by subject</w:t>
      </w:r>
    </w:p>
    <w:p>
      <w:pPr>
        <w:numPr>
          <w:ilvl w:val="0"/>
          <w:numId w:val="1109"/>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10"/>
        </w:numPr>
        <w:pStyle w:val="Compact"/>
      </w:pPr>
      <w:r>
        <w:t xml:space="preserve">Subset data - timepointgroup WO</w:t>
      </w:r>
    </w:p>
    <w:p>
      <w:pPr>
        <w:numPr>
          <w:ilvl w:val="0"/>
          <w:numId w:val="1110"/>
        </w:numPr>
        <w:pStyle w:val="Compact"/>
      </w:pPr>
      <w:r>
        <w:t xml:space="preserve">age is on the x-axis</w:t>
      </w:r>
    </w:p>
    <w:p>
      <w:pPr>
        <w:numPr>
          <w:ilvl w:val="0"/>
          <w:numId w:val="1110"/>
        </w:numPr>
        <w:pStyle w:val="Compact"/>
      </w:pPr>
      <w:r>
        <w:t xml:space="preserve">Color is by subject</w:t>
      </w:r>
    </w:p>
    <w:p>
      <w:pPr>
        <w:numPr>
          <w:ilvl w:val="0"/>
          <w:numId w:val="1110"/>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08"/>
    <w:bookmarkStart w:id="209" w:name="X8f5760ef4b912b7b783fb89c78bec09f79f3599"/>
    <w:p>
      <w:pPr>
        <w:pStyle w:val="Heading3"/>
      </w:pPr>
      <w:r>
        <w:rPr>
          <w:rStyle w:val="SectionNumber"/>
        </w:rPr>
        <w:t xml:space="preserve">6.7.2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11"/>
        </w:numPr>
      </w:pPr>
      <w:r>
        <w:t xml:space="preserve">Design - is based on timepointgroup (no double quotes)</w:t>
      </w:r>
    </w:p>
    <w:p>
      <w:pPr>
        <w:numPr>
          <w:ilvl w:val="0"/>
          <w:numId w:val="1111"/>
        </w:numPr>
      </w:pPr>
      <w:r>
        <w:t xml:space="preserve">Groups to compare - HD and BD (baseline)</w:t>
      </w:r>
    </w:p>
    <w:p>
      <w:pPr>
        <w:numPr>
          <w:ilvl w:val="0"/>
          <w:numId w:val="1111"/>
        </w:numPr>
      </w:pPr>
      <w:r>
        <w:t xml:space="preserve">Plot Phylum on the X-axis and color by Class</w:t>
      </w:r>
    </w:p>
    <w:p>
      <w:pPr>
        <w:numPr>
          <w:ilvl w:val="0"/>
          <w:numId w:val="1111"/>
        </w:numPr>
      </w:pPr>
      <w:r>
        <w:t xml:space="preserve">Make sure your graph has a title that includes the comparison you are making (ex. WO vs HD)</w:t>
      </w:r>
    </w:p>
    <w:p>
      <w:pPr>
        <w:numPr>
          <w:ilvl w:val="0"/>
          <w:numId w:val="1111"/>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11"/>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09"/>
    <w:bookmarkStart w:id="210" w:name="X5d873d7c1194470314eb407ed41c6f5cfdeeff4"/>
    <w:p>
      <w:pPr>
        <w:pStyle w:val="Heading3"/>
      </w:pPr>
      <w:r>
        <w:rPr>
          <w:rStyle w:val="SectionNumber"/>
        </w:rPr>
        <w:t xml:space="preserve">6.7.3</w:t>
      </w:r>
      <w:r>
        <w:tab/>
      </w:r>
      <w:r>
        <w:t xml:space="preserve">Step 2B. Perform differential abundance analysis between HD and BD for older individual (&gt; 50 yo.)</w:t>
      </w:r>
    </w:p>
    <w:p>
      <w:pPr>
        <w:numPr>
          <w:ilvl w:val="0"/>
          <w:numId w:val="1112"/>
        </w:numPr>
      </w:pPr>
      <w:r>
        <w:t xml:space="preserve">Subset data - older age (&gt; 50 yo)</w:t>
      </w:r>
    </w:p>
    <w:p>
      <w:pPr>
        <w:numPr>
          <w:ilvl w:val="0"/>
          <w:numId w:val="1112"/>
        </w:numPr>
      </w:pPr>
      <w:r>
        <w:t xml:space="preserve">Design - is based on timepointgroup (no double quotes)</w:t>
      </w:r>
    </w:p>
    <w:p>
      <w:pPr>
        <w:numPr>
          <w:ilvl w:val="0"/>
          <w:numId w:val="1112"/>
        </w:numPr>
      </w:pPr>
      <w:r>
        <w:t xml:space="preserve">Groups to compare - HD and BD (baseline)</w:t>
      </w:r>
    </w:p>
    <w:p>
      <w:pPr>
        <w:numPr>
          <w:ilvl w:val="0"/>
          <w:numId w:val="1112"/>
        </w:numPr>
      </w:pPr>
      <w:r>
        <w:t xml:space="preserve">Plot Phylum on the X-axis and color by Class</w:t>
      </w:r>
    </w:p>
    <w:p>
      <w:pPr>
        <w:numPr>
          <w:ilvl w:val="0"/>
          <w:numId w:val="1112"/>
        </w:numPr>
      </w:pPr>
      <w:r>
        <w:t xml:space="preserve">Make sure your graph has a title that includes the comparison you are making (ex. WO vs HD)</w:t>
      </w:r>
    </w:p>
    <w:p>
      <w:pPr>
        <w:numPr>
          <w:ilvl w:val="0"/>
          <w:numId w:val="1112"/>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12"/>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10"/>
    <w:bookmarkStart w:id="211" w:name="X8b1c9c7c5de947bb8baba551c1359f1ca1f8365"/>
    <w:p>
      <w:pPr>
        <w:pStyle w:val="Heading3"/>
      </w:pPr>
      <w:r>
        <w:rPr>
          <w:rStyle w:val="SectionNumber"/>
        </w:rPr>
        <w:t xml:space="preserve">6.7.4</w:t>
      </w:r>
      <w:r>
        <w:tab/>
      </w:r>
      <w:r>
        <w:t xml:space="preserve">Step 3. Select data for poster and include the code used to generate the figure.</w:t>
      </w:r>
    </w:p>
    <w:p>
      <w:pPr>
        <w:numPr>
          <w:ilvl w:val="0"/>
          <w:numId w:val="1113"/>
        </w:numPr>
        <w:pStyle w:val="Compact"/>
      </w:pPr>
      <w:r>
        <w:t xml:space="preserve">Prepare your final figure and associated code for the poster.</w:t>
      </w:r>
    </w:p>
    <w:p>
      <w:pPr>
        <w:numPr>
          <w:ilvl w:val="0"/>
          <w:numId w:val="1113"/>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13"/>
        </w:numPr>
        <w:pStyle w:val="Compact"/>
      </w:pPr>
      <w:r>
        <w:t xml:space="preserve">Ensure you have a figure legend that explains your final figure.</w:t>
      </w:r>
    </w:p>
    <w:p>
      <w:pPr>
        <w:numPr>
          <w:ilvl w:val="0"/>
          <w:numId w:val="1113"/>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11"/>
    <w:bookmarkEnd w:id="212"/>
    <w:bookmarkEnd w:id="213"/>
    <w:bookmarkStart w:id="221" w:name="about-the-authors"/>
    <w:p>
      <w:pPr>
        <w:pStyle w:val="Heading1"/>
      </w:pPr>
      <w:r>
        <w:t xml:space="preserve">About the Authors</w:t>
      </w:r>
    </w:p>
    <w:p>
      <w:pPr>
        <w:pStyle w:val="FirstParagraph"/>
      </w:pPr>
      <w:r>
        <w:t xml:space="preserve">These credits are based on our</w:t>
      </w:r>
      <w:r>
        <w:t xml:space="preserve"> </w:t>
      </w:r>
      <w:hyperlink r:id="rId21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1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16">
              <w:r>
                <w:rPr>
                  <w:rStyle w:val="Hyperlink"/>
                </w:rPr>
                <w:t xml:space="preserve">Candace Savonen</w:t>
              </w:r>
            </w:hyperlink>
            <w:r>
              <w:t xml:space="preserve">,</w:t>
            </w:r>
            <w:r>
              <w:t xml:space="preserve"> </w:t>
            </w:r>
            <w:hyperlink r:id="rId217">
              <w:r>
                <w:rPr>
                  <w:rStyle w:val="Hyperlink"/>
                </w:rPr>
                <w:t xml:space="preserve">Carrie Wright</w:t>
              </w:r>
            </w:hyperlink>
            <w:r>
              <w:t xml:space="preserve">,</w:t>
            </w:r>
            <w:r>
              <w:t xml:space="preserve"> </w:t>
            </w:r>
            <w:hyperlink r:id="rId21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1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17">
              <w:r>
                <w:rPr>
                  <w:rStyle w:val="Hyperlink"/>
                </w:rPr>
                <w:t xml:space="preserve">Carrie Wright</w:t>
              </w:r>
            </w:hyperlink>
            <w:r>
              <w:t xml:space="preserve">,</w:t>
            </w:r>
            <w:r>
              <w:t xml:space="preserve"> </w:t>
            </w:r>
            <w:hyperlink r:id="rId218">
              <w:r>
                <w:rPr>
                  <w:rStyle w:val="Hyperlink"/>
                </w:rPr>
                <w:t xml:space="preserve">Ava Hoffman</w:t>
              </w:r>
            </w:hyperlink>
            <w:r>
              <w:t xml:space="preserve">,</w:t>
            </w:r>
            <w:r>
              <w:t xml:space="preserve"> </w:t>
            </w:r>
            <w:hyperlink r:id="rId216">
              <w:r>
                <w:rPr>
                  <w:rStyle w:val="Hyperlink"/>
                </w:rPr>
                <w:t xml:space="preserve">Candace Savonen</w:t>
              </w:r>
            </w:hyperlink>
          </w:p>
        </w:tc>
      </w:tr>
      <w:tr>
        <w:tc>
          <w:tcPr/>
          <w:p>
            <w:pPr>
              <w:pStyle w:val="Compact"/>
              <w:jc w:val="left"/>
            </w:pPr>
            <w:r>
              <w:t xml:space="preserve">Package Developers (</w:t>
            </w:r>
            <w:hyperlink r:id="rId219">
              <w:r>
                <w:rPr>
                  <w:rStyle w:val="Hyperlink"/>
                </w:rPr>
                <w:t xml:space="preserve">ottrpal</w:t>
              </w:r>
            </w:hyperlink>
            <w:r>
              <w:t xml:space="preserve">)</w:t>
            </w:r>
            <w:r>
              <w:t xml:space="preserve"> </w:t>
            </w:r>
            <w:hyperlink r:id="rId216">
              <w:r>
                <w:rPr>
                  <w:rStyle w:val="Hyperlink"/>
                </w:rPr>
                <w:t xml:space="preserve">Candace Savonen</w:t>
              </w:r>
            </w:hyperlink>
            <w:r>
              <w:t xml:space="preserve">,</w:t>
            </w:r>
            <w:r>
              <w:t xml:space="preserve"> </w:t>
            </w:r>
            <w:hyperlink r:id="rId220">
              <w:r>
                <w:rPr>
                  <w:rStyle w:val="Hyperlink"/>
                </w:rPr>
                <w:t xml:space="preserve">John Muschelli</w:t>
              </w:r>
            </w:hyperlink>
            <w:r>
              <w:t xml:space="preserve">,</w:t>
            </w:r>
            <w:r>
              <w:t xml:space="preserve"> </w:t>
            </w:r>
            <w:hyperlink r:id="rId21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1"/>
    <w:bookmarkStart w:id="222" w:name="references"/>
    <w:p>
      <w:pPr>
        <w:pStyle w:val="Heading1"/>
      </w:pPr>
      <w:r>
        <w:t xml:space="preserve">References</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72" Target="media/rId172.png" /><Relationship Type="http://schemas.openxmlformats.org/officeDocument/2006/relationships/image" Id="rId132" Target="media/rId132.png" /><Relationship Type="http://schemas.openxmlformats.org/officeDocument/2006/relationships/image" Id="rId100" Target="media/rId100.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hyperlink" Id="rId120" Target="---" TargetMode="External" /><Relationship Type="http://schemas.openxmlformats.org/officeDocument/2006/relationships/hyperlink" Id="rId217" Target="https://carriewright11.github.io/" TargetMode="External" /><Relationship Type="http://schemas.openxmlformats.org/officeDocument/2006/relationships/hyperlink" Id="rId125" Target="https://docs.google.com/document/d/12pKSIwcVXisaf6dniyoG_AGdCQh1dG1dDwZ5s1cz92c/edit?usp=sharing"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186" Target="https://docs.google.com/document/d/1OWgUwaT2MlSd-qq7wSlB3BnM-cq_GTxEyy38HV5ajoU/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6" Target="https://docs.google.com/document/d/1d1co_BVzZ1P5RuUYnPWrkB-Lvo7f4lYvahXhoCOjvIg/edit?usp=sharing" TargetMode="External" /><Relationship Type="http://schemas.openxmlformats.org/officeDocument/2006/relationships/hyperlink" Id="rId147" Target="https://docs.google.com/document/d/1pYTq_U-e3Fath5yB6N9b5ic-cMynUtclkEgdojkAXwE/edit?usp=sharing" TargetMode="External" /><Relationship Type="http://schemas.openxmlformats.org/officeDocument/2006/relationships/hyperlink" Id="rId103" Target="https://docs.google.com/presentation/d/14E26SbzaLEDJxAaZ1qjaZcJehAI8q2GHuTokNPKKDTc/edit?usp=sharing" TargetMode="External" /><Relationship Type="http://schemas.openxmlformats.org/officeDocument/2006/relationships/hyperlink" Id="rId135" Target="https://docs.google.com/presentation/d/15tv_IS177gF_px3JYKcQZmOsJg2d-GkjVXi7a-Skgs8/edit?usp=sharing" TargetMode="External" /><Relationship Type="http://schemas.openxmlformats.org/officeDocument/2006/relationships/hyperlink" Id="rId175" Target="https://docs.google.com/presentation/d/1QZbSBPOGkBeizh1L45C6EaktOxl6pqrTDGNIncHQ5lY/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19" Target="https://docs.google.com/spreadsheets/d/1TFXtaantSgDnMwnUvcAllQErWcOXOUwNCwRb_vyk2f0/edit?usp=sharing" TargetMode="External" /><Relationship Type="http://schemas.openxmlformats.org/officeDocument/2006/relationships/hyperlink" Id="rId107" Target="https://docs.google.com/spreadsheets/d/1hpSyjO0H8sXq6C1xM_oGMyv9vCY2qTvfYHVdqO9ZVhk/edit?usp=sharing" TargetMode="External" /><Relationship Type="http://schemas.openxmlformats.org/officeDocument/2006/relationships/hyperlink" Id="rId118" Target="https://docs.google.com/spreadsheets/d/1mDk_enQzQVQVplbLzPMYJBF5whsvZ62gOPDwkqIpJvM/edit?usp=sharing" TargetMode="External" /><Relationship Type="http://schemas.openxmlformats.org/officeDocument/2006/relationships/hyperlink" Id="rId110"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19" Target="https://github.com/jhudsl/ottrpal" TargetMode="External" /><Relationship Type="http://schemas.openxmlformats.org/officeDocument/2006/relationships/hyperlink" Id="rId220"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18" Target="https://www.avahoffman.com/" TargetMode="External" /><Relationship Type="http://schemas.openxmlformats.org/officeDocument/2006/relationships/hyperlink" Id="rId21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14" Target="https://www.ottrproject.org/more_features.html#giving-credits-to-contributors" TargetMode="External" /><Relationship Type="http://schemas.openxmlformats.org/officeDocument/2006/relationships/hyperlink" Id="rId21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0" Target="---" TargetMode="External" /><Relationship Type="http://schemas.openxmlformats.org/officeDocument/2006/relationships/hyperlink" Id="rId217" Target="https://carriewright11.github.io/" TargetMode="External" /><Relationship Type="http://schemas.openxmlformats.org/officeDocument/2006/relationships/hyperlink" Id="rId125" Target="https://docs.google.com/document/d/12pKSIwcVXisaf6dniyoG_AGdCQh1dG1dDwZ5s1cz92c/edit?usp=sharing"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186" Target="https://docs.google.com/document/d/1OWgUwaT2MlSd-qq7wSlB3BnM-cq_GTxEyy38HV5ajoU/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6" Target="https://docs.google.com/document/d/1d1co_BVzZ1P5RuUYnPWrkB-Lvo7f4lYvahXhoCOjvIg/edit?usp=sharing" TargetMode="External" /><Relationship Type="http://schemas.openxmlformats.org/officeDocument/2006/relationships/hyperlink" Id="rId147" Target="https://docs.google.com/document/d/1pYTq_U-e3Fath5yB6N9b5ic-cMynUtclkEgdojkAXwE/edit?usp=sharing" TargetMode="External" /><Relationship Type="http://schemas.openxmlformats.org/officeDocument/2006/relationships/hyperlink" Id="rId103" Target="https://docs.google.com/presentation/d/14E26SbzaLEDJxAaZ1qjaZcJehAI8q2GHuTokNPKKDTc/edit?usp=sharing" TargetMode="External" /><Relationship Type="http://schemas.openxmlformats.org/officeDocument/2006/relationships/hyperlink" Id="rId135" Target="https://docs.google.com/presentation/d/15tv_IS177gF_px3JYKcQZmOsJg2d-GkjVXi7a-Skgs8/edit?usp=sharing" TargetMode="External" /><Relationship Type="http://schemas.openxmlformats.org/officeDocument/2006/relationships/hyperlink" Id="rId175" Target="https://docs.google.com/presentation/d/1QZbSBPOGkBeizh1L45C6EaktOxl6pqrTDGNIncHQ5lY/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19" Target="https://docs.google.com/spreadsheets/d/1TFXtaantSgDnMwnUvcAllQErWcOXOUwNCwRb_vyk2f0/edit?usp=sharing" TargetMode="External" /><Relationship Type="http://schemas.openxmlformats.org/officeDocument/2006/relationships/hyperlink" Id="rId107" Target="https://docs.google.com/spreadsheets/d/1hpSyjO0H8sXq6C1xM_oGMyv9vCY2qTvfYHVdqO9ZVhk/edit?usp=sharing" TargetMode="External" /><Relationship Type="http://schemas.openxmlformats.org/officeDocument/2006/relationships/hyperlink" Id="rId118" Target="https://docs.google.com/spreadsheets/d/1mDk_enQzQVQVplbLzPMYJBF5whsvZ62gOPDwkqIpJvM/edit?usp=sharing" TargetMode="External" /><Relationship Type="http://schemas.openxmlformats.org/officeDocument/2006/relationships/hyperlink" Id="rId110"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19" Target="https://github.com/jhudsl/ottrpal" TargetMode="External" /><Relationship Type="http://schemas.openxmlformats.org/officeDocument/2006/relationships/hyperlink" Id="rId220"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18" Target="https://www.avahoffman.com/" TargetMode="External" /><Relationship Type="http://schemas.openxmlformats.org/officeDocument/2006/relationships/hyperlink" Id="rId21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14" Target="https://www.ottrproject.org/more_features.html#giving-credits-to-contributors" TargetMode="External" /><Relationship Type="http://schemas.openxmlformats.org/officeDocument/2006/relationships/hyperlink" Id="rId21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2025-07-16T19:04:59Z</dcterms:created>
  <dcterms:modified xsi:type="dcterms:W3CDTF">2025-07-16T19:04:59Z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