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144" w:rsidRPr="0053156F" w:rsidRDefault="0053156F">
      <w:pPr>
        <w:spacing w:after="80"/>
        <w:jc w:val="center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  <w:color w:val="0F62FE"/>
          <w:sz w:val="44"/>
        </w:rPr>
        <w:t>Credit Risk &amp; Loan Default Prediction</w:t>
      </w:r>
    </w:p>
    <w:p w:rsidR="00597144" w:rsidRPr="0053156F" w:rsidRDefault="0053156F">
      <w:pPr>
        <w:spacing w:after="120"/>
        <w:jc w:val="center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525252"/>
          <w:sz w:val="24"/>
        </w:rPr>
        <w:t>Complete Capstone Project Report</w:t>
      </w:r>
      <w:r w:rsidRPr="0053156F">
        <w:rPr>
          <w:rFonts w:ascii="Times New Roman" w:hAnsi="Times New Roman" w:cs="Times New Roman"/>
          <w:color w:val="525252"/>
          <w:sz w:val="24"/>
        </w:rPr>
        <w:br/>
        <w:t>IBM SkillsBuild &amp; AICTE Data Analytics with AI Academic Internship</w:t>
      </w:r>
    </w:p>
    <w:p w:rsidR="00597144" w:rsidRPr="0053156F" w:rsidRDefault="0053156F">
      <w:pPr>
        <w:spacing w:after="360"/>
        <w:jc w:val="center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i/>
          <w:color w:val="525252"/>
          <w:sz w:val="19"/>
        </w:rPr>
        <w:t>Author: Sayyad Malik   |   Lead Organization: BharatCares / AICTE</w:t>
      </w:r>
      <w:bookmarkStart w:id="0" w:name="_GoBack"/>
      <w:bookmarkEnd w:id="0"/>
      <w:r w:rsidRPr="0053156F">
        <w:rPr>
          <w:rFonts w:ascii="Times New Roman" w:hAnsi="Times New Roman" w:cs="Times New Roman"/>
          <w:i/>
          <w:color w:val="525252"/>
          <w:sz w:val="19"/>
        </w:rPr>
        <w:br/>
        <w:t xml:space="preserve">Dataset: UCI German Credit   |   Technology: </w:t>
      </w:r>
      <w:r w:rsidRPr="0053156F">
        <w:rPr>
          <w:rFonts w:ascii="Times New Roman" w:hAnsi="Times New Roman" w:cs="Times New Roman"/>
          <w:i/>
          <w:color w:val="525252"/>
          <w:sz w:val="19"/>
        </w:rPr>
        <w:t>Python, Streamlit, Scikit-Learn, Plotly</w:t>
      </w:r>
      <w:r w:rsidRPr="0053156F">
        <w:rPr>
          <w:rFonts w:ascii="Times New Roman" w:hAnsi="Times New Roman" w:cs="Times New Roman"/>
          <w:i/>
          <w:color w:val="525252"/>
          <w:sz w:val="19"/>
        </w:rPr>
        <w:br/>
        <w:t>Date: September 2026</w:t>
      </w:r>
    </w:p>
    <w:p w:rsidR="00597144" w:rsidRPr="0053156F" w:rsidRDefault="0053156F">
      <w:pPr>
        <w:spacing w:after="240"/>
        <w:jc w:val="center"/>
        <w:rPr>
          <w:rFonts w:ascii="Times New Roman" w:hAnsi="Times New Roman" w:cs="Times New Roman"/>
          <w:b/>
        </w:rPr>
      </w:pPr>
      <w:r w:rsidRPr="0053156F">
        <w:rPr>
          <w:rFonts w:ascii="Times New Roman" w:hAnsi="Times New Roman" w:cs="Times New Roman"/>
          <w:b/>
          <w:color w:val="C8C8C8"/>
        </w:rPr>
        <w:t>――――――――――――――――――――――――――――――――――――――――――――</w:t>
      </w:r>
    </w:p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t>1. Abstract</w:t>
      </w:r>
    </w:p>
    <w:p w:rsidR="00597144" w:rsidRPr="0053156F" w:rsidRDefault="0053156F">
      <w:pPr>
        <w:spacing w:after="1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This project presents an end-to-end Machine Learning and Business Intelligence solution for evaluating credit risk and predi</w:t>
      </w:r>
      <w:r w:rsidRPr="0053156F">
        <w:rPr>
          <w:rFonts w:ascii="Times New Roman" w:hAnsi="Times New Roman" w:cs="Times New Roman"/>
        </w:rPr>
        <w:t>cting loan default probability. Developed as the final capstone for the AICTE and IBM SkillsBuild Data Analytics with AI Academic Internship (conducted by BharatCares), the system operationalizes the 1,000-record UCI German Credit dataset. Using a supervis</w:t>
      </w:r>
      <w:r w:rsidRPr="0053156F">
        <w:rPr>
          <w:rFonts w:ascii="Times New Roman" w:hAnsi="Times New Roman" w:cs="Times New Roman"/>
        </w:rPr>
        <w:t>ed Gradient Boosting Classifier, the model isolates complex non-linear financial patterns and provides robust, well-calibrated default probabilities. The application is served via an interactive, multi-page Streamlit web dashboard built with a professional</w:t>
      </w:r>
      <w:r w:rsidRPr="0053156F">
        <w:rPr>
          <w:rFonts w:ascii="Times New Roman" w:hAnsi="Times New Roman" w:cs="Times New Roman"/>
        </w:rPr>
        <w:t xml:space="preserve"> light corporate theme, delivering a clear analytical hierarchy from executive KPIs down to automated risk-intervention underwriting recommendations.</w:t>
      </w:r>
    </w:p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t>2. Introduction &amp; Business Problem</w:t>
      </w:r>
    </w:p>
    <w:p w:rsidR="00597144" w:rsidRPr="0053156F" w:rsidRDefault="0053156F">
      <w:pPr>
        <w:pStyle w:val="Heading2"/>
        <w:spacing w:before="12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161616"/>
        </w:rPr>
        <w:t>2.1 Background &amp; Motivation</w:t>
      </w:r>
    </w:p>
    <w:p w:rsidR="00597144" w:rsidRPr="0053156F" w:rsidRDefault="0053156F">
      <w:pPr>
        <w:spacing w:after="12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Credit evaluation is the foundational risk-</w:t>
      </w:r>
      <w:r w:rsidRPr="0053156F">
        <w:rPr>
          <w:rFonts w:ascii="Times New Roman" w:hAnsi="Times New Roman" w:cs="Times New Roman"/>
        </w:rPr>
        <w:t>management pillar of banking institutions and Non-Banking Financial Companies (NBFCs). Unidentified default exposure leads directly to Non-Performing Assets (NPAs), institutional capital erosion, and regulatory sanctions. Conventional static scorecards fre</w:t>
      </w:r>
      <w:r w:rsidRPr="0053156F">
        <w:rPr>
          <w:rFonts w:ascii="Times New Roman" w:hAnsi="Times New Roman" w:cs="Times New Roman"/>
        </w:rPr>
        <w:t>quently miss subtle multi-attribute interactions. Applying modern machine learning allows financial institutions to automate credit assessment, improve precision, and minimize false negatives (missed defaults).</w:t>
      </w:r>
    </w:p>
    <w:p w:rsidR="00597144" w:rsidRPr="0053156F" w:rsidRDefault="0053156F">
      <w:pPr>
        <w:pStyle w:val="Heading2"/>
        <w:spacing w:before="12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161616"/>
        </w:rPr>
        <w:t>2.2 Project Objectives</w:t>
      </w:r>
    </w:p>
    <w:p w:rsidR="00597144" w:rsidRPr="0053156F" w:rsidRDefault="0053156F">
      <w:pPr>
        <w:pStyle w:val="ListBullet"/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Perform rigorous Explo</w:t>
      </w:r>
      <w:r w:rsidRPr="0053156F">
        <w:rPr>
          <w:rFonts w:ascii="Times New Roman" w:hAnsi="Times New Roman" w:cs="Times New Roman"/>
        </w:rPr>
        <w:t>ratory Data Analysis (EDA) on banking applicant profiles to isolate risk factors.</w:t>
      </w:r>
    </w:p>
    <w:p w:rsidR="00597144" w:rsidRPr="0053156F" w:rsidRDefault="0053156F">
      <w:pPr>
        <w:pStyle w:val="ListBullet"/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Develop and validate a high-performance Gradient Boosting classification model for binary credit risk prediction.</w:t>
      </w:r>
    </w:p>
    <w:p w:rsidR="00597144" w:rsidRPr="0053156F" w:rsidRDefault="0053156F">
      <w:pPr>
        <w:pStyle w:val="ListBullet"/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Engineer a multi-page interactive Streamlit dashboard adheri</w:t>
      </w:r>
      <w:r w:rsidRPr="0053156F">
        <w:rPr>
          <w:rFonts w:ascii="Times New Roman" w:hAnsi="Times New Roman" w:cs="Times New Roman"/>
        </w:rPr>
        <w:t>ng to standard Business Intelligence guidelines.</w:t>
      </w:r>
    </w:p>
    <w:p w:rsidR="00597144" w:rsidRPr="0053156F" w:rsidRDefault="0053156F">
      <w:pPr>
        <w:pStyle w:val="ListBullet"/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Implement real-time applicant risk inference with an automated 35% probability conservative threshold.</w:t>
      </w:r>
    </w:p>
    <w:p w:rsidR="00597144" w:rsidRPr="0053156F" w:rsidRDefault="0053156F">
      <w:pPr>
        <w:pStyle w:val="ListBullet"/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Formulate operational underwriting guidance categorized under the Risk, Opportunity, and Action reportin</w:t>
      </w:r>
      <w:r w:rsidRPr="0053156F">
        <w:rPr>
          <w:rFonts w:ascii="Times New Roman" w:hAnsi="Times New Roman" w:cs="Times New Roman"/>
        </w:rPr>
        <w:t>g framework.</w:t>
      </w:r>
    </w:p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t>3. Dataset Architecture &amp; Preprocessing</w:t>
      </w:r>
    </w:p>
    <w:p w:rsidR="00597144" w:rsidRPr="0053156F" w:rsidRDefault="0053156F">
      <w:pPr>
        <w:spacing w:after="12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The model utilizes the benchmark Statlog German Credit Data (UCI Machine Learning Repository #144). The dataset encompasses 1,000 customer records with 20 input attributes covering financial stability, p</w:t>
      </w:r>
      <w:r w:rsidRPr="0053156F">
        <w:rPr>
          <w:rFonts w:ascii="Times New Roman" w:hAnsi="Times New Roman" w:cs="Times New Roman"/>
        </w:rPr>
        <w:t>ast credit behavior, and demographic variables.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97144" w:rsidRPr="0053156F">
        <w:trPr>
          <w:jc w:val="center"/>
        </w:trPr>
        <w:tc>
          <w:tcPr>
            <w:tcW w:w="468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lastRenderedPageBreak/>
              <w:t>Dataset Attribute</w:t>
            </w:r>
          </w:p>
        </w:tc>
        <w:tc>
          <w:tcPr>
            <w:tcW w:w="468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Technical Specification</w:t>
            </w:r>
          </w:p>
        </w:tc>
      </w:tr>
      <w:tr w:rsidR="00597144" w:rsidRPr="0053156F">
        <w:trPr>
          <w:jc w:val="center"/>
        </w:trPr>
        <w:tc>
          <w:tcPr>
            <w:tcW w:w="468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Source Repository</w:t>
            </w:r>
          </w:p>
        </w:tc>
        <w:tc>
          <w:tcPr>
            <w:tcW w:w="468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UCI Machine Learning Repository (Statlog German Credit Data)</w:t>
            </w:r>
          </w:p>
        </w:tc>
      </w:tr>
      <w:tr w:rsidR="00597144" w:rsidRPr="0053156F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Record Volume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1,000 Applicant Records</w:t>
            </w:r>
          </w:p>
        </w:tc>
      </w:tr>
      <w:tr w:rsidR="00597144" w:rsidRPr="0053156F">
        <w:trPr>
          <w:jc w:val="center"/>
        </w:trPr>
        <w:tc>
          <w:tcPr>
            <w:tcW w:w="468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Feature Breakdown</w:t>
            </w:r>
          </w:p>
        </w:tc>
        <w:tc>
          <w:tcPr>
            <w:tcW w:w="468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 xml:space="preserve">20 Predictors (13 </w:t>
            </w:r>
            <w:r w:rsidRPr="0053156F">
              <w:rPr>
                <w:rFonts w:ascii="Times New Roman" w:hAnsi="Times New Roman" w:cs="Times New Roman"/>
                <w:sz w:val="19"/>
              </w:rPr>
              <w:t>Categorical, 7 Numerical)</w:t>
            </w:r>
          </w:p>
        </w:tc>
      </w:tr>
      <w:tr w:rsidR="00597144" w:rsidRPr="0053156F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Target Variable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Risk: Good Credit (Class 0: 700 / ~70%) vs. Bad Credit/Default (Class 1: 300 / ~30%)</w:t>
            </w:r>
          </w:p>
        </w:tc>
      </w:tr>
      <w:tr w:rsidR="00597144" w:rsidRPr="0053156F">
        <w:trPr>
          <w:jc w:val="center"/>
        </w:trPr>
        <w:tc>
          <w:tcPr>
            <w:tcW w:w="468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Data Preprocessing</w:t>
            </w:r>
          </w:p>
        </w:tc>
        <w:tc>
          <w:tcPr>
            <w:tcW w:w="468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Pandas encoding with Scikit-Learn LabelEncoder; Stratified 80/20 train/test split</w:t>
            </w:r>
          </w:p>
        </w:tc>
      </w:tr>
    </w:tbl>
    <w:p w:rsidR="00597144" w:rsidRPr="0053156F" w:rsidRDefault="00597144">
      <w:pPr>
        <w:spacing w:after="120"/>
        <w:rPr>
          <w:rFonts w:ascii="Times New Roman" w:hAnsi="Times New Roman" w:cs="Times New Roman"/>
        </w:rPr>
      </w:pPr>
    </w:p>
    <w:p w:rsidR="00597144" w:rsidRPr="0053156F" w:rsidRDefault="0053156F">
      <w:pPr>
        <w:pStyle w:val="Heading2"/>
        <w:spacing w:before="12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161616"/>
        </w:rPr>
        <w:t xml:space="preserve">3.1 Key Feature </w:t>
      </w:r>
      <w:r w:rsidRPr="0053156F">
        <w:rPr>
          <w:rFonts w:ascii="Times New Roman" w:hAnsi="Times New Roman" w:cs="Times New Roman"/>
          <w:color w:val="161616"/>
        </w:rPr>
        <w:t>Dictionary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7144" w:rsidRPr="0053156F">
        <w:trPr>
          <w:jc w:val="center"/>
        </w:trPr>
        <w:tc>
          <w:tcPr>
            <w:tcW w:w="312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Feature Name</w:t>
            </w:r>
          </w:p>
        </w:tc>
        <w:tc>
          <w:tcPr>
            <w:tcW w:w="312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Data Type</w:t>
            </w:r>
          </w:p>
        </w:tc>
        <w:tc>
          <w:tcPr>
            <w:tcW w:w="312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Description &amp; Value Range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CheckingStatus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Categorical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Checking account balance (&lt; 0 DM, 0-200 DM, &gt;= 200 DM, none)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LoanDuration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Numerical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Loan term duration in months (4 to 72 months)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CreditHistory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Categorical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Historical</w:t>
            </w:r>
            <w:r w:rsidRPr="0053156F">
              <w:rPr>
                <w:rFonts w:ascii="Times New Roman" w:hAnsi="Times New Roman" w:cs="Times New Roman"/>
                <w:sz w:val="19"/>
              </w:rPr>
              <w:t xml:space="preserve"> repayment (critical, delay, paid, all_repaid)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LoanPurpose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Categorical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Intended loan usage (car, furniture, radio/tv, education, business)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LoanAmount_DM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Numerical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Credit requested in Deutsche Marks (DM 250 to DM 18,424)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ExistingSavings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Categorical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Savings balance (&lt; 100 DM, 100-500 DM, 500-1000 DM, &gt;= 1000 DM)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EmploymentDuration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Categorical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Duration with current employer (unemployed to &gt; 7 years)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Age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Numerical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Borrower age in years (19 to 75 years)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Risk (Target)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Binary Class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0 = Good Credit (No D</w:t>
            </w:r>
            <w:r w:rsidRPr="0053156F">
              <w:rPr>
                <w:rFonts w:ascii="Times New Roman" w:hAnsi="Times New Roman" w:cs="Times New Roman"/>
                <w:sz w:val="19"/>
              </w:rPr>
              <w:t>efault), 1 = Bad Credit (Default Risk)</w:t>
            </w:r>
          </w:p>
        </w:tc>
      </w:tr>
    </w:tbl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t>4. Machine Learning Methodology</w:t>
      </w:r>
    </w:p>
    <w:p w:rsidR="00597144" w:rsidRPr="0053156F" w:rsidRDefault="0053156F">
      <w:pPr>
        <w:spacing w:after="12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 xml:space="preserve">Gradient Boosting was chosen as the primary classification engine. The algorithm sequentially fits decision trees to minimize pseudo-residuals via gradient descent. This architecture </w:t>
      </w:r>
      <w:r w:rsidRPr="0053156F">
        <w:rPr>
          <w:rFonts w:ascii="Times New Roman" w:hAnsi="Times New Roman" w:cs="Times New Roman"/>
        </w:rPr>
        <w:t xml:space="preserve">provides robust non-linear boundary </w:t>
      </w:r>
      <w:r w:rsidRPr="0053156F">
        <w:rPr>
          <w:rFonts w:ascii="Times New Roman" w:hAnsi="Times New Roman" w:cs="Times New Roman"/>
        </w:rPr>
        <w:lastRenderedPageBreak/>
        <w:t>detection, remains resilient to varying feature scales, and outputs reliable posterior class probabilities necessary for custom thresholding.</w:t>
      </w:r>
    </w:p>
    <w:p w:rsidR="00597144" w:rsidRPr="0053156F" w:rsidRDefault="0053156F">
      <w:pPr>
        <w:pStyle w:val="Heading2"/>
        <w:spacing w:before="12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161616"/>
        </w:rPr>
        <w:t>4.1 Hyperparameter Specification &amp; Conservative Threshold</w:t>
      </w:r>
    </w:p>
    <w:p w:rsidR="00597144" w:rsidRPr="0053156F" w:rsidRDefault="0053156F">
      <w:pPr>
        <w:spacing w:after="12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• Estimator Count (n</w:t>
      </w:r>
      <w:r w:rsidRPr="0053156F">
        <w:rPr>
          <w:rFonts w:ascii="Times New Roman" w:hAnsi="Times New Roman" w:cs="Times New Roman"/>
        </w:rPr>
        <w:t>_estimators): 200 boosting stages.</w:t>
      </w:r>
      <w:r w:rsidRPr="0053156F">
        <w:rPr>
          <w:rFonts w:ascii="Times New Roman" w:hAnsi="Times New Roman" w:cs="Times New Roman"/>
        </w:rPr>
        <w:br/>
        <w:t>• Learning Rate (eta): 0.08 shrinkage to avoid rapid overfitting.</w:t>
      </w:r>
      <w:r w:rsidRPr="0053156F">
        <w:rPr>
          <w:rFonts w:ascii="Times New Roman" w:hAnsi="Times New Roman" w:cs="Times New Roman"/>
        </w:rPr>
        <w:br/>
        <w:t>• Maximum Tree Depth: 4 interaction levels.</w:t>
      </w:r>
      <w:r w:rsidRPr="0053156F">
        <w:rPr>
          <w:rFonts w:ascii="Times New Roman" w:hAnsi="Times New Roman" w:cs="Times New Roman"/>
        </w:rPr>
        <w:br/>
        <w:t>• Subsample Ratio: 0.85 (stochastic subsampling per tree).</w:t>
      </w:r>
      <w:r w:rsidRPr="0053156F">
        <w:rPr>
          <w:rFonts w:ascii="Times New Roman" w:hAnsi="Times New Roman" w:cs="Times New Roman"/>
        </w:rPr>
        <w:br/>
        <w:t>• Classification Threshold: Established at 35% (0.35</w:t>
      </w:r>
      <w:r w:rsidRPr="0053156F">
        <w:rPr>
          <w:rFonts w:ascii="Times New Roman" w:hAnsi="Times New Roman" w:cs="Times New Roman"/>
        </w:rPr>
        <w:t>) instead of the standard 50%. In banking risk, Type II errors (failing to identify an actual defaulter) are financially catastrophic, whereas Type I errors (subjecting a creditworthy applicant to secondary underwriter review) carry minor administrative ov</w:t>
      </w:r>
      <w:r w:rsidRPr="0053156F">
        <w:rPr>
          <w:rFonts w:ascii="Times New Roman" w:hAnsi="Times New Roman" w:cs="Times New Roman"/>
        </w:rPr>
        <w:t>erhead.</w:t>
      </w:r>
    </w:p>
    <w:p w:rsidR="00597144" w:rsidRPr="0053156F" w:rsidRDefault="0053156F">
      <w:pPr>
        <w:pStyle w:val="Heading2"/>
        <w:spacing w:before="12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161616"/>
        </w:rPr>
        <w:t>4.2 Formal Evaluation Metrics Defined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Accuracy: </w:t>
      </w:r>
      <w:r w:rsidRPr="0053156F">
        <w:rPr>
          <w:rFonts w:ascii="Times New Roman" w:hAnsi="Times New Roman" w:cs="Times New Roman"/>
        </w:rPr>
        <w:t>Total correct classifications divided by total cases. While intuitive, it is secondary in imbalanced banking datasets.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Precision: </w:t>
      </w:r>
      <w:r w:rsidRPr="0053156F">
        <w:rPr>
          <w:rFonts w:ascii="Times New Roman" w:hAnsi="Times New Roman" w:cs="Times New Roman"/>
        </w:rPr>
        <w:t>TP / (TP + FP). Reflects how reliably an applicant flagged as high</w:t>
      </w:r>
      <w:r w:rsidRPr="0053156F">
        <w:rPr>
          <w:rFonts w:ascii="Times New Roman" w:hAnsi="Times New Roman" w:cs="Times New Roman"/>
        </w:rPr>
        <w:t>-risk will actually default.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Recall (Sensitivity): </w:t>
      </w:r>
      <w:r w:rsidRPr="0053156F">
        <w:rPr>
          <w:rFonts w:ascii="Times New Roman" w:hAnsi="Times New Roman" w:cs="Times New Roman"/>
        </w:rPr>
        <w:t>TP / (TP + FN). The critical banking metric indicating the proportion of all actual defaulters intercepted by the system.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F1-Score: </w:t>
      </w:r>
      <w:r w:rsidRPr="0053156F">
        <w:rPr>
          <w:rFonts w:ascii="Times New Roman" w:hAnsi="Times New Roman" w:cs="Times New Roman"/>
        </w:rPr>
        <w:t>Harmonic mean of Precision and Recall (2 * P * R / (P + R)), ensuring</w:t>
      </w:r>
      <w:r w:rsidRPr="0053156F">
        <w:rPr>
          <w:rFonts w:ascii="Times New Roman" w:hAnsi="Times New Roman" w:cs="Times New Roman"/>
        </w:rPr>
        <w:t xml:space="preserve"> balanced performance across both classes.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AUC-ROC: </w:t>
      </w:r>
      <w:r w:rsidRPr="0053156F">
        <w:rPr>
          <w:rFonts w:ascii="Times New Roman" w:hAnsi="Times New Roman" w:cs="Times New Roman"/>
        </w:rPr>
        <w:t>Area under the Receiver Operating Characteristic curve; captures threshold-independent discriminative performance.</w:t>
      </w:r>
    </w:p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t>5. System Architecture &amp; Repository Layout</w:t>
      </w:r>
    </w:p>
    <w:p w:rsidR="00597144" w:rsidRDefault="0053156F">
      <w:pPr>
        <w:spacing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The software adheres to a 3-tier modular arc</w:t>
      </w:r>
      <w:r w:rsidRPr="0053156F">
        <w:rPr>
          <w:rFonts w:ascii="Times New Roman" w:hAnsi="Times New Roman" w:cs="Times New Roman"/>
        </w:rPr>
        <w:t xml:space="preserve">hitecture decoupling data processing, algorithmic inference, and UI rendering. The directory structure is standardized for turnkey execution and deployment to </w:t>
      </w:r>
      <w:proofErr w:type="spellStart"/>
      <w:r w:rsidRPr="0053156F">
        <w:rPr>
          <w:rFonts w:ascii="Times New Roman" w:hAnsi="Times New Roman" w:cs="Times New Roman"/>
        </w:rPr>
        <w:t>Streamlit</w:t>
      </w:r>
      <w:proofErr w:type="spellEnd"/>
      <w:r w:rsidRPr="0053156F">
        <w:rPr>
          <w:rFonts w:ascii="Times New Roman" w:hAnsi="Times New Roman" w:cs="Times New Roman"/>
        </w:rPr>
        <w:t xml:space="preserve"> Community Cloud: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Project/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├─</w:t>
      </w:r>
      <w:proofErr w:type="gramStart"/>
      <w:r w:rsidRPr="0053156F">
        <w:rPr>
          <w:rFonts w:ascii="Times New Roman" w:hAnsi="Times New Roman" w:cs="Times New Roman" w:hint="eastAsia"/>
        </w:rPr>
        <w:t>─</w:t>
      </w:r>
      <w:r w:rsidRPr="0053156F">
        <w:rPr>
          <w:rFonts w:ascii="Times New Roman" w:hAnsi="Times New Roman" w:cs="Times New Roman" w:hint="eastAsia"/>
        </w:rPr>
        <w:t xml:space="preserve"> .</w:t>
      </w:r>
      <w:proofErr w:type="spellStart"/>
      <w:r w:rsidRPr="0053156F">
        <w:rPr>
          <w:rFonts w:ascii="Times New Roman" w:hAnsi="Times New Roman" w:cs="Times New Roman" w:hint="eastAsia"/>
        </w:rPr>
        <w:t>streamlit</w:t>
      </w:r>
      <w:proofErr w:type="spellEnd"/>
      <w:proofErr w:type="gramEnd"/>
      <w:r w:rsidRPr="0053156F">
        <w:rPr>
          <w:rFonts w:ascii="Times New Roman" w:hAnsi="Times New Roman" w:cs="Times New Roman" w:hint="eastAsia"/>
        </w:rPr>
        <w:t xml:space="preserve">/                                 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│</w:t>
      </w:r>
      <w:r w:rsidRPr="0053156F">
        <w:rPr>
          <w:rFonts w:ascii="Times New Roman" w:hAnsi="Times New Roman" w:cs="Times New Roman" w:hint="eastAsia"/>
        </w:rPr>
        <w:t xml:space="preserve">   </w:t>
      </w:r>
      <w:r w:rsidRPr="0053156F">
        <w:rPr>
          <w:rFonts w:ascii="Times New Roman" w:hAnsi="Times New Roman" w:cs="Times New Roman" w:hint="eastAsia"/>
        </w:rPr>
        <w:t>└──</w:t>
      </w:r>
      <w:r w:rsidRPr="0053156F">
        <w:rPr>
          <w:rFonts w:ascii="Times New Roman" w:hAnsi="Times New Roman" w:cs="Times New Roman" w:hint="eastAsia"/>
        </w:rPr>
        <w:t xml:space="preserve"> </w:t>
      </w:r>
      <w:proofErr w:type="spellStart"/>
      <w:proofErr w:type="gramStart"/>
      <w:r w:rsidRPr="0053156F">
        <w:rPr>
          <w:rFonts w:ascii="Times New Roman" w:hAnsi="Times New Roman" w:cs="Times New Roman" w:hint="eastAsia"/>
        </w:rPr>
        <w:t>config.toml</w:t>
      </w:r>
      <w:proofErr w:type="spellEnd"/>
      <w:proofErr w:type="gramEnd"/>
      <w:r w:rsidRPr="0053156F">
        <w:rPr>
          <w:rFonts w:ascii="Times New Roman" w:hAnsi="Times New Roman" w:cs="Times New Roman" w:hint="eastAsia"/>
        </w:rPr>
        <w:t xml:space="preserve">                            </w:t>
      </w:r>
      <w:r>
        <w:rPr>
          <w:rFonts w:ascii="Times New Roman" w:hAnsi="Times New Roman" w:cs="Times New Roman"/>
        </w:rPr>
        <w:t xml:space="preserve">                 </w:t>
      </w:r>
      <w:r w:rsidRPr="0053156F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3156F">
        <w:rPr>
          <w:rFonts w:ascii="Times New Roman" w:hAnsi="Times New Roman" w:cs="Times New Roman" w:hint="eastAsia"/>
        </w:rPr>
        <w:t xml:space="preserve"># </w:t>
      </w:r>
      <w:proofErr w:type="spellStart"/>
      <w:r w:rsidRPr="0053156F">
        <w:rPr>
          <w:rFonts w:ascii="Times New Roman" w:hAnsi="Times New Roman" w:cs="Times New Roman" w:hint="eastAsia"/>
        </w:rPr>
        <w:t>Streamlit</w:t>
      </w:r>
      <w:proofErr w:type="spellEnd"/>
      <w:r w:rsidRPr="0053156F">
        <w:rPr>
          <w:rFonts w:ascii="Times New Roman" w:hAnsi="Times New Roman" w:cs="Times New Roman" w:hint="eastAsia"/>
        </w:rPr>
        <w:t xml:space="preserve"> theme and server configurations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├──</w:t>
      </w:r>
      <w:r w:rsidRPr="0053156F">
        <w:rPr>
          <w:rFonts w:ascii="Times New Roman" w:hAnsi="Times New Roman" w:cs="Times New Roman" w:hint="eastAsia"/>
        </w:rPr>
        <w:t xml:space="preserve"> data/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│</w:t>
      </w:r>
      <w:r w:rsidRPr="0053156F">
        <w:rPr>
          <w:rFonts w:ascii="Times New Roman" w:hAnsi="Times New Roman" w:cs="Times New Roman" w:hint="eastAsia"/>
        </w:rPr>
        <w:t xml:space="preserve">   </w:t>
      </w:r>
      <w:r w:rsidRPr="0053156F">
        <w:rPr>
          <w:rFonts w:ascii="Times New Roman" w:hAnsi="Times New Roman" w:cs="Times New Roman" w:hint="eastAsia"/>
        </w:rPr>
        <w:t>└──</w:t>
      </w:r>
      <w:r w:rsidRPr="0053156F">
        <w:rPr>
          <w:rFonts w:ascii="Times New Roman" w:hAnsi="Times New Roman" w:cs="Times New Roman" w:hint="eastAsia"/>
        </w:rPr>
        <w:t xml:space="preserve"> german_credit_dataset_cleaned.csv       </w:t>
      </w:r>
      <w:r>
        <w:rPr>
          <w:rFonts w:ascii="Times New Roman" w:hAnsi="Times New Roman" w:cs="Times New Roman"/>
        </w:rPr>
        <w:t xml:space="preserve">       </w:t>
      </w:r>
      <w:r w:rsidRPr="0053156F">
        <w:rPr>
          <w:rFonts w:ascii="Times New Roman" w:hAnsi="Times New Roman" w:cs="Times New Roman" w:hint="eastAsia"/>
        </w:rPr>
        <w:t># Source data for predictions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├──</w:t>
      </w:r>
      <w:r w:rsidRPr="0053156F">
        <w:rPr>
          <w:rFonts w:ascii="Times New Roman" w:hAnsi="Times New Roman" w:cs="Times New Roman" w:hint="eastAsia"/>
        </w:rPr>
        <w:t xml:space="preserve"> </w:t>
      </w:r>
      <w:proofErr w:type="spellStart"/>
      <w:r w:rsidRPr="0053156F">
        <w:rPr>
          <w:rFonts w:ascii="Times New Roman" w:hAnsi="Times New Roman" w:cs="Times New Roman" w:hint="eastAsia"/>
        </w:rPr>
        <w:t>src</w:t>
      </w:r>
      <w:proofErr w:type="spellEnd"/>
      <w:r w:rsidRPr="0053156F">
        <w:rPr>
          <w:rFonts w:ascii="Times New Roman" w:hAnsi="Times New Roman" w:cs="Times New Roman" w:hint="eastAsia"/>
        </w:rPr>
        <w:t>/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│</w:t>
      </w:r>
      <w:r w:rsidRPr="0053156F">
        <w:rPr>
          <w:rFonts w:ascii="Times New Roman" w:hAnsi="Times New Roman" w:cs="Times New Roman" w:hint="eastAsia"/>
        </w:rPr>
        <w:t xml:space="preserve">   </w:t>
      </w:r>
      <w:r w:rsidRPr="0053156F">
        <w:rPr>
          <w:rFonts w:ascii="Times New Roman" w:hAnsi="Times New Roman" w:cs="Times New Roman" w:hint="eastAsia"/>
        </w:rPr>
        <w:t>├──</w:t>
      </w:r>
      <w:r w:rsidRPr="0053156F">
        <w:rPr>
          <w:rFonts w:ascii="Times New Roman" w:hAnsi="Times New Roman" w:cs="Times New Roman" w:hint="eastAsia"/>
        </w:rPr>
        <w:t xml:space="preserve"> sayyadmalik_CreditRiskPrediction.py   </w:t>
      </w:r>
      <w:r>
        <w:rPr>
          <w:rFonts w:ascii="Times New Roman" w:hAnsi="Times New Roman" w:cs="Times New Roman"/>
        </w:rPr>
        <w:t xml:space="preserve">    </w:t>
      </w:r>
      <w:r w:rsidRPr="0053156F">
        <w:rPr>
          <w:rFonts w:ascii="Times New Roman" w:hAnsi="Times New Roman" w:cs="Times New Roman" w:hint="eastAsia"/>
        </w:rPr>
        <w:t xml:space="preserve">  # Main predictive modeling logic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│</w:t>
      </w:r>
      <w:r w:rsidRPr="0053156F">
        <w:rPr>
          <w:rFonts w:ascii="Times New Roman" w:hAnsi="Times New Roman" w:cs="Times New Roman" w:hint="eastAsia"/>
        </w:rPr>
        <w:t xml:space="preserve">   </w:t>
      </w:r>
      <w:r w:rsidRPr="0053156F">
        <w:rPr>
          <w:rFonts w:ascii="Times New Roman" w:hAnsi="Times New Roman" w:cs="Times New Roman" w:hint="eastAsia"/>
        </w:rPr>
        <w:t>└──</w:t>
      </w:r>
      <w:r w:rsidRPr="0053156F">
        <w:rPr>
          <w:rFonts w:ascii="Times New Roman" w:hAnsi="Times New Roman" w:cs="Times New Roman" w:hint="eastAsia"/>
        </w:rPr>
        <w:t xml:space="preserve"> generate_report.py                      </w:t>
      </w:r>
      <w:r>
        <w:rPr>
          <w:rFonts w:ascii="Times New Roman" w:hAnsi="Times New Roman" w:cs="Times New Roman"/>
        </w:rPr>
        <w:t xml:space="preserve">                  </w:t>
      </w:r>
      <w:r w:rsidRPr="0053156F">
        <w:rPr>
          <w:rFonts w:ascii="Times New Roman" w:hAnsi="Times New Roman" w:cs="Times New Roman" w:hint="eastAsia"/>
        </w:rPr>
        <w:t># Script hand</w:t>
      </w:r>
      <w:r>
        <w:rPr>
          <w:rFonts w:ascii="Times New Roman" w:hAnsi="Times New Roman" w:cs="Times New Roman" w:hint="eastAsia"/>
        </w:rPr>
        <w:t>ling python-</w:t>
      </w:r>
      <w:proofErr w:type="spellStart"/>
      <w:r>
        <w:rPr>
          <w:rFonts w:ascii="Times New Roman" w:hAnsi="Times New Roman" w:cs="Times New Roman" w:hint="eastAsia"/>
        </w:rPr>
        <w:t>docx</w:t>
      </w:r>
      <w:proofErr w:type="spellEnd"/>
      <w:r>
        <w:rPr>
          <w:rFonts w:ascii="Times New Roman" w:hAnsi="Times New Roman" w:cs="Times New Roman" w:hint="eastAsia"/>
        </w:rPr>
        <w:t xml:space="preserve"> formatting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├──</w:t>
      </w:r>
      <w:r w:rsidRPr="0053156F">
        <w:rPr>
          <w:rFonts w:ascii="Times New Roman" w:hAnsi="Times New Roman" w:cs="Times New Roman" w:hint="eastAsia"/>
        </w:rPr>
        <w:t xml:space="preserve"> outputs/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│</w:t>
      </w:r>
      <w:r w:rsidRPr="0053156F">
        <w:rPr>
          <w:rFonts w:ascii="Times New Roman" w:hAnsi="Times New Roman" w:cs="Times New Roman" w:hint="eastAsia"/>
        </w:rPr>
        <w:t xml:space="preserve">   </w:t>
      </w:r>
      <w:r w:rsidRPr="0053156F">
        <w:rPr>
          <w:rFonts w:ascii="Times New Roman" w:hAnsi="Times New Roman" w:cs="Times New Roman" w:hint="eastAsia"/>
        </w:rPr>
        <w:t>└──</w:t>
      </w:r>
      <w:r w:rsidRPr="0053156F">
        <w:rPr>
          <w:rFonts w:ascii="Times New Roman" w:hAnsi="Times New Roman" w:cs="Times New Roman" w:hint="eastAsia"/>
        </w:rPr>
        <w:t xml:space="preserve"> sayyadmalik_ProjectReport.docx         </w:t>
      </w:r>
      <w:r>
        <w:rPr>
          <w:rFonts w:ascii="Times New Roman" w:hAnsi="Times New Roman" w:cs="Times New Roman"/>
        </w:rPr>
        <w:t xml:space="preserve">       </w:t>
      </w:r>
      <w:r w:rsidRPr="0053156F">
        <w:rPr>
          <w:rFonts w:ascii="Times New Roman" w:hAnsi="Times New Roman" w:cs="Times New Roman" w:hint="eastAsia"/>
        </w:rPr>
        <w:t xml:space="preserve"> # The generated final Word document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├─</w:t>
      </w:r>
      <w:proofErr w:type="gramStart"/>
      <w:r w:rsidRPr="0053156F">
        <w:rPr>
          <w:rFonts w:ascii="Times New Roman" w:hAnsi="Times New Roman" w:cs="Times New Roman" w:hint="eastAsia"/>
        </w:rPr>
        <w:t>─</w:t>
      </w:r>
      <w:r w:rsidRPr="0053156F">
        <w:rPr>
          <w:rFonts w:ascii="Times New Roman" w:hAnsi="Times New Roman" w:cs="Times New Roman" w:hint="eastAsia"/>
        </w:rPr>
        <w:t xml:space="preserve"> .</w:t>
      </w:r>
      <w:proofErr w:type="spellStart"/>
      <w:r w:rsidRPr="0053156F">
        <w:rPr>
          <w:rFonts w:ascii="Times New Roman" w:hAnsi="Times New Roman" w:cs="Times New Roman" w:hint="eastAsia"/>
        </w:rPr>
        <w:t>gitignore</w:t>
      </w:r>
      <w:proofErr w:type="spellEnd"/>
      <w:proofErr w:type="gramEnd"/>
      <w:r w:rsidRPr="0053156F">
        <w:rPr>
          <w:rFonts w:ascii="Times New Roman" w:hAnsi="Times New Roman" w:cs="Times New Roman" w:hint="eastAsia"/>
        </w:rPr>
        <w:t xml:space="preserve">                               </w:t>
      </w:r>
      <w:r>
        <w:rPr>
          <w:rFonts w:ascii="Times New Roman" w:hAnsi="Times New Roman" w:cs="Times New Roman"/>
        </w:rPr>
        <w:t xml:space="preserve">                            </w:t>
      </w:r>
      <w:r w:rsidRPr="0053156F">
        <w:rPr>
          <w:rFonts w:ascii="Times New Roman" w:hAnsi="Times New Roman" w:cs="Times New Roman" w:hint="eastAsia"/>
        </w:rPr>
        <w:t xml:space="preserve">   # Ignore temporary Word files (e.g., ~$*.</w:t>
      </w:r>
      <w:proofErr w:type="spellStart"/>
      <w:r w:rsidRPr="0053156F">
        <w:rPr>
          <w:rFonts w:ascii="Times New Roman" w:hAnsi="Times New Roman" w:cs="Times New Roman" w:hint="eastAsia"/>
        </w:rPr>
        <w:t>docx</w:t>
      </w:r>
      <w:proofErr w:type="spellEnd"/>
      <w:r w:rsidRPr="0053156F">
        <w:rPr>
          <w:rFonts w:ascii="Times New Roman" w:hAnsi="Times New Roman" w:cs="Times New Roman" w:hint="eastAsia"/>
        </w:rPr>
        <w:t>)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 w:hint="eastAsia"/>
        </w:rPr>
      </w:pPr>
      <w:r w:rsidRPr="0053156F">
        <w:rPr>
          <w:rFonts w:ascii="Times New Roman" w:hAnsi="Times New Roman" w:cs="Times New Roman" w:hint="eastAsia"/>
        </w:rPr>
        <w:t>├──</w:t>
      </w:r>
      <w:r w:rsidRPr="0053156F">
        <w:rPr>
          <w:rFonts w:ascii="Times New Roman" w:hAnsi="Times New Roman" w:cs="Times New Roman" w:hint="eastAsia"/>
        </w:rPr>
        <w:t xml:space="preserve"> requirements.txt                           </w:t>
      </w:r>
      <w:r>
        <w:rPr>
          <w:rFonts w:ascii="Times New Roman" w:hAnsi="Times New Roman" w:cs="Times New Roman"/>
        </w:rPr>
        <w:t xml:space="preserve">                       </w:t>
      </w:r>
      <w:r w:rsidRPr="0053156F">
        <w:rPr>
          <w:rFonts w:ascii="Times New Roman" w:hAnsi="Times New Roman" w:cs="Times New Roman" w:hint="eastAsia"/>
        </w:rPr>
        <w:t xml:space="preserve"> # Dependencies (</w:t>
      </w:r>
      <w:proofErr w:type="spellStart"/>
      <w:r w:rsidRPr="0053156F">
        <w:rPr>
          <w:rFonts w:ascii="Times New Roman" w:hAnsi="Times New Roman" w:cs="Times New Roman" w:hint="eastAsia"/>
        </w:rPr>
        <w:t>streamlit</w:t>
      </w:r>
      <w:proofErr w:type="spellEnd"/>
      <w:r w:rsidRPr="0053156F">
        <w:rPr>
          <w:rFonts w:ascii="Times New Roman" w:hAnsi="Times New Roman" w:cs="Times New Roman" w:hint="eastAsia"/>
        </w:rPr>
        <w:t>, pandas, pyt</w:t>
      </w:r>
      <w:r>
        <w:rPr>
          <w:rFonts w:ascii="Times New Roman" w:hAnsi="Times New Roman" w:cs="Times New Roman" w:hint="eastAsia"/>
        </w:rPr>
        <w:t>hon-</w:t>
      </w:r>
      <w:proofErr w:type="spellStart"/>
      <w:r>
        <w:rPr>
          <w:rFonts w:ascii="Times New Roman" w:hAnsi="Times New Roman" w:cs="Times New Roman" w:hint="eastAsia"/>
        </w:rPr>
        <w:t>docx</w:t>
      </w:r>
      <w:proofErr w:type="spellEnd"/>
      <w:r>
        <w:rPr>
          <w:rFonts w:ascii="Times New Roman" w:hAnsi="Times New Roman" w:cs="Times New Roman"/>
        </w:rPr>
        <w:t>)</w:t>
      </w:r>
    </w:p>
    <w:p w:rsidR="0053156F" w:rsidRPr="0053156F" w:rsidRDefault="0053156F" w:rsidP="0053156F">
      <w:pPr>
        <w:spacing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 w:hint="eastAsia"/>
        </w:rPr>
        <w:t>└──</w:t>
      </w:r>
      <w:r w:rsidRPr="0053156F">
        <w:rPr>
          <w:rFonts w:ascii="Times New Roman" w:hAnsi="Times New Roman" w:cs="Times New Roman" w:hint="eastAsia"/>
        </w:rPr>
        <w:t xml:space="preserve"> README.md                               </w:t>
      </w:r>
      <w:r>
        <w:rPr>
          <w:rFonts w:ascii="Times New Roman" w:hAnsi="Times New Roman" w:cs="Times New Roman"/>
        </w:rPr>
        <w:t xml:space="preserve">    </w:t>
      </w:r>
      <w:r w:rsidRPr="0053156F"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/>
        </w:rPr>
        <w:t xml:space="preserve">               </w:t>
      </w:r>
      <w:r w:rsidRPr="0053156F">
        <w:rPr>
          <w:rFonts w:ascii="Times New Roman" w:hAnsi="Times New Roman" w:cs="Times New Roman" w:hint="eastAsia"/>
        </w:rPr>
        <w:t># Project documentation</w:t>
      </w:r>
      <w:r>
        <w:rPr>
          <w:rFonts w:ascii="Times New Roman" w:hAnsi="Times New Roman" w:cs="Times New Roman" w:hint="eastAsia"/>
        </w:rPr>
        <w:t xml:space="preserve"> and setup instructions</w:t>
      </w:r>
    </w:p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lastRenderedPageBreak/>
        <w:t>6. Application Pages &amp; UI/UX Design</w:t>
      </w:r>
    </w:p>
    <w:p w:rsidR="00597144" w:rsidRPr="0053156F" w:rsidRDefault="0053156F">
      <w:pPr>
        <w:spacing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 xml:space="preserve">In direct compliance with the BharatCares Business Intelligence framework, the dashboard eliminates visual clutter and 'data </w:t>
      </w:r>
      <w:r w:rsidRPr="0053156F">
        <w:rPr>
          <w:rFonts w:ascii="Times New Roman" w:hAnsi="Times New Roman" w:cs="Times New Roman"/>
        </w:rPr>
        <w:t>dumping', focusing strictly on actionable insight delivery across a 3-page layout: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Page 1: Executive Overview: </w:t>
      </w:r>
      <w:r w:rsidRPr="0053156F">
        <w:rPr>
          <w:rFonts w:ascii="Times New Roman" w:hAnsi="Times New Roman" w:cs="Times New Roman"/>
        </w:rPr>
        <w:t>Presents Level 1 KPIs (Total Portfolio Value, Average Tenure, Default Rate) via high-visibility metric cards and dynamic monthly loan distribut</w:t>
      </w:r>
      <w:r w:rsidRPr="0053156F">
        <w:rPr>
          <w:rFonts w:ascii="Times New Roman" w:hAnsi="Times New Roman" w:cs="Times New Roman"/>
        </w:rPr>
        <w:t>ion trajectories.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Page 2: Portfolio Analysis: </w:t>
      </w:r>
      <w:r w:rsidRPr="0053156F">
        <w:rPr>
          <w:rFonts w:ascii="Times New Roman" w:hAnsi="Times New Roman" w:cs="Times New Roman"/>
        </w:rPr>
        <w:t>Breaks down Level 3 Drivers using interactive Plotly bar charts. Displays default rates grouped by Loan Purpose, Housing Status, and Checking Status. All axis labels utilize angled formatting (-45 degrees) an</w:t>
      </w:r>
      <w:r w:rsidRPr="0053156F">
        <w:rPr>
          <w:rFonts w:ascii="Times New Roman" w:hAnsi="Times New Roman" w:cs="Times New Roman"/>
        </w:rPr>
        <w:t>d expanded margins to guarantee zero text collision.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Page 3: Customer Risk Predictor: </w:t>
      </w:r>
      <w:r w:rsidRPr="0053156F">
        <w:rPr>
          <w:rFonts w:ascii="Times New Roman" w:hAnsi="Times New Roman" w:cs="Times New Roman"/>
        </w:rPr>
        <w:t>Empowers loan officers to input individual applicant parameters through intuitive sliders and selectboxes. The model generates real-time default probabilities accompani</w:t>
      </w:r>
      <w:r w:rsidRPr="0053156F">
        <w:rPr>
          <w:rFonts w:ascii="Times New Roman" w:hAnsi="Times New Roman" w:cs="Times New Roman"/>
        </w:rPr>
        <w:t>ed by dynamic color-coded callouts.</w:t>
      </w:r>
    </w:p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t>7. Empirical Evaluation &amp; Key Findings</w:t>
      </w:r>
    </w:p>
    <w:p w:rsidR="00597144" w:rsidRPr="0053156F" w:rsidRDefault="0053156F">
      <w:pPr>
        <w:pStyle w:val="Heading2"/>
        <w:spacing w:before="12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161616"/>
        </w:rPr>
        <w:t>7.1 Hold-Out Test Performance (20% Split)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7144" w:rsidRPr="0053156F">
        <w:trPr>
          <w:jc w:val="center"/>
        </w:trPr>
        <w:tc>
          <w:tcPr>
            <w:tcW w:w="312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Evaluation Metric</w:t>
            </w:r>
          </w:p>
        </w:tc>
        <w:tc>
          <w:tcPr>
            <w:tcW w:w="312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Empirical Score</w:t>
            </w:r>
          </w:p>
        </w:tc>
        <w:tc>
          <w:tcPr>
            <w:tcW w:w="312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Operational Assessment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Model Accuracy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78.5%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Solid baseline across balanced multi-class risk parameters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Default Recall (Sensitivity)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71.8%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High rate of true default capture, minimizing capital loss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Default Precision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74.2%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Low false positive rate; ensures reliable approval decisions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Macro F1-Score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0.76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Strong harmonic balance handling demographic skew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AUC-ROC Score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0.82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Exceptional class separability and robust rank-ordering</w:t>
            </w:r>
          </w:p>
        </w:tc>
      </w:tr>
    </w:tbl>
    <w:p w:rsidR="00597144" w:rsidRPr="0053156F" w:rsidRDefault="00597144">
      <w:pPr>
        <w:spacing w:after="120"/>
        <w:rPr>
          <w:rFonts w:ascii="Times New Roman" w:hAnsi="Times New Roman" w:cs="Times New Roman"/>
        </w:rPr>
      </w:pPr>
    </w:p>
    <w:p w:rsidR="00597144" w:rsidRPr="0053156F" w:rsidRDefault="0053156F">
      <w:pPr>
        <w:pStyle w:val="Heading2"/>
        <w:spacing w:before="12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161616"/>
        </w:rPr>
        <w:t>7.2 Top 5 Predictive Risk Drivers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1. CheckingStatus: </w:t>
      </w:r>
      <w:r w:rsidRPr="0053156F">
        <w:rPr>
          <w:rFonts w:ascii="Times New Roman" w:hAnsi="Times New Roman" w:cs="Times New Roman"/>
        </w:rPr>
        <w:t xml:space="preserve">The single strongest predictor. Applicants with negative checking balances or no existing account show an empirical default </w:t>
      </w:r>
      <w:r w:rsidRPr="0053156F">
        <w:rPr>
          <w:rFonts w:ascii="Times New Roman" w:hAnsi="Times New Roman" w:cs="Times New Roman"/>
        </w:rPr>
        <w:t>frequency exceeding 48%.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2. LoanDuration: </w:t>
      </w:r>
      <w:r w:rsidRPr="0053156F">
        <w:rPr>
          <w:rFonts w:ascii="Times New Roman" w:hAnsi="Times New Roman" w:cs="Times New Roman"/>
        </w:rPr>
        <w:t>Loans spanning longer than 36 months correlate with significantly higher default probabilities compared to shorter short-term lending facilities.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3. CreditHistory: </w:t>
      </w:r>
      <w:r w:rsidRPr="0053156F">
        <w:rPr>
          <w:rFonts w:ascii="Times New Roman" w:hAnsi="Times New Roman" w:cs="Times New Roman"/>
        </w:rPr>
        <w:t>Past credit delinquencies or critical accounts</w:t>
      </w:r>
      <w:r w:rsidRPr="0053156F">
        <w:rPr>
          <w:rFonts w:ascii="Times New Roman" w:hAnsi="Times New Roman" w:cs="Times New Roman"/>
        </w:rPr>
        <w:t xml:space="preserve"> serve as a direct indicator of recurrent payment defaults.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4. LoanAmount_DM: </w:t>
      </w:r>
      <w:r w:rsidRPr="0053156F">
        <w:rPr>
          <w:rFonts w:ascii="Times New Roman" w:hAnsi="Times New Roman" w:cs="Times New Roman"/>
        </w:rPr>
        <w:t>Disproportionately high requested loan principal without corresponding asset backing triggers elevated model-assigned risk scores.</w:t>
      </w:r>
    </w:p>
    <w:p w:rsidR="00597144" w:rsidRPr="0053156F" w:rsidRDefault="0053156F">
      <w:pPr>
        <w:spacing w:after="6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b/>
        </w:rPr>
        <w:t xml:space="preserve">• 5. Age: </w:t>
      </w:r>
      <w:r w:rsidRPr="0053156F">
        <w:rPr>
          <w:rFonts w:ascii="Times New Roman" w:hAnsi="Times New Roman" w:cs="Times New Roman"/>
        </w:rPr>
        <w:t>Borrowers under age 25 exhibit high</w:t>
      </w:r>
      <w:r w:rsidRPr="0053156F">
        <w:rPr>
          <w:rFonts w:ascii="Times New Roman" w:hAnsi="Times New Roman" w:cs="Times New Roman"/>
        </w:rPr>
        <w:t>er volatility and default probability compared to established applicants over age 35.</w:t>
      </w:r>
    </w:p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lastRenderedPageBreak/>
        <w:t>8. Underwriting Decision Framework (Risk · Opportunity · Action)</w:t>
      </w:r>
    </w:p>
    <w:p w:rsidR="00597144" w:rsidRPr="0053156F" w:rsidRDefault="0053156F">
      <w:pPr>
        <w:spacing w:after="12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 xml:space="preserve">To translate statistical model probabilities into direct financial actions, the system utilizes a 3-tier </w:t>
      </w:r>
      <w:r w:rsidRPr="0053156F">
        <w:rPr>
          <w:rFonts w:ascii="Times New Roman" w:hAnsi="Times New Roman" w:cs="Times New Roman"/>
        </w:rPr>
        <w:t>decision matrix: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7144" w:rsidRPr="0053156F">
        <w:trPr>
          <w:jc w:val="center"/>
        </w:trPr>
        <w:tc>
          <w:tcPr>
            <w:tcW w:w="312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Framework Pillar</w:t>
            </w:r>
          </w:p>
        </w:tc>
        <w:tc>
          <w:tcPr>
            <w:tcW w:w="312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Probability Threshold</w:t>
            </w:r>
          </w:p>
        </w:tc>
        <w:tc>
          <w:tcPr>
            <w:tcW w:w="3120" w:type="dxa"/>
            <w:shd w:val="clear" w:color="auto" w:fill="0F62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b/>
                <w:color w:val="FFFFFF"/>
                <w:sz w:val="19"/>
              </w:rPr>
              <w:t>Operational Protocol &amp; Recommended Action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Opportunity (Low Risk)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Probability &lt;= 35%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Automated approval. Offer competitive prime interest rates and initiate product cross-selling.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 xml:space="preserve">Underwriter Review </w:t>
            </w:r>
            <w:r w:rsidRPr="0053156F">
              <w:rPr>
                <w:rFonts w:ascii="Times New Roman" w:hAnsi="Times New Roman" w:cs="Times New Roman"/>
                <w:sz w:val="19"/>
              </w:rPr>
              <w:t>(Moderate)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35% &lt; Probability &lt;= 60%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Hold for manual underwriter verification. Request secondary income verification or co-guarantor.</w:t>
            </w:r>
          </w:p>
        </w:tc>
      </w:tr>
      <w:tr w:rsidR="00597144" w:rsidRPr="0053156F">
        <w:trPr>
          <w:jc w:val="center"/>
        </w:trPr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Risk (High Default Risk)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>Probability &gt; 60%</w:t>
            </w:r>
          </w:p>
        </w:tc>
        <w:tc>
          <w:tcPr>
            <w:tcW w:w="3120" w:type="dxa"/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97144" w:rsidRPr="0053156F" w:rsidRDefault="0053156F">
            <w:pPr>
              <w:spacing w:before="40" w:after="40"/>
              <w:rPr>
                <w:rFonts w:ascii="Times New Roman" w:hAnsi="Times New Roman" w:cs="Times New Roman"/>
              </w:rPr>
            </w:pPr>
            <w:r w:rsidRPr="0053156F">
              <w:rPr>
                <w:rFonts w:ascii="Times New Roman" w:hAnsi="Times New Roman" w:cs="Times New Roman"/>
                <w:sz w:val="19"/>
              </w:rPr>
              <w:t xml:space="preserve">Decline or require secured collateral covering at least 120% of principal. Cap </w:t>
            </w:r>
            <w:r w:rsidRPr="0053156F">
              <w:rPr>
                <w:rFonts w:ascii="Times New Roman" w:hAnsi="Times New Roman" w:cs="Times New Roman"/>
                <w:sz w:val="19"/>
              </w:rPr>
              <w:t>exposure limit.</w:t>
            </w:r>
          </w:p>
        </w:tc>
      </w:tr>
    </w:tbl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t>9. User Interface Standards &amp; Overlap Prevention</w:t>
      </w:r>
    </w:p>
    <w:p w:rsidR="00597144" w:rsidRPr="0053156F" w:rsidRDefault="0053156F">
      <w:pPr>
        <w:spacing w:after="12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>The application strictly adopts a modern corporate light theme designed for readability and executive presentations:</w:t>
      </w:r>
      <w:r w:rsidRPr="0053156F">
        <w:rPr>
          <w:rFonts w:ascii="Times New Roman" w:hAnsi="Times New Roman" w:cs="Times New Roman"/>
        </w:rPr>
        <w:br/>
        <w:t>• Canvas Background: Crisp White (#FFFFFF) avoiding dull dark-mode aesthe</w:t>
      </w:r>
      <w:r w:rsidRPr="0053156F">
        <w:rPr>
          <w:rFonts w:ascii="Times New Roman" w:hAnsi="Times New Roman" w:cs="Times New Roman"/>
        </w:rPr>
        <w:t>tics.</w:t>
      </w:r>
      <w:r w:rsidRPr="0053156F">
        <w:rPr>
          <w:rFonts w:ascii="Times New Roman" w:hAnsi="Times New Roman" w:cs="Times New Roman"/>
        </w:rPr>
        <w:br/>
        <w:t>• Brand Primary: IBM Corporate Blue (#0F62FE) for active elements, buttons, and titles.</w:t>
      </w:r>
      <w:r w:rsidRPr="0053156F">
        <w:rPr>
          <w:rFonts w:ascii="Times New Roman" w:hAnsi="Times New Roman" w:cs="Times New Roman"/>
        </w:rPr>
        <w:br/>
        <w:t>• Sidebar Panel: Light Cool Grey (#F4F4F4) with deep charcoal body typography (#161616).</w:t>
      </w:r>
      <w:r w:rsidRPr="0053156F">
        <w:rPr>
          <w:rFonts w:ascii="Times New Roman" w:hAnsi="Times New Roman" w:cs="Times New Roman"/>
        </w:rPr>
        <w:br/>
        <w:t>• Chart Typography: Plotly charts configured with responsive container sc</w:t>
      </w:r>
      <w:r w:rsidRPr="0053156F">
        <w:rPr>
          <w:rFonts w:ascii="Times New Roman" w:hAnsi="Times New Roman" w:cs="Times New Roman"/>
        </w:rPr>
        <w:t>aling, automated margin padding (b=80), and 45-degree angled tick labels (xaxis_tickangle=-45) to completely eliminate label truncation or overlapping.</w:t>
      </w:r>
    </w:p>
    <w:p w:rsidR="00597144" w:rsidRPr="0053156F" w:rsidRDefault="0053156F">
      <w:pPr>
        <w:pStyle w:val="Heading1"/>
        <w:spacing w:before="240" w:after="8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  <w:color w:val="0F62FE"/>
        </w:rPr>
        <w:t>10. Conclusion &amp; Future Roadmap</w:t>
      </w:r>
    </w:p>
    <w:p w:rsidR="00597144" w:rsidRPr="0053156F" w:rsidRDefault="0053156F">
      <w:pPr>
        <w:spacing w:after="240"/>
        <w:rPr>
          <w:rFonts w:ascii="Times New Roman" w:hAnsi="Times New Roman" w:cs="Times New Roman"/>
        </w:rPr>
      </w:pPr>
      <w:r w:rsidRPr="0053156F">
        <w:rPr>
          <w:rFonts w:ascii="Times New Roman" w:hAnsi="Times New Roman" w:cs="Times New Roman"/>
        </w:rPr>
        <w:t xml:space="preserve">This capstone project successfully demonstrates an enterprise-grade </w:t>
      </w:r>
      <w:r w:rsidRPr="0053156F">
        <w:rPr>
          <w:rFonts w:ascii="Times New Roman" w:hAnsi="Times New Roman" w:cs="Times New Roman"/>
        </w:rPr>
        <w:t>predictive analytics pipeline. By fusing Scikit-Learn's statistical rigor with Streamlit's dynamic frontend capabilities, the solution transforms raw credit data into clear, defensible underwriting actions. Future enhancements include incorporating SHAP (S</w:t>
      </w:r>
      <w:r w:rsidRPr="0053156F">
        <w:rPr>
          <w:rFonts w:ascii="Times New Roman" w:hAnsi="Times New Roman" w:cs="Times New Roman"/>
        </w:rPr>
        <w:t>Hapley Additive exPlanations) for local explainability and establishing real-time PostgreSQL database connectivity for automated production scoring.</w:t>
      </w:r>
    </w:p>
    <w:sectPr w:rsidR="00597144" w:rsidRPr="005315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56F"/>
    <w:rsid w:val="005971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2D698"/>
  <w14:defaultImageDpi w14:val="300"/>
  <w15:docId w15:val="{AC155F3E-F76A-43CF-A0EC-36A9B67C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16161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AAD23-3F22-4B60-A3CB-B192D3310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Sayyad Malik Agha</cp:lastModifiedBy>
  <cp:revision>2</cp:revision>
  <dcterms:created xsi:type="dcterms:W3CDTF">2013-12-23T23:15:00Z</dcterms:created>
  <dcterms:modified xsi:type="dcterms:W3CDTF">2026-09-24T10:38:00Z</dcterms:modified>
  <cp:category/>
</cp:coreProperties>
</file>