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CSV files from designated S3 buckets for customer and order data as source inputs for downstream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 into memory/dataframes for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schema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values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ingested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records containing "Null" (string)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records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records containing "Null" (string)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records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contain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from customer and order datasets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have been removed from both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records, retaining one instance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records, retaining one instance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are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and Order Tables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Glue Data Catalog tables for cleaned customer and order datasets in the specified database.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available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source CSV schemas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Type 2 table (ordersummary) on S3 using Apache Hudi format, tracking historical changes with active/inactive flags and timestamps.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are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AWS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it exists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new record: insert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changed: set IsActive=false and EndDate=current timestamp for old row, insert new row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record unchanged: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registered in Glue Data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when the record version became active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Propagate to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data changes and trigger incremental updates to the ordersummary table following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 Type 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available in source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by comparing new customer data with existing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customer, identify affected records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close existing active rows (IsActive=false, set EndDate, update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 (IsActive=true, new StartDate, EndDate=null, new OpTs)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are preserved with proper IsActive, StartDate, EndDate, OpTs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changes are committed to Hudi table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provided as full or delta files in the same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CustId as primary key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aggregation table (customeraggregatespend) containing total spending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contains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is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Data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reflects current active records from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execution date or order date (to be clarified)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are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for storage, processing, cataloging, querying, and monitoring of the data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has necessary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permissions are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ETL jobs using AWS Glue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metadata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job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implement AWS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pipeline components run on designated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 and metrics are available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accessible through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supports Apache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implementation is optional and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is enabled by default for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format uses comma as delimiter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date fields use consistent format (to be specified in TRD)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 and foreign key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(Copy-on-Write or Merge-on-Read) to be specified in TRD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frequency and trigger mechanism not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data quality validation rules beyond null/duplicate removal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policy for historical SCD Type 2 records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customeraggregatespend interpretation requires clarification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 and locking mechanisms for Hudi writes to be defined in TRD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