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(Use Case 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Generated from BRD Coding Requirements Section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Traceability:** All requirements derived strictly from BRD sections 1-8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designated S3 input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designated S3 input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files according to defined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`adif-sdlc`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paths contain valid CSV files: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read permissions to source S3 paths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 into processing framework (Spark)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loaded into memory/processing engine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loaded into memory/processing engine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ready for cleaning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properly formatted with headers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in both datasets uses consistent data type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cleaning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successfully ingested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loaded in processing framework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"Null" string and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or NULL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"Null" string and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or NULL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complete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deduplication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actual null/empty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is removed if any column contains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duplicates from each dataset independently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completed (FR-CLEAN-001)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available in processing framework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or most recent record per duplicate group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or most recent record per duplicate group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 ready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determination based on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primary key logic specified; full-row comparison used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performed within each dataset independently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Datasets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tables for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tables in specified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querying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completed (FR-CLEAN-001,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permissions to create/update catalog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data as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data as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 and partitions if applicable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reflects current schema and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 or is created as part of setup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external tables pointing to S3 locations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specified; assume non-partitioned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Slowly Changing Dimension Type 2 logic to track historical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Hudi format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active and inactive record versions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registered in Glue Catalog (FR-CATALOG-001)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`s3://adif-sdlc/curated/sdlc_wizard/ordersummary/`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available in Glue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`sdlc_wizard_customer` and `sdlc_wizard_order`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joined record, check if matching active row exists in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new record or change detected: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active row by setting IsActive = False, EndDate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IsActive = True, StartDate = current timestamp,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columns: IsActive, StartDate, EndDate, OpTs (operation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output to S3 using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`ordersummary` table in Glue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marked with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marked with IsActive =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stored at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registered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based on comparison of all business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captures the timestamp of the ETL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track record validity period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 is Copy-on-Write or Merge-on-Read (not specified; assume COW)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Trigger SCD2 Refresh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 Type 2 update logic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accuracy for customer-related changes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of ordersummary completed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data available in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framework configured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 since last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Re-join updated customer records with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SCD2 logic to ordersummary: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affected active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reflecting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IsActive, StartDate, EndDate, OpTs accordingly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incremental changes to Hudi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reflects latest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preserved with correct effective 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flags updated correctly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compacted if necessary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identified by comparing current load with previous state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ordersummary rows are updated (not full reload)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logic runs on schedule or event-driven trigger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 spend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analytics layer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available and up-to-date (FR-SCD2-001, FR-INCR-001)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`s3://adif-sdlc/analytics/customeraggregatespend/`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active records from ordersummary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customer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= SUM(PricePerUnit * Qty)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(most recent order date or aggregation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output with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`customeraggregatespend` table in Glue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contains aggregated spend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stored at analytics S3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calculated from PricePerUnit * Qty summed across all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the date of aggregation or latest order date (not explicitly defined)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refreshed on each ETL run (full refresh or incremental not specified)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Utilize AWS Architecture Components for ETL Pipeline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pipeline using specified AWS services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integration across storage, processing, cataloging, querying, and monitoring layers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with necessary services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Appropriate IAM roles and permissions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and Glue database created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S3 for all data storage (raw, curated, analytics layers)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AWS Glue with Spark and Hudi for ETL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all tables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CloudWatch for monitoring ETL job execution and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configure Lake Formation for data governance and access control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End-to-end pipeline operational on AWS infrastructure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accessible via Athena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and logging active in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Governance layer optional but available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jobs written in PySpark or Scala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integration configured in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setup is optional and not mandatory for initial deployment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capture job status, errors, and performance metrics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CSV files are well-formed with consistent delimiters and headers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join key and exists in both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change detection compares all business columns (not just specific fields)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in order dataset is in a parseable format (e.g., YYYY-MM-DD)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 defaults to Copy-on-Write unless specified otherwise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scheduled Glue job or event-based mechanism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error handling, retry logic, or data quality checks specified beyond null/duplicate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assume standard SQL syntax and Hudi query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monitoring includes job success/failure and duration; detailed metrics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is optional and not detailed in functional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masking, encryption-at-rest, or PII handling requirements specified in BRD coding section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table refresh strategy (full vs. incremental) not defined; assume full refresh per run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Functional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