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FRD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Functional Requirements Document (FRD)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Project Name:** Tech Marketing Blog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Document Status:** Draft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Prepared By:** Senior Business Analyst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Date:** January 31, 2022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Document:** Business Requirements Document v1.0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1. Introduction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1.1 Purpose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FRD defines the functional requirements derived exclusively from the "Coding Requirements" section of the BRD for the Tech Marketing Blog project.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1.2 Scope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document covers functional specifications based solely on coding requirements provided in the source BRD.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1.3 Document Status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NOTICE:** The source BRD does not contain a "Coding Requirements" section. No functional requirements can be derived under the strict rules provided.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2. Functional Requirements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Status: NO REQUIREMENTS IDENTIFIED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Reason:**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provided BRD contains sections: Executive Summary, Project Objectives, Project Scope, Business Requirements, Key Stakeholders, Project Constraints, and Cost-Benefit Analysis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section titled "Coding Requirements" exists in the source document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Per instruction: "Use ONLY the content found in the BRD's 'Coding Requirements' section"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Cannot derive functional requirements from other sections (Business Requirements, Project Scope, etc.) as explicitly prohibited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3. Assumptions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A-001:** The BRD is incomplete and missing the "Coding Requirements" section referenced in the conversion instructions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A-002:** The "Business Requirements" section (Priority 1-4 items) is NOT equivalent to "Coding Requirements" and therefore cannot be used as source material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A-003:** Functional requirements cannot be generated without explicit coding/technical requirements from the source document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A-004:** A revised BRD containing a "Coding Requirements" section must be provided to complete this FRD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4. Next Steps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Required Action:**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Obtain updated BRD with "Coding Requirements" section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Resubmit for FRD generation once source material is available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Document End**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