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 Name:** Tech Marketing Blog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Status:** Draft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Prepared By:** Senior Software Architect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2025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Document:** Functional Requirements Document (FRD)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Executive 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1.1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translates functional requirements from the source FRD into technical implementation specifications.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1.2 Document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NOTICE:** The source FRD contains no functional requirements. The FRD explicitly states "NO REQUIREMENTS IDENTIFIED" because the upstream BRD lacks a "Coding Requirements" section.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1.3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 technical requirements can be derived from an FRD with zero functional requirements.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Status: NO TECHNICAL REQUIREMENTS DEFINED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Reason:**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FRD contains zero functional requirements (Section 2: "NO REQUIREMENTS IDENTIFIED")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FRD explicitly documents absence of "Coding Requirements" section in upstream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specifications cannot be generated without functional requirements as input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 instruction: "Use ONLY the information found in the FRD"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A-TRD-001:** The FRD is incomplete due to missing upstream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A-TRD-002:** No target cluster configuration can be specified without functional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A-TRD-003:** No source/target data details exist in the provided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A-TRD-004:** No job flows, pipelines, transformations, or business logic are documented in the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A-TRD-005:** Error handling and logging strategies cannot be defined without functional context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A-TRD-006:** A complete FRD with functional requirements must be provided before technical design can proceed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Required Actions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Blocking Issue:**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Upstream BRD must be revised to include "Coding Requirements" section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FRD must be regenerated with functional requirements derived from updated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TRD generation can only proceed after valid FRD is available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Technical Requirement Template (Placeholder)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When functional requirements become available, each technical requirement will follow this structure: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TR-XXX:** [Technical Requirement ID]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FR(s):** [Functional Requirement IDs]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 [Technical goal]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 [Infrastructure specs]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 [Input data specifications]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 [Output data specifications]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 [Processing steps]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 [Transformation rules]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 [Failure management strategy]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 [Technical assumptions]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Status:** BLOCKED - Awaiting valid FRD with functional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End**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