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and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(s3://adif-sdlc/brd_usecase1/)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BRD Coding Requirements Section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designated S3 input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designated S3 input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files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paths contain valid CSV files: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to source S3 paths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data into Spark DataFrames for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into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comma-delimited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headers match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encoded in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contain CustId and OrderId respectively as identifiers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and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containing "Null" or NULL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and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containing "Null" or NULL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complete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counts reduced by number of null-containing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Partial nulls in a row warrant full row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duplicates, retaining one instance per unique record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loaded in Spark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order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defined as exact matches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when duplicates found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and OrderId alone do not define uniqueness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datasets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permissions to create/update catalog entries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name: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Glue Catalog database `gen_ai_poc_databrickscoe` if not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`sdlc_wizard_customer`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`sdlc_wizard_order`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locations to cleaned data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is the metadata store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use Parquet or CSV format for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will be used for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ordersummary target table with SCD Type 2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when changes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rows by setting IsActive to false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datasets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accessible: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framework configured in AWS Glue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 between customer and order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combined dataset with customer and order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records with existing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StartDate=current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existing row IsActive=false, EndDate=current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IsActive=true, StartDate=current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unchanged records: no action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using Hudi format to S3 target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updated with SCD Type 2 history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have IsActive=true,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have IsActive=false,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 recorded for all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manages record-level updates and versioning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the timestamp of the ETL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in Order 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 from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accuracy with IsActive, StartDate, EndDate,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exists with SCD Type 2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updates or new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configured for upsert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or new customer records since last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updated customer records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(FR-SCD2-001) to affected ordersummary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IsActive flag for superseded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versions with updated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Preserve OpTs for audit trail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reflects latest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proper effective 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 correctly identifies current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tracks when each version was created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identified by comparing CustId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ordersummary rows are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uses watermark or timestamp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remains static during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querying of SCD Type 2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written to S3 in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 available for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`ordersummary`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to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Hudi-specific table properties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SCD Type 2 columns: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visible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columns accessible in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recognizes Hudi table properties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will filter on IsActive for current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customeraggregatespend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available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accessible: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Name and Date fields available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ordersummary for active records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as sum of 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Select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S3 analytics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created at target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contains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row represents total spend per customer per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analytical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derived from PricePerUnit * Qty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performed on active ordersummary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refers to customer name from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querying of aggregated analytics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written to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processing completed (FR-AGG-001)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Name (string), TotalAmount (numeric), Date (date/string)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visible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data accessible for reporting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stored in Parquet or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stored as decimal or double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stored in compatible date or string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Architecture Components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required AWS services for ETL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permissions and monitoring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appropriate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provisioned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service enabled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S3 bucket for storage with paths: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 `sdlc_wizard/customerdata/`, `sdlc_wizard/orderdata/`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Curated: `curated/sdlc_wizard/ordersummary/`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Analytics: `analytics/customeraggregatespend/`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AWS Glue for ETL with Spark and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Glue Data Catalog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for querying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for monitoring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configure Lake Formation for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components operational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paths accessible to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can write to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capturing Glue job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supports Hudi format natively or via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enabled by default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least-privilege access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dataset always references valid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dataset is in parseable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supports Hudi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capacity for processing volumes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versioning not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requirements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processes all historical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runs process only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delete operations required in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uses Glue job execution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Schema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stored as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stored as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stored as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stored as decimal/double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Missing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Specific Hudi configuration parameters not provided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policy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rules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Schedule/frequency of ETL jobs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Notification or alerting requirements not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