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2F097" w14:textId="7B7DF5EC" w:rsidR="0062106A" w:rsidRDefault="00A86DA7">
      <w:r>
        <w:t>Used to spot trends and patterns in data</w:t>
      </w:r>
    </w:p>
    <w:p w14:paraId="59E6AABA" w14:textId="77777777" w:rsidR="00514BDE" w:rsidRDefault="00A86DA7" w:rsidP="00514BDE">
      <w:pPr>
        <w:tabs>
          <w:tab w:val="left" w:pos="6795"/>
        </w:tabs>
      </w:pPr>
      <w:r>
        <w:t>We can either format a single row at once ow multiple at once</w:t>
      </w:r>
    </w:p>
    <w:p w14:paraId="6B2980D3" w14:textId="77777777" w:rsidR="00C71053" w:rsidRDefault="00C71053" w:rsidP="00514BDE"/>
    <w:p w14:paraId="0C3ACDB9" w14:textId="77777777" w:rsidR="00C71053" w:rsidRDefault="00C71053" w:rsidP="00514BDE"/>
    <w:p w14:paraId="6FB2B89F" w14:textId="77777777" w:rsidR="00C71053" w:rsidRDefault="00C71053" w:rsidP="00514BDE"/>
    <w:p w14:paraId="1C221BC1" w14:textId="7605A9C5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1. Built-in Rule Types</w:t>
      </w:r>
    </w:p>
    <w:p w14:paraId="638F82F8" w14:textId="77777777" w:rsidR="00514BDE" w:rsidRPr="00514BDE" w:rsidRDefault="00514BDE" w:rsidP="00514BDE">
      <w:r w:rsidRPr="00514BDE">
        <w:t>Excel gives you several ready-made categories:</w:t>
      </w:r>
    </w:p>
    <w:p w14:paraId="13A0455B" w14:textId="77777777" w:rsidR="00514BDE" w:rsidRPr="00514BDE" w:rsidRDefault="00514BDE" w:rsidP="00514BDE">
      <w:pPr>
        <w:numPr>
          <w:ilvl w:val="0"/>
          <w:numId w:val="1"/>
        </w:numPr>
      </w:pPr>
      <w:r w:rsidRPr="00514BDE">
        <w:rPr>
          <w:b/>
          <w:bCs/>
        </w:rPr>
        <w:t>Highlight Cell Rules</w:t>
      </w:r>
    </w:p>
    <w:p w14:paraId="06915EB2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Greater Than / Less Than</w:t>
      </w:r>
    </w:p>
    <w:p w14:paraId="11EA93B4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Between</w:t>
      </w:r>
    </w:p>
    <w:p w14:paraId="6F312D57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Equal To</w:t>
      </w:r>
    </w:p>
    <w:p w14:paraId="4CA55159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Text that Contains</w:t>
      </w:r>
    </w:p>
    <w:p w14:paraId="7D2EAF27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A Date Occurring (today, yesterday, next week, etc.)</w:t>
      </w:r>
    </w:p>
    <w:p w14:paraId="0302539F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Duplicate / Unique Values</w:t>
      </w:r>
    </w:p>
    <w:p w14:paraId="0B4EB655" w14:textId="77777777" w:rsidR="00514BDE" w:rsidRPr="00514BDE" w:rsidRDefault="00514BDE" w:rsidP="00514BDE">
      <w:pPr>
        <w:numPr>
          <w:ilvl w:val="0"/>
          <w:numId w:val="1"/>
        </w:numPr>
      </w:pPr>
      <w:r w:rsidRPr="00514BDE">
        <w:rPr>
          <w:b/>
          <w:bCs/>
        </w:rPr>
        <w:t>Top/Bottom Rules</w:t>
      </w:r>
    </w:p>
    <w:p w14:paraId="65B59DDD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Top 10 Items (can adjust the number)</w:t>
      </w:r>
    </w:p>
    <w:p w14:paraId="037626F5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Top 10% / Bottom 10%</w:t>
      </w:r>
    </w:p>
    <w:p w14:paraId="66C13CF9" w14:textId="77777777" w:rsidR="00514BDE" w:rsidRPr="00514BDE" w:rsidRDefault="00514BDE" w:rsidP="00514BDE">
      <w:pPr>
        <w:numPr>
          <w:ilvl w:val="1"/>
          <w:numId w:val="1"/>
        </w:numPr>
      </w:pPr>
      <w:r w:rsidRPr="00514BDE">
        <w:t>Above Average / Below Average</w:t>
      </w:r>
    </w:p>
    <w:p w14:paraId="1E4D1099" w14:textId="77777777" w:rsidR="00514BDE" w:rsidRPr="00514BDE" w:rsidRDefault="00000000" w:rsidP="00514BDE">
      <w:r>
        <w:pict w14:anchorId="1D012303">
          <v:rect id="_x0000_i1025" style="width:0;height:1.5pt" o:hralign="center" o:hrstd="t" o:hr="t" fillcolor="#a0a0a0" stroked="f"/>
        </w:pict>
      </w:r>
    </w:p>
    <w:p w14:paraId="0D8285E4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2. Data Visualizations</w:t>
      </w:r>
    </w:p>
    <w:p w14:paraId="63573A2B" w14:textId="77777777" w:rsidR="00514BDE" w:rsidRPr="00514BDE" w:rsidRDefault="00514BDE" w:rsidP="00514BDE">
      <w:r w:rsidRPr="00514BDE">
        <w:t>Instead of just coloring cells, you can show patterns:</w:t>
      </w:r>
    </w:p>
    <w:p w14:paraId="245F6242" w14:textId="77777777" w:rsidR="00514BDE" w:rsidRPr="00514BDE" w:rsidRDefault="00514BDE" w:rsidP="00514BDE">
      <w:pPr>
        <w:numPr>
          <w:ilvl w:val="0"/>
          <w:numId w:val="2"/>
        </w:numPr>
      </w:pPr>
      <w:r w:rsidRPr="00514BDE">
        <w:rPr>
          <w:b/>
          <w:bCs/>
        </w:rPr>
        <w:t>Data Bars</w:t>
      </w:r>
      <w:r w:rsidRPr="00514BDE">
        <w:t xml:space="preserve"> → Mini bar charts inside the cell.</w:t>
      </w:r>
    </w:p>
    <w:p w14:paraId="7A494142" w14:textId="77777777" w:rsidR="00514BDE" w:rsidRPr="00514BDE" w:rsidRDefault="00514BDE" w:rsidP="00514BDE">
      <w:pPr>
        <w:numPr>
          <w:ilvl w:val="0"/>
          <w:numId w:val="2"/>
        </w:numPr>
      </w:pPr>
      <w:r w:rsidRPr="00514BDE">
        <w:rPr>
          <w:b/>
          <w:bCs/>
        </w:rPr>
        <w:t>Color Scales</w:t>
      </w:r>
      <w:r w:rsidRPr="00514BDE">
        <w:t xml:space="preserve"> → Gradient colors (e.g., green for high values, red for low).</w:t>
      </w:r>
    </w:p>
    <w:p w14:paraId="67598586" w14:textId="77777777" w:rsidR="00514BDE" w:rsidRPr="00514BDE" w:rsidRDefault="00514BDE" w:rsidP="00514BDE">
      <w:pPr>
        <w:numPr>
          <w:ilvl w:val="0"/>
          <w:numId w:val="2"/>
        </w:numPr>
      </w:pPr>
      <w:r w:rsidRPr="00514BDE">
        <w:rPr>
          <w:b/>
          <w:bCs/>
        </w:rPr>
        <w:t>Icon Sets</w:t>
      </w:r>
      <w:r w:rsidRPr="00514BDE">
        <w:t xml:space="preserve"> → Symbols like arrows, traffic lights, flags, ratings.</w:t>
      </w:r>
    </w:p>
    <w:p w14:paraId="70644BF4" w14:textId="77777777" w:rsidR="00514BDE" w:rsidRPr="00514BDE" w:rsidRDefault="00000000" w:rsidP="00514BDE">
      <w:r>
        <w:pict w14:anchorId="4FA8E129">
          <v:rect id="_x0000_i1026" style="width:0;height:1.5pt" o:hralign="center" o:hrstd="t" o:hr="t" fillcolor="#a0a0a0" stroked="f"/>
        </w:pict>
      </w:r>
    </w:p>
    <w:p w14:paraId="52C2CD85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 xml:space="preserve">3. Custom Formulas </w:t>
      </w:r>
      <w:r w:rsidRPr="00514BDE">
        <w:rPr>
          <w:b/>
          <w:bCs/>
          <w:i/>
          <w:iCs/>
        </w:rPr>
        <w:t>(the real power)</w:t>
      </w:r>
    </w:p>
    <w:p w14:paraId="16534727" w14:textId="77777777" w:rsidR="00514BDE" w:rsidRPr="00514BDE" w:rsidRDefault="00514BDE" w:rsidP="00514BDE">
      <w:r w:rsidRPr="00514BDE">
        <w:lastRenderedPageBreak/>
        <w:t>You can use formulas with TRUE/FALSE logic to control formatting.</w:t>
      </w:r>
      <w:r w:rsidRPr="00514BDE">
        <w:br/>
        <w:t>Examples:</w:t>
      </w:r>
    </w:p>
    <w:p w14:paraId="13DD62DC" w14:textId="77777777" w:rsidR="00514BDE" w:rsidRPr="00514BDE" w:rsidRDefault="00514BDE" w:rsidP="00514BDE">
      <w:pPr>
        <w:numPr>
          <w:ilvl w:val="0"/>
          <w:numId w:val="3"/>
        </w:numPr>
      </w:pPr>
      <w:r w:rsidRPr="00514BDE">
        <w:t>=ISBLANK(A1) → Highlight empty cells.</w:t>
      </w:r>
    </w:p>
    <w:p w14:paraId="2F265489" w14:textId="77777777" w:rsidR="00514BDE" w:rsidRPr="00514BDE" w:rsidRDefault="00514BDE" w:rsidP="00514BDE">
      <w:pPr>
        <w:numPr>
          <w:ilvl w:val="0"/>
          <w:numId w:val="3"/>
        </w:numPr>
      </w:pPr>
      <w:r w:rsidRPr="00514BDE">
        <w:t>=A1&lt;&gt;B1 → Highlight mismatches.</w:t>
      </w:r>
    </w:p>
    <w:p w14:paraId="6C85D19A" w14:textId="77777777" w:rsidR="00514BDE" w:rsidRPr="00514BDE" w:rsidRDefault="00514BDE" w:rsidP="00514BDE">
      <w:pPr>
        <w:numPr>
          <w:ilvl w:val="0"/>
          <w:numId w:val="3"/>
        </w:numPr>
      </w:pPr>
      <w:r w:rsidRPr="00514BDE">
        <w:t>=AND(A1&gt;100, B1="Yes") → Complex conditions.</w:t>
      </w:r>
    </w:p>
    <w:p w14:paraId="64C6E5DF" w14:textId="77777777" w:rsidR="00514BDE" w:rsidRPr="00514BDE" w:rsidRDefault="00000000" w:rsidP="00514BDE">
      <w:r>
        <w:pict w14:anchorId="1CD2CF24">
          <v:rect id="_x0000_i1027" style="width:0;height:1.5pt" o:hralign="center" o:hrstd="t" o:hr="t" fillcolor="#a0a0a0" stroked="f"/>
        </w:pict>
      </w:r>
    </w:p>
    <w:p w14:paraId="3D6D8FA0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4. Format Options You Can Control</w:t>
      </w:r>
    </w:p>
    <w:p w14:paraId="2F2BD161" w14:textId="77777777" w:rsidR="00514BDE" w:rsidRPr="00514BDE" w:rsidRDefault="00514BDE" w:rsidP="00514BDE">
      <w:r w:rsidRPr="00514BDE">
        <w:t>Conditional formatting can change:</w:t>
      </w:r>
    </w:p>
    <w:p w14:paraId="3F0C516D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Font color</w:t>
      </w:r>
    </w:p>
    <w:p w14:paraId="569C9E9C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Fill color</w:t>
      </w:r>
    </w:p>
    <w:p w14:paraId="517DA29C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Bold / Italic / Underline</w:t>
      </w:r>
    </w:p>
    <w:p w14:paraId="5BD40FA4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Borders</w:t>
      </w:r>
    </w:p>
    <w:p w14:paraId="7168DFAA" w14:textId="77777777" w:rsidR="00514BDE" w:rsidRPr="00514BDE" w:rsidRDefault="00514BDE" w:rsidP="00514BDE">
      <w:pPr>
        <w:numPr>
          <w:ilvl w:val="0"/>
          <w:numId w:val="4"/>
        </w:numPr>
      </w:pPr>
      <w:r w:rsidRPr="00514BDE">
        <w:t>Number format (e.g., show percentages, add currency symbols)</w:t>
      </w:r>
    </w:p>
    <w:p w14:paraId="5F597BD6" w14:textId="77777777" w:rsidR="00514BDE" w:rsidRPr="00514BDE" w:rsidRDefault="00000000" w:rsidP="00514BDE">
      <w:r>
        <w:pict w14:anchorId="5E616B79">
          <v:rect id="_x0000_i1028" style="width:0;height:1.5pt" o:hralign="center" o:hrstd="t" o:hr="t" fillcolor="#a0a0a0" stroked="f"/>
        </w:pict>
      </w:r>
    </w:p>
    <w:p w14:paraId="06F09CFC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5. Apply to Dynamic Ranges</w:t>
      </w:r>
    </w:p>
    <w:p w14:paraId="57C313A9" w14:textId="77777777" w:rsidR="00514BDE" w:rsidRPr="00514BDE" w:rsidRDefault="00514BDE" w:rsidP="00514BDE">
      <w:r w:rsidRPr="00514BDE">
        <w:t>You can make it automatically extend to new data by:</w:t>
      </w:r>
    </w:p>
    <w:p w14:paraId="71D6295C" w14:textId="77777777" w:rsidR="00514BDE" w:rsidRPr="00514BDE" w:rsidRDefault="00514BDE" w:rsidP="00514BDE">
      <w:pPr>
        <w:numPr>
          <w:ilvl w:val="0"/>
          <w:numId w:val="5"/>
        </w:numPr>
      </w:pPr>
      <w:r w:rsidRPr="00514BDE">
        <w:t>Using tables (Ctrl + T)</w:t>
      </w:r>
    </w:p>
    <w:p w14:paraId="3FFDAF00" w14:textId="77777777" w:rsidR="00514BDE" w:rsidRPr="00514BDE" w:rsidRDefault="00514BDE" w:rsidP="00514BDE">
      <w:pPr>
        <w:numPr>
          <w:ilvl w:val="0"/>
          <w:numId w:val="5"/>
        </w:numPr>
      </w:pPr>
      <w:r w:rsidRPr="00514BDE">
        <w:t>Referring to entire columns</w:t>
      </w:r>
    </w:p>
    <w:p w14:paraId="022F6128" w14:textId="77777777" w:rsidR="00514BDE" w:rsidRPr="00514BDE" w:rsidRDefault="00514BDE" w:rsidP="00514BDE">
      <w:pPr>
        <w:numPr>
          <w:ilvl w:val="0"/>
          <w:numId w:val="5"/>
        </w:numPr>
      </w:pPr>
      <w:r w:rsidRPr="00514BDE">
        <w:t>Using dynamic named ranges</w:t>
      </w:r>
    </w:p>
    <w:p w14:paraId="6EAED9F3" w14:textId="77777777" w:rsidR="00514BDE" w:rsidRPr="00514BDE" w:rsidRDefault="00000000" w:rsidP="00514BDE">
      <w:r>
        <w:pict w14:anchorId="5A64E12A">
          <v:rect id="_x0000_i1029" style="width:0;height:1.5pt" o:hralign="center" o:hrstd="t" o:hr="t" fillcolor="#a0a0a0" stroked="f"/>
        </w:pict>
      </w:r>
    </w:p>
    <w:p w14:paraId="44EC35BE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6. Layering Multiple Rules</w:t>
      </w:r>
    </w:p>
    <w:p w14:paraId="34D68B2C" w14:textId="77777777" w:rsidR="00514BDE" w:rsidRPr="00514BDE" w:rsidRDefault="00514BDE" w:rsidP="00514BDE">
      <w:pPr>
        <w:numPr>
          <w:ilvl w:val="0"/>
          <w:numId w:val="6"/>
        </w:numPr>
      </w:pPr>
      <w:r w:rsidRPr="00514BDE">
        <w:t>You can stack rules on top of each other.</w:t>
      </w:r>
    </w:p>
    <w:p w14:paraId="25A5E5F6" w14:textId="77777777" w:rsidR="00514BDE" w:rsidRPr="00514BDE" w:rsidRDefault="00514BDE" w:rsidP="00514BDE">
      <w:pPr>
        <w:numPr>
          <w:ilvl w:val="0"/>
          <w:numId w:val="6"/>
        </w:numPr>
      </w:pPr>
      <w:r w:rsidRPr="00514BDE">
        <w:t>Order matters (Excel applies them top to bottom unless you stop processing after a match).</w:t>
      </w:r>
    </w:p>
    <w:p w14:paraId="6873D313" w14:textId="77777777" w:rsidR="00514BDE" w:rsidRPr="00514BDE" w:rsidRDefault="00000000" w:rsidP="00514BDE">
      <w:r>
        <w:pict w14:anchorId="6B1EEAC9">
          <v:rect id="_x0000_i1030" style="width:0;height:1.5pt" o:hralign="center" o:hrstd="t" o:hr="t" fillcolor="#a0a0a0" stroked="f"/>
        </w:pict>
      </w:r>
    </w:p>
    <w:p w14:paraId="3E756F65" w14:textId="77777777" w:rsidR="00514BDE" w:rsidRPr="00514BDE" w:rsidRDefault="00514BDE" w:rsidP="00514BDE">
      <w:pPr>
        <w:rPr>
          <w:b/>
          <w:bCs/>
        </w:rPr>
      </w:pPr>
      <w:r w:rsidRPr="00514BDE">
        <w:rPr>
          <w:b/>
          <w:bCs/>
        </w:rPr>
        <w:t>7. Other Useful Tricks</w:t>
      </w:r>
    </w:p>
    <w:p w14:paraId="3A3F5A52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t>Highlight every other row (with =MOD(</w:t>
      </w:r>
      <w:proofErr w:type="gramStart"/>
      <w:r w:rsidRPr="00514BDE">
        <w:t>ROW(</w:t>
      </w:r>
      <w:proofErr w:type="gramEnd"/>
      <w:r w:rsidRPr="00514BDE">
        <w:t>),</w:t>
      </w:r>
      <w:proofErr w:type="gramStart"/>
      <w:r w:rsidRPr="00514BDE">
        <w:t>2)=</w:t>
      </w:r>
      <w:proofErr w:type="gramEnd"/>
      <w:r w:rsidRPr="00514BDE">
        <w:t>0).</w:t>
      </w:r>
    </w:p>
    <w:p w14:paraId="2B78D375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lastRenderedPageBreak/>
        <w:t>Color weekends in a calendar.</w:t>
      </w:r>
    </w:p>
    <w:p w14:paraId="5554F6E9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t>Show expired dates in red.</w:t>
      </w:r>
    </w:p>
    <w:p w14:paraId="37912675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t>Visualize trends over time with color gradients.</w:t>
      </w:r>
    </w:p>
    <w:p w14:paraId="567D19DD" w14:textId="77777777" w:rsidR="00514BDE" w:rsidRPr="00514BDE" w:rsidRDefault="00514BDE" w:rsidP="00514BDE">
      <w:pPr>
        <w:numPr>
          <w:ilvl w:val="0"/>
          <w:numId w:val="7"/>
        </w:numPr>
      </w:pPr>
      <w:r w:rsidRPr="00514BDE">
        <w:t>Compare two lists and mark what’s missing.</w:t>
      </w:r>
    </w:p>
    <w:p w14:paraId="681040B1" w14:textId="77777777" w:rsidR="00A86DA7" w:rsidRDefault="00A86DA7"/>
    <w:sectPr w:rsidR="00A8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409"/>
    <w:multiLevelType w:val="multilevel"/>
    <w:tmpl w:val="A93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B48BB"/>
    <w:multiLevelType w:val="multilevel"/>
    <w:tmpl w:val="E216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07D41"/>
    <w:multiLevelType w:val="multilevel"/>
    <w:tmpl w:val="FAD6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30EA"/>
    <w:multiLevelType w:val="multilevel"/>
    <w:tmpl w:val="8A90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1299B"/>
    <w:multiLevelType w:val="multilevel"/>
    <w:tmpl w:val="D69E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B4776"/>
    <w:multiLevelType w:val="multilevel"/>
    <w:tmpl w:val="639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E3C4A"/>
    <w:multiLevelType w:val="multilevel"/>
    <w:tmpl w:val="625C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550285">
    <w:abstractNumId w:val="0"/>
  </w:num>
  <w:num w:numId="2" w16cid:durableId="1973293792">
    <w:abstractNumId w:val="1"/>
  </w:num>
  <w:num w:numId="3" w16cid:durableId="2092577783">
    <w:abstractNumId w:val="6"/>
  </w:num>
  <w:num w:numId="4" w16cid:durableId="652759299">
    <w:abstractNumId w:val="5"/>
  </w:num>
  <w:num w:numId="5" w16cid:durableId="1957105341">
    <w:abstractNumId w:val="2"/>
  </w:num>
  <w:num w:numId="6" w16cid:durableId="365758942">
    <w:abstractNumId w:val="3"/>
  </w:num>
  <w:num w:numId="7" w16cid:durableId="1790466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C6"/>
    <w:rsid w:val="0009671D"/>
    <w:rsid w:val="001A0373"/>
    <w:rsid w:val="001A1527"/>
    <w:rsid w:val="00514BDE"/>
    <w:rsid w:val="0062106A"/>
    <w:rsid w:val="008377C6"/>
    <w:rsid w:val="008E675E"/>
    <w:rsid w:val="00A86DA7"/>
    <w:rsid w:val="00C07C91"/>
    <w:rsid w:val="00C71053"/>
    <w:rsid w:val="00E7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C511"/>
  <w15:chartTrackingRefBased/>
  <w15:docId w15:val="{594CC97F-AA98-4308-B78E-BBEF3920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</dc:creator>
  <cp:keywords/>
  <dc:description/>
  <cp:lastModifiedBy>Mujtaba</cp:lastModifiedBy>
  <cp:revision>4</cp:revision>
  <dcterms:created xsi:type="dcterms:W3CDTF">2025-08-09T04:52:00Z</dcterms:created>
  <dcterms:modified xsi:type="dcterms:W3CDTF">2025-08-11T12:29:00Z</dcterms:modified>
</cp:coreProperties>
</file>