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l7e89p89nyp" w:id="0"/>
      <w:bookmarkEnd w:id="0"/>
      <w:r w:rsidDel="00000000" w:rsidR="00000000" w:rsidRPr="00000000">
        <w:rPr>
          <w:rtl w:val="0"/>
        </w:rPr>
        <w:t xml:space="preserve">Наивный байесовский классификатор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Рассмотрим задачу классификации сообщения на спам и на реальные письма. Придумайте, как можно учитывать при классификации заголовок письма вместе с его содержанием.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Найдите оптимальный параметр интенсивности сглаживания α. В качестве метрики качества используйте точность полученную перекрёстной проверкой.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Контролируя один из параметров λ</w:t>
      </w:r>
      <w:r w:rsidDel="00000000" w:rsidR="00000000" w:rsidRPr="00000000">
        <w:rPr>
          <w:vertAlign w:val="subscript"/>
          <w:rtl w:val="0"/>
        </w:rPr>
        <w:t xml:space="preserve">spam</w:t>
      </w:r>
      <w:r w:rsidDel="00000000" w:rsidR="00000000" w:rsidRPr="00000000">
        <w:rPr>
          <w:rtl w:val="0"/>
        </w:rPr>
        <w:t xml:space="preserve"> или λ</w:t>
      </w:r>
      <w:r w:rsidDel="00000000" w:rsidR="00000000" w:rsidRPr="00000000">
        <w:rPr>
          <w:vertAlign w:val="subscript"/>
          <w:rtl w:val="0"/>
        </w:rPr>
        <w:t xml:space="preserve">legit </w:t>
      </w:r>
      <w:r w:rsidDel="00000000" w:rsidR="00000000" w:rsidRPr="00000000">
        <w:rPr>
          <w:rtl w:val="0"/>
        </w:rPr>
        <w:t xml:space="preserve">добейтесь того, чтобы ни одно реальное сообщение не было классифицировано как спам. Постройте график зависимости точности от выбранного параметра λ, где λ изменяется от значения по умолчанию (λ</w:t>
      </w:r>
      <w:r w:rsidDel="00000000" w:rsidR="00000000" w:rsidRPr="00000000">
        <w:rPr>
          <w:vertAlign w:val="subscript"/>
          <w:rtl w:val="0"/>
        </w:rPr>
        <w:t xml:space="preserve">spam </w:t>
      </w:r>
      <w:r w:rsidDel="00000000" w:rsidR="00000000" w:rsidRPr="00000000">
        <w:rPr>
          <w:rtl w:val="0"/>
        </w:rPr>
        <w:t xml:space="preserve">= λ</w:t>
      </w:r>
      <w:r w:rsidDel="00000000" w:rsidR="00000000" w:rsidRPr="00000000">
        <w:rPr>
          <w:vertAlign w:val="subscript"/>
          <w:rtl w:val="0"/>
        </w:rPr>
        <w:t xml:space="preserve">legit</w:t>
      </w:r>
      <w:r w:rsidDel="00000000" w:rsidR="00000000" w:rsidRPr="00000000">
        <w:rPr>
          <w:rtl w:val="0"/>
        </w:rPr>
        <w:t xml:space="preserve">), до найденного значения в предыдущем пункте.</w:t>
      </w:r>
    </w:p>
    <w:p w:rsidR="00000000" w:rsidDel="00000000" w:rsidP="00000000" w:rsidRDefault="00000000" w:rsidRPr="00000000" w14:paraId="00000005">
      <w:pPr>
        <w:pStyle w:val="Heading1"/>
        <w:jc w:val="both"/>
        <w:rPr/>
      </w:pPr>
      <w:bookmarkStart w:colFirst="0" w:colLast="0" w:name="_pt3x8ebvfhmd" w:id="1"/>
      <w:bookmarkEnd w:id="1"/>
      <w:r w:rsidDel="00000000" w:rsidR="00000000" w:rsidRPr="00000000">
        <w:rPr>
          <w:rtl w:val="0"/>
        </w:rPr>
        <w:t xml:space="preserve">Набор данных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Используйте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этот набор данных</w:t>
        </w:r>
      </w:hyperlink>
      <w:r w:rsidDel="00000000" w:rsidR="00000000" w:rsidRPr="00000000">
        <w:rPr>
          <w:rtl w:val="0"/>
        </w:rPr>
        <w:t xml:space="preserve"> для тестирования вашего классификатора.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p9YEYdGO8gYFBXB3THi9ttbx3sGrdS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