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8A" w:val="clear"/>
            <w:tcMar>
              <w:top w:type="dxa" w:w="600"/>
              <w:left w:type="dxa" w:w="600"/>
              <w:bottom w:type="dxa" w:w="400"/>
              <w:right w:type="dxa" w:w="600"/>
            </w:tcMar>
          </w:tcPr>
          <w:p>
            <w:pPr>
              <w:spacing w:before="0" w:after="120"/>
              <w:jc w:val="center"/>
            </w:pPr>
            <w:r>
              <w:rPr>
                <w:rFonts w:ascii="Arial" w:cs="Arial" w:eastAsia="Arial" w:hAnsi="Arial"/>
                <w:b/>
                <w:bCs/>
                <w:color w:val="93C5FD"/>
                <w:sz w:val="28"/>
                <w:szCs w:val="28"/>
              </w:rPr>
              <w:t xml:space="preserve">STRATEGIC PROPOSAL</w:t>
            </w:r>
          </w:p>
          <w:p>
            <w:pPr>
              <w:spacing w:before="0" w:after="80"/>
              <w:jc w:val="center"/>
            </w:pPr>
            <w:r>
              <w:rPr>
                <w:rFonts w:ascii="Arial" w:cs="Arial" w:eastAsia="Arial" w:hAnsi="Arial"/>
                <w:b/>
                <w:bCs/>
                <w:color w:val="FFFFFF"/>
                <w:sz w:val="64"/>
                <w:szCs w:val="64"/>
              </w:rPr>
              <w:t xml:space="preserve">OMS National Control Platform</w:t>
            </w:r>
          </w:p>
          <w:p>
            <w:pPr>
              <w:spacing w:before="0" w:after="200"/>
              <w:jc w:val="center"/>
            </w:pPr>
            <w:r>
              <w:rPr>
                <w:rFonts w:ascii="Arial" w:cs="Arial" w:eastAsia="Arial" w:hAnsi="Arial"/>
                <w:i/>
                <w:iCs/>
                <w:color w:val="93C5FD"/>
                <w:sz w:val="28"/>
                <w:szCs w:val="28"/>
              </w:rPr>
              <w:t xml:space="preserve">Transforming Food Distribution Governance at National Scale</w:t>
            </w:r>
          </w:p>
          <w:p>
            <w:pPr>
              <w:spacing w:before="200" w:after="0"/>
              <w:jc w:val="center"/>
            </w:pPr>
            <w:r>
              <w:rPr>
                <w:rFonts w:ascii="Arial" w:cs="Arial" w:eastAsia="Arial" w:hAnsi="Arial"/>
                <w:color w:val="3B82F6"/>
                <w:sz w:val="22"/>
                <w:szCs w:val="22"/>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9488" w:sz="16"/>
              <w:bottom w:val="none" w:color="FFFFFF" w:sz="0"/>
              <w:right w:val="none" w:color="FFFFFF" w:sz="0"/>
            </w:tcBorders>
            <w:shd w:fill="EFF6FF" w:val="clear"/>
            <w:tcMar>
              <w:top w:type="dxa" w:w="300"/>
              <w:left w:type="dxa" w:w="400"/>
              <w:bottom w:type="dxa" w:w="300"/>
              <w:right w:type="dxa" w:w="400"/>
            </w:tcMar>
          </w:tcPr>
          <w:p>
            <w:pPr>
              <w:spacing w:before="0" w:after="80"/>
            </w:pPr>
            <w:r>
              <w:rPr>
                <w:rFonts w:ascii="Arial" w:cs="Arial" w:eastAsia="Arial" w:hAnsi="Arial"/>
                <w:b/>
                <w:bCs/>
                <w:color w:val="374151"/>
                <w:sz w:val="20"/>
                <w:szCs w:val="20"/>
              </w:rPr>
              <w:t xml:space="preserve">Submitted to:</w:t>
            </w:r>
          </w:p>
          <w:p>
            <w:pPr>
              <w:spacing w:before="0" w:after="20"/>
            </w:pPr>
            <w:r>
              <w:rPr>
                <w:rFonts w:ascii="Arial" w:cs="Arial" w:eastAsia="Arial" w:hAnsi="Arial"/>
                <w:b/>
                <w:bCs/>
                <w:color w:val="1E3A8A"/>
                <w:sz w:val="24"/>
                <w:szCs w:val="24"/>
              </w:rPr>
              <w:t xml:space="preserve">Ministry of Food, Government of Bangladesh</w:t>
            </w:r>
          </w:p>
          <w:p>
            <w:pPr>
              <w:spacing w:before="0" w:after="20"/>
            </w:pPr>
            <w:r>
              <w:rPr>
                <w:rFonts w:ascii="Arial" w:cs="Arial" w:eastAsia="Arial" w:hAnsi="Arial"/>
                <w:color w:val="374151"/>
                <w:sz w:val="22"/>
                <w:szCs w:val="22"/>
              </w:rPr>
              <w:t xml:space="preserve">Directorate General of Food (DG Food)</w:t>
            </w:r>
          </w:p>
          <w:p>
            <w:pPr>
              <w:spacing w:before="80" w:after="0"/>
            </w:pPr>
            <w:r>
              <w:rPr>
                <w:rFonts w:ascii="Arial" w:cs="Arial" w:eastAsia="Arial" w:hAnsi="Arial"/>
                <w:i/>
                <w:iCs/>
                <w:color w:val="374151"/>
                <w:sz w:val="22"/>
                <w:szCs w:val="22"/>
              </w:rPr>
              <w:t xml:space="preserve">Open Market Sales (OMS) National Automation Project</w:t>
            </w:r>
          </w:p>
        </w:tc>
      </w:tr>
    </w:tbl>
    <w:p>
      <w:pPr>
        <w:spacing w:before="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Borders>
              <w:top w:val="single" w:color="1E3A8A" w:sz="1"/>
              <w:left w:val="single" w:color="1E3A8A" w:sz="1"/>
              <w:bottom w:val="single" w:color="1E3A8A" w:sz="1"/>
              <w:right w:val="single" w:color="1E3A8A" w:sz="1"/>
            </w:tcBorders>
            <w:shd w:fill="DBEAFE" w:val="clear"/>
            <w:tcMar>
              <w:top w:type="dxa" w:w="120"/>
              <w:left w:type="dxa" w:w="160"/>
              <w:bottom w:type="dxa" w:w="120"/>
              <w:right w:type="dxa" w:w="160"/>
            </w:tcMar>
          </w:tcPr>
          <w:p>
            <w:pPr>
              <w:jc w:val="center"/>
            </w:pPr>
            <w:r>
              <w:rPr>
                <w:rFonts w:ascii="Arial" w:cs="Arial" w:eastAsia="Arial" w:hAnsi="Arial"/>
                <w:b/>
                <w:bCs/>
                <w:color w:val="374151"/>
                <w:sz w:val="18"/>
                <w:szCs w:val="18"/>
              </w:rPr>
              <w:t xml:space="preserve">Document Type</w:t>
            </w:r>
          </w:p>
          <w:p>
            <w:pPr>
              <w:jc w:val="center"/>
            </w:pPr>
            <w:r>
              <w:rPr>
                <w:rFonts w:ascii="Arial" w:cs="Arial" w:eastAsia="Arial" w:hAnsi="Arial"/>
                <w:color w:val="1E3A8A"/>
                <w:sz w:val="18"/>
                <w:szCs w:val="18"/>
              </w:rPr>
              <w:t xml:space="preserve">Strategic Proposal</w:t>
            </w:r>
          </w:p>
        </w:tc>
        <w:tc>
          <w:tcPr>
            <w:tcBorders>
              <w:top w:val="single" w:color="0D9488" w:sz="1"/>
              <w:left w:val="single" w:color="0D9488" w:sz="1"/>
              <w:bottom w:val="single" w:color="0D9488" w:sz="1"/>
              <w:right w:val="single" w:color="0D9488" w:sz="1"/>
            </w:tcBorders>
            <w:shd w:fill="CCFBF1" w:val="clear"/>
            <w:tcMar>
              <w:top w:type="dxa" w:w="120"/>
              <w:left w:type="dxa" w:w="160"/>
              <w:bottom w:type="dxa" w:w="120"/>
              <w:right w:type="dxa" w:w="160"/>
            </w:tcMar>
          </w:tcPr>
          <w:p>
            <w:pPr>
              <w:jc w:val="center"/>
            </w:pPr>
            <w:r>
              <w:rPr>
                <w:rFonts w:ascii="Arial" w:cs="Arial" w:eastAsia="Arial" w:hAnsi="Arial"/>
                <w:b/>
                <w:bCs/>
                <w:color w:val="374151"/>
                <w:sz w:val="18"/>
                <w:szCs w:val="18"/>
              </w:rPr>
              <w:t xml:space="preserve">Version</w:t>
            </w:r>
          </w:p>
          <w:p>
            <w:pPr>
              <w:jc w:val="center"/>
            </w:pPr>
            <w:r>
              <w:rPr>
                <w:rFonts w:ascii="Arial" w:cs="Arial" w:eastAsia="Arial" w:hAnsi="Arial"/>
                <w:color w:val="0D9488"/>
                <w:sz w:val="18"/>
                <w:szCs w:val="18"/>
              </w:rPr>
              <w:t xml:space="preserve">v1.0 — March 2026</w:t>
            </w:r>
          </w:p>
        </w:tc>
        <w:tc>
          <w:tcPr>
            <w:tcBorders>
              <w:top w:val="single" w:color="D97706" w:sz="1"/>
              <w:left w:val="single" w:color="D97706" w:sz="1"/>
              <w:bottom w:val="single" w:color="D97706" w:sz="1"/>
              <w:right w:val="single" w:color="D97706" w:sz="1"/>
            </w:tcBorders>
            <w:shd w:fill="FEF3C7" w:val="clear"/>
            <w:tcMar>
              <w:top w:type="dxa" w:w="120"/>
              <w:left w:type="dxa" w:w="160"/>
              <w:bottom w:type="dxa" w:w="120"/>
              <w:right w:type="dxa" w:w="160"/>
            </w:tcMar>
          </w:tcPr>
          <w:p>
            <w:pPr>
              <w:jc w:val="center"/>
            </w:pPr>
            <w:r>
              <w:rPr>
                <w:rFonts w:ascii="Arial" w:cs="Arial" w:eastAsia="Arial" w:hAnsi="Arial"/>
                <w:b/>
                <w:bCs/>
                <w:color w:val="374151"/>
                <w:sz w:val="18"/>
                <w:szCs w:val="18"/>
              </w:rPr>
              <w:t xml:space="preserve">Classification</w:t>
            </w:r>
          </w:p>
          <w:p>
            <w:pPr>
              <w:jc w:val="center"/>
            </w:pPr>
            <w:r>
              <w:rPr>
                <w:rFonts w:ascii="Arial" w:cs="Arial" w:eastAsia="Arial" w:hAnsi="Arial"/>
                <w:b/>
                <w:bCs/>
                <w:color w:val="D97706"/>
                <w:sz w:val="18"/>
                <w:szCs w:val="18"/>
              </w:rPr>
              <w:t xml:space="preserve">CONFIDENTIAL</w:t>
            </w:r>
          </w:p>
        </w:tc>
      </w:tr>
    </w:tbl>
    <w:p>
      <w:r>
        <w:br w:type="page"/>
      </w:r>
    </w:p>
    <w:p>
      <w:pPr>
        <w:pStyle w:val="Heading1"/>
        <w:spacing w:before="480" w:after="200"/>
        <w:jc w:val="left"/>
      </w:pPr>
      <w:r>
        <w:rPr>
          <w:rFonts w:ascii="Arial" w:cs="Arial" w:eastAsia="Arial" w:hAnsi="Arial"/>
          <w:b/>
          <w:bCs/>
          <w:color w:val="1E3A8A"/>
          <w:sz w:val="36"/>
          <w:szCs w:val="36"/>
        </w:rPr>
        <w:t xml:space="preserve">Executive Summary</w:t>
      </w:r>
    </w:p>
    <w:p>
      <w:pPr>
        <w:spacing w:before="80" w:after="120" w:line="340"/>
        <w:jc w:val="left"/>
      </w:pPr>
      <w:r>
        <w:rPr>
          <w:rFonts w:ascii="Arial" w:cs="Arial" w:eastAsia="Arial" w:hAnsi="Arial"/>
          <w:b w:val="false"/>
          <w:bCs w:val="false"/>
          <w:i w:val="false"/>
          <w:iCs w:val="false"/>
          <w:color w:val="374151"/>
          <w:sz w:val="22"/>
          <w:szCs w:val="22"/>
        </w:rPr>
        <w:t xml:space="preserve">Bangladesh's Open Market Sales (OMS) program is one of the most critical food safety net programs in the country, serving millions of vulnerable citizens through a network of licensed dealers. However, the current system faces a fundamental governance gap: there is no reliable, real-time mechanism to verify that the right beneficiary received the right amount of food, at the right time, from the right dealer.</w:t>
      </w:r>
    </w:p>
    <w:p>
      <w:pPr>
        <w:spacing w:before="80" w:after="120" w:line="340"/>
        <w:jc w:val="left"/>
      </w:pPr>
      <w:r>
        <w:rPr>
          <w:rFonts w:ascii="Arial" w:cs="Arial" w:eastAsia="Arial" w:hAnsi="Arial"/>
          <w:b w:val="false"/>
          <w:bCs w:val="false"/>
          <w:i w:val="false"/>
          <w:iCs w:val="false"/>
          <w:color w:val="374151"/>
          <w:sz w:val="22"/>
          <w:szCs w:val="22"/>
        </w:rPr>
        <w:t xml:space="preserve">This proposal presents the OMS National Control Platform — a comprehensive digital governance solution designed to address this gap at national scale. This is not merely a software application; it is a national infrastructure for accountability.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E3A8A" w:sz="1"/>
              <w:left w:val="single" w:color="1E3A8A" w:sz="1"/>
              <w:bottom w:val="single" w:color="1E3A8A" w:sz="1"/>
              <w:right w:val="single" w:color="1E3A8A" w:sz="1"/>
            </w:tcBorders>
            <w:shd w:fill="DBEAFE" w:val="clear"/>
            <w:tcMar>
              <w:top w:type="dxa" w:w="160"/>
              <w:left w:type="dxa" w:w="200"/>
              <w:bottom w:type="dxa" w:w="160"/>
              <w:right w:type="dxa" w:w="200"/>
            </w:tcMar>
            <w:vAlign w:val="center"/>
          </w:tcPr>
          <w:p>
            <w:pPr>
              <w:spacing w:before="0" w:after="40"/>
              <w:jc w:val="center"/>
            </w:pPr>
            <w:r>
              <w:rPr>
                <w:rFonts w:ascii="Arial" w:cs="Arial" w:eastAsia="Arial" w:hAnsi="Arial"/>
                <w:b/>
                <w:bCs/>
                <w:color w:val="1E3A8A"/>
                <w:sz w:val="52"/>
                <w:szCs w:val="52"/>
              </w:rPr>
              <w:t xml:space="preserve">300K+</w:t>
            </w:r>
          </w:p>
          <w:p>
            <w:pPr>
              <w:spacing w:before="0" w:after="20"/>
              <w:jc w:val="center"/>
            </w:pPr>
            <w:r>
              <w:rPr>
                <w:rFonts w:ascii="Arial" w:cs="Arial" w:eastAsia="Arial" w:hAnsi="Arial"/>
                <w:b/>
                <w:bCs/>
                <w:color w:val="374151"/>
                <w:sz w:val="18"/>
                <w:szCs w:val="18"/>
              </w:rPr>
              <w:t xml:space="preserve">Daily Transactions</w:t>
            </w:r>
          </w:p>
          <w:p>
            <w:pPr>
              <w:spacing w:before="0" w:after="0"/>
              <w:jc w:val="center"/>
            </w:pPr>
            <w:r>
              <w:rPr>
                <w:rFonts w:ascii="Arial" w:cs="Arial" w:eastAsia="Arial" w:hAnsi="Arial"/>
                <w:i/>
                <w:iCs/>
                <w:color w:val="374151"/>
                <w:sz w:val="16"/>
                <w:szCs w:val="16"/>
              </w:rPr>
              <w:t xml:space="preserve">Supported at scale</w:t>
            </w:r>
          </w:p>
        </w:tc>
        <w:tc>
          <w:tcPr>
            <w:tcBorders>
              <w:top w:val="single" w:color="0D9488" w:sz="1"/>
              <w:left w:val="single" w:color="0D9488" w:sz="1"/>
              <w:bottom w:val="single" w:color="0D9488" w:sz="1"/>
              <w:right w:val="single" w:color="0D9488" w:sz="1"/>
            </w:tcBorders>
            <w:shd w:fill="CCFBF1" w:val="clear"/>
            <w:tcMar>
              <w:top w:type="dxa" w:w="160"/>
              <w:left w:type="dxa" w:w="200"/>
              <w:bottom w:type="dxa" w:w="160"/>
              <w:right w:type="dxa" w:w="200"/>
            </w:tcMar>
            <w:vAlign w:val="center"/>
          </w:tcPr>
          <w:p>
            <w:pPr>
              <w:spacing w:before="0" w:after="40"/>
              <w:jc w:val="center"/>
            </w:pPr>
            <w:r>
              <w:rPr>
                <w:rFonts w:ascii="Arial" w:cs="Arial" w:eastAsia="Arial" w:hAnsi="Arial"/>
                <w:b/>
                <w:bCs/>
                <w:color w:val="0D9488"/>
                <w:sz w:val="52"/>
                <w:szCs w:val="52"/>
              </w:rPr>
              <w:t xml:space="preserve">5,000</w:t>
            </w:r>
          </w:p>
          <w:p>
            <w:pPr>
              <w:spacing w:before="0" w:after="20"/>
              <w:jc w:val="center"/>
            </w:pPr>
            <w:r>
              <w:rPr>
                <w:rFonts w:ascii="Arial" w:cs="Arial" w:eastAsia="Arial" w:hAnsi="Arial"/>
                <w:b/>
                <w:bCs/>
                <w:color w:val="374151"/>
                <w:sz w:val="18"/>
                <w:szCs w:val="18"/>
              </w:rPr>
              <w:t xml:space="preserve">Concurrent Users</w:t>
            </w:r>
          </w:p>
          <w:p>
            <w:pPr>
              <w:spacing w:before="0" w:after="0"/>
              <w:jc w:val="center"/>
            </w:pPr>
            <w:r>
              <w:rPr>
                <w:rFonts w:ascii="Arial" w:cs="Arial" w:eastAsia="Arial" w:hAnsi="Arial"/>
                <w:i/>
                <w:iCs/>
                <w:color w:val="374151"/>
                <w:sz w:val="16"/>
                <w:szCs w:val="16"/>
              </w:rPr>
              <w:t xml:space="preserve">Simultaneous connections</w:t>
            </w:r>
          </w:p>
        </w:tc>
        <w:tc>
          <w:tcPr>
            <w:tcBorders>
              <w:top w:val="single" w:color="1E3A8A" w:sz="1"/>
              <w:left w:val="single" w:color="1E3A8A" w:sz="1"/>
              <w:bottom w:val="single" w:color="1E3A8A" w:sz="1"/>
              <w:right w:val="single" w:color="1E3A8A" w:sz="1"/>
            </w:tcBorders>
            <w:shd w:fill="DBEAFE" w:val="clear"/>
            <w:tcMar>
              <w:top w:type="dxa" w:w="160"/>
              <w:left w:type="dxa" w:w="200"/>
              <w:bottom w:type="dxa" w:w="160"/>
              <w:right w:type="dxa" w:w="200"/>
            </w:tcMar>
            <w:vAlign w:val="center"/>
          </w:tcPr>
          <w:p>
            <w:pPr>
              <w:spacing w:before="0" w:after="40"/>
              <w:jc w:val="center"/>
            </w:pPr>
            <w:r>
              <w:rPr>
                <w:rFonts w:ascii="Arial" w:cs="Arial" w:eastAsia="Arial" w:hAnsi="Arial"/>
                <w:b/>
                <w:bCs/>
                <w:color w:val="1E3A8A"/>
                <w:sz w:val="52"/>
                <w:szCs w:val="52"/>
              </w:rPr>
              <w:t xml:space="preserve">40-50%</w:t>
            </w:r>
          </w:p>
          <w:p>
            <w:pPr>
              <w:spacing w:before="0" w:after="20"/>
              <w:jc w:val="center"/>
            </w:pPr>
            <w:r>
              <w:rPr>
                <w:rFonts w:ascii="Arial" w:cs="Arial" w:eastAsia="Arial" w:hAnsi="Arial"/>
                <w:b/>
                <w:bCs/>
                <w:color w:val="374151"/>
                <w:sz w:val="18"/>
                <w:szCs w:val="18"/>
              </w:rPr>
              <w:t xml:space="preserve">Leakage Reduction</w:t>
            </w:r>
          </w:p>
          <w:p>
            <w:pPr>
              <w:spacing w:before="0" w:after="0"/>
              <w:jc w:val="center"/>
            </w:pPr>
            <w:r>
              <w:rPr>
                <w:rFonts w:ascii="Arial" w:cs="Arial" w:eastAsia="Arial" w:hAnsi="Arial"/>
                <w:i/>
                <w:iCs/>
                <w:color w:val="374151"/>
                <w:sz w:val="16"/>
                <w:szCs w:val="16"/>
              </w:rPr>
              <w:t xml:space="preserve">Projected improvement</w:t>
            </w:r>
          </w:p>
        </w:tc>
        <w:tc>
          <w:tcPr>
            <w:tcBorders>
              <w:top w:val="single" w:color="0D9488" w:sz="1"/>
              <w:left w:val="single" w:color="0D9488" w:sz="1"/>
              <w:bottom w:val="single" w:color="0D9488" w:sz="1"/>
              <w:right w:val="single" w:color="0D9488" w:sz="1"/>
            </w:tcBorders>
            <w:shd w:fill="CCFBF1" w:val="clear"/>
            <w:tcMar>
              <w:top w:type="dxa" w:w="160"/>
              <w:left w:type="dxa" w:w="200"/>
              <w:bottom w:type="dxa" w:w="160"/>
              <w:right w:type="dxa" w:w="200"/>
            </w:tcMar>
            <w:vAlign w:val="center"/>
          </w:tcPr>
          <w:p>
            <w:pPr>
              <w:spacing w:before="0" w:after="40"/>
              <w:jc w:val="center"/>
            </w:pPr>
            <w:r>
              <w:rPr>
                <w:rFonts w:ascii="Arial" w:cs="Arial" w:eastAsia="Arial" w:hAnsi="Arial"/>
                <w:b/>
                <w:bCs/>
                <w:color w:val="0D9488"/>
                <w:sz w:val="52"/>
                <w:szCs w:val="52"/>
              </w:rPr>
              <w:t xml:space="preserve">$120-150M</w:t>
            </w:r>
          </w:p>
          <w:p>
            <w:pPr>
              <w:spacing w:before="0" w:after="20"/>
              <w:jc w:val="center"/>
            </w:pPr>
            <w:r>
              <w:rPr>
                <w:rFonts w:ascii="Arial" w:cs="Arial" w:eastAsia="Arial" w:hAnsi="Arial"/>
                <w:b/>
                <w:bCs/>
                <w:color w:val="374151"/>
                <w:sz w:val="18"/>
                <w:szCs w:val="18"/>
              </w:rPr>
              <w:t xml:space="preserve">Annual Value</w:t>
            </w:r>
          </w:p>
          <w:p>
            <w:pPr>
              <w:spacing w:before="0" w:after="0"/>
              <w:jc w:val="center"/>
            </w:pPr>
            <w:r>
              <w:rPr>
                <w:rFonts w:ascii="Arial" w:cs="Arial" w:eastAsia="Arial" w:hAnsi="Arial"/>
                <w:i/>
                <w:iCs/>
                <w:color w:val="374151"/>
                <w:sz w:val="16"/>
                <w:szCs w:val="16"/>
              </w:rPr>
              <w:t xml:space="preserve">In leakage prevention</w:t>
            </w:r>
          </w:p>
        </w:tc>
      </w:tr>
    </w:tbl>
    <w:p>
      <w:pPr>
        <w:spacing w:before="0" w:after="60"/>
      </w:pPr>
      <w:r>
        <w:t xml:space="preserve"/>
      </w:r>
    </w:p>
    <w:p>
      <w:pPr>
        <w:spacing w:before="80" w:after="120" w:line="340"/>
        <w:jc w:val="left"/>
      </w:pPr>
      <w:r>
        <w:rPr>
          <w:rFonts w:ascii="Arial" w:cs="Arial" w:eastAsia="Arial" w:hAnsi="Arial"/>
          <w:b w:val="false"/>
          <w:bCs w:val="false"/>
          <w:i w:val="false"/>
          <w:iCs w:val="false"/>
          <w:color w:val="374151"/>
          <w:sz w:val="22"/>
          <w:szCs w:val="22"/>
        </w:rPr>
        <w:t xml:space="preserve">The proposed platform operates across four foundational pillars:</w:t>
      </w:r>
    </w:p>
    <w:p>
      <w:pPr>
        <w:pStyle w:val="ListParagraph"/>
        <w:numPr>
          <w:ilvl w:val="0"/>
          <w:numId w:val="2"/>
        </w:numPr>
        <w:spacing w:before="40" w:after="60" w:line="300"/>
      </w:pPr>
      <w:r>
        <w:rPr>
          <w:rFonts w:ascii="Arial" w:cs="Arial" w:eastAsia="Arial" w:hAnsi="Arial"/>
          <w:b/>
          <w:bCs/>
          <w:color w:val="374151"/>
          <w:sz w:val="22"/>
          <w:szCs w:val="22"/>
        </w:rPr>
        <w:t xml:space="preserve">Pillar 1: </w:t>
      </w:r>
      <w:r>
        <w:rPr>
          <w:rFonts w:ascii="Arial" w:cs="Arial" w:eastAsia="Arial" w:hAnsi="Arial"/>
          <w:color w:val="374151"/>
          <w:sz w:val="22"/>
          <w:szCs w:val="22"/>
        </w:rPr>
        <w:t xml:space="preserve">Identity Assurance — biometric face verification for every distribution event, ensuring the right beneficiary receives their rightful allocation.</w:t>
      </w:r>
    </w:p>
    <w:p>
      <w:pPr>
        <w:pStyle w:val="ListParagraph"/>
        <w:numPr>
          <w:ilvl w:val="0"/>
          <w:numId w:val="2"/>
        </w:numPr>
        <w:spacing w:before="40" w:after="60" w:line="300"/>
      </w:pPr>
      <w:r>
        <w:rPr>
          <w:rFonts w:ascii="Arial" w:cs="Arial" w:eastAsia="Arial" w:hAnsi="Arial"/>
          <w:b/>
          <w:bCs/>
          <w:color w:val="374151"/>
          <w:sz w:val="22"/>
          <w:szCs w:val="22"/>
        </w:rPr>
        <w:t xml:space="preserve">Pillar 2: </w:t>
      </w:r>
      <w:r>
        <w:rPr>
          <w:rFonts w:ascii="Arial" w:cs="Arial" w:eastAsia="Arial" w:hAnsi="Arial"/>
          <w:color w:val="374151"/>
          <w:sz w:val="22"/>
          <w:szCs w:val="22"/>
        </w:rPr>
        <w:t xml:space="preserve">Leakage Control — real-time duplicate prevention, daily and monthly quota enforcement, and anomaly detection that makes fraud operationally impossible.</w:t>
      </w:r>
    </w:p>
    <w:p>
      <w:pPr>
        <w:pStyle w:val="ListParagraph"/>
        <w:numPr>
          <w:ilvl w:val="0"/>
          <w:numId w:val="2"/>
        </w:numPr>
        <w:spacing w:before="40" w:after="60" w:line="300"/>
      </w:pPr>
      <w:r>
        <w:rPr>
          <w:rFonts w:ascii="Arial" w:cs="Arial" w:eastAsia="Arial" w:hAnsi="Arial"/>
          <w:b/>
          <w:bCs/>
          <w:color w:val="374151"/>
          <w:sz w:val="22"/>
          <w:szCs w:val="22"/>
        </w:rPr>
        <w:t xml:space="preserve">Pillar 3: </w:t>
      </w:r>
      <w:r>
        <w:rPr>
          <w:rFonts w:ascii="Arial" w:cs="Arial" w:eastAsia="Arial" w:hAnsi="Arial"/>
          <w:color w:val="374151"/>
          <w:sz w:val="22"/>
          <w:szCs w:val="22"/>
        </w:rPr>
        <w:t xml:space="preserve">Offline-First Continuity — field operations that function reliably even on 2G networks, with intelligent sync that ensures no data is lost and no fraud opportunity is created through connectivity manipulation.</w:t>
      </w:r>
    </w:p>
    <w:p>
      <w:pPr>
        <w:pStyle w:val="ListParagraph"/>
        <w:numPr>
          <w:ilvl w:val="0"/>
          <w:numId w:val="2"/>
        </w:numPr>
        <w:spacing w:before="40" w:after="60" w:line="300"/>
      </w:pPr>
      <w:r>
        <w:rPr>
          <w:rFonts w:ascii="Arial" w:cs="Arial" w:eastAsia="Arial" w:hAnsi="Arial"/>
          <w:b/>
          <w:bCs/>
          <w:color w:val="374151"/>
          <w:sz w:val="22"/>
          <w:szCs w:val="22"/>
        </w:rPr>
        <w:t xml:space="preserve">Pillar 4: </w:t>
      </w:r>
      <w:r>
        <w:rPr>
          <w:rFonts w:ascii="Arial" w:cs="Arial" w:eastAsia="Arial" w:hAnsi="Arial"/>
          <w:color w:val="374151"/>
          <w:sz w:val="22"/>
          <w:szCs w:val="22"/>
        </w:rPr>
        <w:t xml:space="preserve">Governance Intelligence — transforming raw transaction data into demand forecasting, supply planning, poverty insights, and dealer risk scoring for evidence-based policy decisions.</w:t>
      </w:r>
    </w:p>
    <w:p>
      <w:pPr>
        <w:spacing w:before="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D9488" w:sz="1"/>
              <w:left w:val="single" w:color="0D9488" w:sz="12"/>
              <w:bottom w:val="single" w:color="0D9488" w:sz="1"/>
              <w:right w:val="none" w:color="FFFFFF" w:sz="0"/>
            </w:tcBorders>
            <w:shd w:fill="DBEAFE" w:val="clear"/>
            <w:tcMar>
              <w:top w:type="dxa" w:w="120"/>
              <w:left w:type="dxa" w:w="200"/>
              <w:bottom w:type="dxa" w:w="120"/>
              <w:right w:type="dxa" w:w="200"/>
            </w:tcMar>
          </w:tcPr>
          <w:p>
            <w:pPr>
              <w:spacing w:before="0" w:after="80"/>
            </w:pPr>
            <w:r>
              <w:rPr>
                <w:rFonts w:ascii="Arial" w:cs="Arial" w:eastAsia="Arial" w:hAnsi="Arial"/>
                <w:b/>
                <w:bCs/>
                <w:color w:val="1E3A8A"/>
                <w:sz w:val="22"/>
                <w:szCs w:val="22"/>
              </w:rPr>
              <w:t xml:space="preserve">Our Core Commitment</w:t>
            </w:r>
          </w:p>
          <w:p>
            <w:pPr>
              <w:spacing w:before="0" w:after="0"/>
            </w:pPr>
            <w:r>
              <w:rPr>
                <w:rFonts w:ascii="Arial" w:cs="Arial" w:eastAsia="Arial" w:hAnsi="Arial"/>
                <w:color w:val="374151"/>
                <w:sz w:val="21"/>
                <w:szCs w:val="21"/>
              </w:rPr>
              <w:t xml:space="preserve">We understand not just the software requirements, but the governance problem behind them. Every architectural decision in this proposal is driven by the question: how do we make it operationally impossible to cheat the system, while making it operationally simple for honest dealers and beneficiaries to participate?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8A" w:val="clear"/>
            <w:tcMar>
              <w:top w:type="dxa" w:w="400"/>
              <w:left w:type="dxa" w:w="400"/>
              <w:bottom w:type="dxa" w:w="400"/>
              <w:right w:type="dxa" w:w="400"/>
            </w:tcMar>
          </w:tcPr>
          <w:p>
            <w:pPr>
              <w:spacing w:before="0" w:after="80"/>
              <w:jc w:val="center"/>
            </w:pPr>
            <w:r>
              <w:rPr>
                <w:rFonts w:ascii="Arial" w:cs="Arial" w:eastAsia="Arial" w:hAnsi="Arial"/>
                <w:b/>
                <w:bCs/>
                <w:color w:val="FFFFFF"/>
                <w:sz w:val="48"/>
                <w:szCs w:val="48"/>
              </w:rPr>
              <w:t xml:space="preserve">SECTION 1</w:t>
            </w:r>
          </w:p>
          <w:p>
            <w:pPr>
              <w:spacing w:before="0" w:after="0"/>
              <w:jc w:val="center"/>
            </w:pPr>
            <w:r>
              <w:rPr>
                <w:rFonts w:ascii="Arial" w:cs="Arial" w:eastAsia="Arial" w:hAnsi="Arial"/>
                <w:i/>
                <w:iCs/>
                <w:color w:val="BFDBFE"/>
                <w:sz w:val="24"/>
                <w:szCs w:val="24"/>
              </w:rPr>
              <w:t xml:space="preserve">Understanding the Real Problem</w:t>
            </w:r>
          </w:p>
        </w:tc>
      </w:tr>
    </w:tbl>
    <w:p>
      <w:pPr>
        <w:spacing w:before="0" w:after="60"/>
      </w:pPr>
      <w:r>
        <w:t xml:space="preserve"/>
      </w:r>
    </w:p>
    <w:p>
      <w:pPr>
        <w:pStyle w:val="Heading2"/>
        <w:pBdr>
          <w:bottom w:val="single" w:color="0D9488" w:sz="4" w:space="4"/>
        </w:pBdr>
        <w:spacing w:before="320" w:after="160"/>
      </w:pPr>
      <w:r>
        <w:rPr>
          <w:rFonts w:ascii="Arial" w:cs="Arial" w:eastAsia="Arial" w:hAnsi="Arial"/>
          <w:b/>
          <w:bCs/>
          <w:color w:val="1E3A8A"/>
          <w:sz w:val="28"/>
          <w:szCs w:val="28"/>
        </w:rPr>
        <w:t xml:space="preserve">1.1 The Governance Problem Behind the Software</w:t>
      </w:r>
    </w:p>
    <w:p>
      <w:pPr>
        <w:spacing w:before="80" w:after="120" w:line="340"/>
        <w:jc w:val="left"/>
      </w:pPr>
      <w:r>
        <w:rPr>
          <w:rFonts w:ascii="Arial" w:cs="Arial" w:eastAsia="Arial" w:hAnsi="Arial"/>
          <w:b w:val="false"/>
          <w:bCs w:val="false"/>
          <w:i w:val="false"/>
          <w:iCs w:val="false"/>
          <w:color w:val="374151"/>
          <w:sz w:val="22"/>
          <w:szCs w:val="22"/>
        </w:rPr>
        <w:t xml:space="preserve">Bangladesh's OMS program distributes rice and flour to vulnerable populations through approximately 560+ offices and thousands of licensed dealers. The system serves hundreds of thousands of beneficiaries daily. However, without a reliable digital control layer, several structural vulnerabilities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none" w:color="FFFFFF" w:sz="0"/>
              <w:left w:val="none" w:color="FFFFFF" w:sz="0"/>
              <w:bottom w:val="none" w:color="FFFFFF" w:sz="0"/>
              <w:right w:val="none" w:color="FFFFFF" w:sz="0"/>
            </w:tcBorders>
            <w:shd w:fill="1E3A8A" w:val="clear"/>
            <w:tcMar>
              <w:top w:type="dxa" w:w="80"/>
              <w:left w:type="dxa" w:w="160"/>
              <w:bottom w:type="dxa" w:w="80"/>
              <w:right w:type="dxa" w:w="160"/>
            </w:tcMar>
          </w:tcPr>
          <w:p>
            <w:r>
              <w:rPr>
                <w:rFonts w:ascii="Arial" w:cs="Arial" w:eastAsia="Arial" w:hAnsi="Arial"/>
                <w:b/>
                <w:bCs/>
                <w:color w:val="FFFFFF"/>
                <w:sz w:val="20"/>
                <w:szCs w:val="20"/>
              </w:rPr>
              <w:t xml:space="preserve">Problem</w:t>
            </w:r>
          </w:p>
        </w:tc>
        <w:tc>
          <w:tcPr>
            <w:tcBorders>
              <w:top w:val="none" w:color="FFFFFF" w:sz="0"/>
              <w:left w:val="none" w:color="FFFFFF" w:sz="0"/>
              <w:bottom w:val="none" w:color="FFFFFF" w:sz="0"/>
              <w:right w:val="none" w:color="FFFFFF" w:sz="0"/>
            </w:tcBorders>
            <w:shd w:fill="1E3A8A" w:val="clear"/>
            <w:tcMar>
              <w:top w:type="dxa" w:w="80"/>
              <w:left w:type="dxa" w:w="160"/>
              <w:bottom w:type="dxa" w:w="80"/>
              <w:right w:type="dxa" w:w="160"/>
            </w:tcMar>
          </w:tcPr>
          <w:p>
            <w:r>
              <w:rPr>
                <w:rFonts w:ascii="Arial" w:cs="Arial" w:eastAsia="Arial" w:hAnsi="Arial"/>
                <w:b/>
                <w:bCs/>
                <w:color w:val="FFFFFF"/>
                <w:sz w:val="20"/>
                <w:szCs w:val="20"/>
              </w:rPr>
              <w:t xml:space="preserve">Current Impact</w:t>
            </w:r>
          </w:p>
        </w:tc>
      </w:tr>
      <w:tr>
        <w:tc>
          <w:tcPr>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3A8A"/>
                <w:sz w:val="20"/>
                <w:szCs w:val="20"/>
              </w:rPr>
              <w:t xml:space="preserve">Duplicate Lifting in a Single Day</w:t>
            </w:r>
          </w:p>
        </w:tc>
        <w:tc>
          <w:tcPr>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A beneficiary can collect food grain multiple times in one day at different points, or with different dealer identities, with no technical barrier to prevent it.</w:t>
            </w:r>
          </w:p>
        </w:tc>
      </w:tr>
      <w:tr>
        <w:tc>
          <w:tcPr>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3A8A"/>
                <w:sz w:val="20"/>
                <w:szCs w:val="20"/>
              </w:rPr>
              <w:t xml:space="preserve">Monthly Quota Leakage</w:t>
            </w:r>
          </w:p>
        </w:tc>
        <w:tc>
          <w:tcPr>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Without real-time quota tracking, beneficiaries can exceed their monthly entitlement across multiple visits without detection.</w:t>
            </w:r>
          </w:p>
        </w:tc>
      </w:tr>
      <w:tr>
        <w:tc>
          <w:tcPr>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3A8A"/>
                <w:sz w:val="20"/>
                <w:szCs w:val="20"/>
              </w:rPr>
              <w:t xml:space="preserve">Unverified Beneficiary Identity</w:t>
            </w:r>
          </w:p>
        </w:tc>
        <w:tc>
          <w:tcPr>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Manual or document-based identity checks are easily bypassed, particularly for vulnerable populations who may lack documentation.</w:t>
            </w:r>
          </w:p>
        </w:tc>
      </w:tr>
      <w:tr>
        <w:tc>
          <w:tcPr>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3A8A"/>
                <w:sz w:val="20"/>
                <w:szCs w:val="20"/>
              </w:rPr>
              <w:t xml:space="preserve">Limited Oversight Visibility</w:t>
            </w:r>
          </w:p>
        </w:tc>
        <w:tc>
          <w:tcPr>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Central authorities cannot monitor dealer performance, detect anomalies, or respond to distribution irregularities in real time.</w:t>
            </w:r>
          </w:p>
        </w:tc>
      </w:tr>
      <w:tr>
        <w:tc>
          <w:tcPr>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3A8A"/>
                <w:sz w:val="20"/>
                <w:szCs w:val="20"/>
              </w:rPr>
              <w:t xml:space="preserve">Offline Operation Gaps</w:t>
            </w:r>
          </w:p>
        </w:tc>
        <w:tc>
          <w:tcPr>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Dealers in low-connectivity areas operate without system access, creating periods of unrecorded distribution that are vulnerable to manipulation.</w:t>
            </w:r>
          </w:p>
        </w:tc>
      </w:tr>
      <w:tr>
        <w:tc>
          <w:tcPr>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3A8A"/>
                <w:sz w:val="20"/>
                <w:szCs w:val="20"/>
              </w:rPr>
              <w:t xml:space="preserve">No Demand Intelligence</w:t>
            </w:r>
          </w:p>
        </w:tc>
        <w:tc>
          <w:tcPr>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20"/>
                <w:szCs w:val="20"/>
              </w:rPr>
              <w:t xml:space="preserve">Allocation decisions are based on estimates rather than actual consumption data, leading to mismatch between supply and real demand.</w:t>
            </w:r>
          </w:p>
        </w:tc>
      </w:tr>
    </w:tbl>
    <w:p>
      <w:pPr>
        <w:spacing w:before="0" w:after="60"/>
      </w:pPr>
      <w:r>
        <w:t xml:space="preserve"/>
      </w:r>
    </w:p>
    <w:p>
      <w:pPr>
        <w:pStyle w:val="Heading2"/>
        <w:pBdr>
          <w:bottom w:val="single" w:color="0D9488" w:sz="4" w:space="4"/>
        </w:pBdr>
        <w:spacing w:before="320" w:after="160"/>
      </w:pPr>
      <w:r>
        <w:rPr>
          <w:rFonts w:ascii="Arial" w:cs="Arial" w:eastAsia="Arial" w:hAnsi="Arial"/>
          <w:b/>
          <w:bCs/>
          <w:color w:val="1E3A8A"/>
          <w:sz w:val="28"/>
          <w:szCs w:val="28"/>
        </w:rPr>
        <w:t xml:space="preserve">1.2 Strategic Insight: The SRS Reveals Four Hidden Goals</w:t>
      </w:r>
    </w:p>
    <w:p>
      <w:pPr>
        <w:spacing w:before="80" w:after="120" w:line="340"/>
        <w:jc w:val="left"/>
      </w:pPr>
      <w:r>
        <w:rPr>
          <w:rFonts w:ascii="Arial" w:cs="Arial" w:eastAsia="Arial" w:hAnsi="Arial"/>
          <w:b w:val="false"/>
          <w:bCs w:val="false"/>
          <w:i w:val="false"/>
          <w:iCs w:val="false"/>
          <w:color w:val="374151"/>
          <w:sz w:val="22"/>
          <w:szCs w:val="22"/>
        </w:rPr>
        <w:t xml:space="preserve">A careful reading of the System Requirements Specification reveals that beneath the visible technical requirements are four deeper policy objectives that drive the government's investment:</w:t>
      </w:r>
    </w:p>
    <w:p>
      <w:pPr>
        <w:pStyle w:val="Heading3"/>
        <w:spacing w:before="240" w:after="120"/>
      </w:pPr>
      <w:r>
        <w:rPr>
          <w:rFonts w:ascii="Arial" w:cs="Arial" w:eastAsia="Arial" w:hAnsi="Arial"/>
          <w:b/>
          <w:bCs/>
          <w:color w:val="0D9488"/>
          <w:sz w:val="24"/>
          <w:szCs w:val="24"/>
        </w:rPr>
        <w:t xml:space="preserve">Goal 1 — Stop Leakage</w:t>
      </w:r>
    </w:p>
    <w:p>
      <w:pPr>
        <w:spacing w:before="80" w:after="120" w:line="340"/>
        <w:jc w:val="left"/>
      </w:pPr>
      <w:r>
        <w:rPr>
          <w:rFonts w:ascii="Arial" w:cs="Arial" w:eastAsia="Arial" w:hAnsi="Arial"/>
          <w:b w:val="false"/>
          <w:bCs w:val="false"/>
          <w:i w:val="false"/>
          <w:iCs w:val="false"/>
          <w:color w:val="374151"/>
          <w:sz w:val="22"/>
          <w:szCs w:val="22"/>
        </w:rPr>
        <w:t xml:space="preserve">The SRS explicitly requires restriction of multiple lifting in a single day and customizable monthly quota modules. This is not a feature request — it is a policy mandate. The government needs mathematical certainty that each beneficiary receives exactly their entitled amount, no more and no less.</w:t>
      </w:r>
    </w:p>
    <w:p>
      <w:pPr>
        <w:pStyle w:val="Heading3"/>
        <w:spacing w:before="240" w:after="120"/>
      </w:pPr>
      <w:r>
        <w:rPr>
          <w:rFonts w:ascii="Arial" w:cs="Arial" w:eastAsia="Arial" w:hAnsi="Arial"/>
          <w:b/>
          <w:bCs/>
          <w:color w:val="0D9488"/>
          <w:sz w:val="24"/>
          <w:szCs w:val="24"/>
        </w:rPr>
        <w:t xml:space="preserve">Goal 2 — Create Auditable Proof</w:t>
      </w:r>
    </w:p>
    <w:p>
      <w:pPr>
        <w:spacing w:before="80" w:after="120" w:line="340"/>
        <w:jc w:val="left"/>
      </w:pPr>
      <w:r>
        <w:rPr>
          <w:rFonts w:ascii="Arial" w:cs="Arial" w:eastAsia="Arial" w:hAnsi="Arial"/>
          <w:b w:val="false"/>
          <w:bCs w:val="false"/>
          <w:i w:val="false"/>
          <w:iCs w:val="false"/>
          <w:color w:val="374151"/>
          <w:sz w:val="22"/>
          <w:szCs w:val="22"/>
        </w:rPr>
        <w:t xml:space="preserve">The requirements for access logs, field modification tracking, before/after value logging, breach attempt recording, and timestamp capture indicate that the government needs a tamper-evident evidence trail — not just transaction records, but proof that can withstand scrutiny in accountability reviews.</w:t>
      </w:r>
    </w:p>
    <w:p>
      <w:pPr>
        <w:pStyle w:val="Heading3"/>
        <w:spacing w:before="240" w:after="120"/>
      </w:pPr>
      <w:r>
        <w:rPr>
          <w:rFonts w:ascii="Arial" w:cs="Arial" w:eastAsia="Arial" w:hAnsi="Arial"/>
          <w:b/>
          <w:bCs/>
          <w:color w:val="0D9488"/>
          <w:sz w:val="24"/>
          <w:szCs w:val="24"/>
        </w:rPr>
        <w:t xml:space="preserve">Goal 3 — Maintain Operational Continuity</w:t>
      </w:r>
    </w:p>
    <w:p>
      <w:pPr>
        <w:spacing w:before="80" w:after="120" w:line="340"/>
        <w:jc w:val="left"/>
      </w:pPr>
      <w:r>
        <w:rPr>
          <w:rFonts w:ascii="Arial" w:cs="Arial" w:eastAsia="Arial" w:hAnsi="Arial"/>
          <w:b w:val="false"/>
          <w:bCs w:val="false"/>
          <w:i w:val="false"/>
          <w:iCs w:val="false"/>
          <w:color w:val="374151"/>
          <w:sz w:val="22"/>
          <w:szCs w:val="22"/>
        </w:rPr>
        <w:t xml:space="preserve">The mobile application requirements for auto/conditional synchronization with local data based on internet availability are not optional nice-to-haves. They reflect Bangladesh's field reality: dealers in rural areas cannot be expected to have reliable internet connectivity, and any system that stops functioning without connectivity will fail at exactly the moments it is needed most.</w:t>
      </w:r>
    </w:p>
    <w:p>
      <w:pPr>
        <w:pStyle w:val="Heading3"/>
        <w:spacing w:before="240" w:after="120"/>
      </w:pPr>
      <w:r>
        <w:rPr>
          <w:rFonts w:ascii="Arial" w:cs="Arial" w:eastAsia="Arial" w:hAnsi="Arial"/>
          <w:b/>
          <w:bCs/>
          <w:color w:val="0D9488"/>
          <w:sz w:val="24"/>
          <w:szCs w:val="24"/>
        </w:rPr>
        <w:t xml:space="preserve">Goal 4 — Build Policy Intelligence</w:t>
      </w:r>
    </w:p>
    <w:p>
      <w:pPr>
        <w:spacing w:before="80" w:after="120" w:line="340"/>
        <w:jc w:val="left"/>
      </w:pPr>
      <w:r>
        <w:rPr>
          <w:rFonts w:ascii="Arial" w:cs="Arial" w:eastAsia="Arial" w:hAnsi="Arial"/>
          <w:b w:val="false"/>
          <w:bCs w:val="false"/>
          <w:i w:val="false"/>
          <w:iCs w:val="false"/>
          <w:color w:val="374151"/>
          <w:sz w:val="22"/>
          <w:szCs w:val="22"/>
        </w:rPr>
        <w:t xml:space="preserve">The data analysis module requirement — analyzing yearly beneficiary lifting data to understand demand patterns, poverty indicators, and area-level forecasting — signals a long-term vision. The government wants to move from reactive distribution to proactive, evidence-based policy planning.</w:t>
      </w:r>
    </w:p>
    <w:p>
      <w:pPr>
        <w:spacing w:before="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D9488" w:sz="1"/>
              <w:left w:val="single" w:color="0D9488" w:sz="12"/>
              <w:bottom w:val="single" w:color="0D9488" w:sz="1"/>
              <w:right w:val="none" w:color="FFFFFF" w:sz="0"/>
            </w:tcBorders>
            <w:shd w:fill="FEF3C7" w:val="clear"/>
            <w:tcMar>
              <w:top w:type="dxa" w:w="120"/>
              <w:left w:type="dxa" w:w="200"/>
              <w:bottom w:type="dxa" w:w="120"/>
              <w:right w:type="dxa" w:w="200"/>
            </w:tcMar>
          </w:tcPr>
          <w:p>
            <w:pPr>
              <w:spacing w:before="0" w:after="80"/>
            </w:pPr>
            <w:r>
              <w:rPr>
                <w:rFonts w:ascii="Arial" w:cs="Arial" w:eastAsia="Arial" w:hAnsi="Arial"/>
                <w:b/>
                <w:bCs/>
                <w:color w:val="D97706"/>
                <w:sz w:val="22"/>
                <w:szCs w:val="22"/>
              </w:rPr>
              <w:t xml:space="preserve">Critical SRS Observation: The Biometric Contradiction</w:t>
            </w:r>
          </w:p>
          <w:p>
            <w:pPr>
              <w:spacing w:before="0" w:after="0"/>
            </w:pPr>
            <w:r>
              <w:rPr>
                <w:rFonts w:ascii="Arial" w:cs="Arial" w:eastAsia="Arial" w:hAnsi="Arial"/>
                <w:color w:val="374151"/>
                <w:sz w:val="21"/>
                <w:szCs w:val="21"/>
              </w:rPr>
              <w:t xml:space="preserve">The SRS title references fingerprint distribution while the scope specifies face authentication. This is not an error — it reflects genuine policy uncertainty. Our proposal resolves this with a Biometric Abstraction Layer: face verification as the primary operational method, with architectural readiness for fingerprint or multi-modal verification if policy direction changes. This positions us as technically mature and diplomatically intelligent.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8A" w:val="clear"/>
            <w:tcMar>
              <w:top w:type="dxa" w:w="400"/>
              <w:left w:type="dxa" w:w="400"/>
              <w:bottom w:type="dxa" w:w="400"/>
              <w:right w:type="dxa" w:w="400"/>
            </w:tcMar>
          </w:tcPr>
          <w:p>
            <w:pPr>
              <w:spacing w:before="0" w:after="80"/>
              <w:jc w:val="center"/>
            </w:pPr>
            <w:r>
              <w:rPr>
                <w:rFonts w:ascii="Arial" w:cs="Arial" w:eastAsia="Arial" w:hAnsi="Arial"/>
                <w:b/>
                <w:bCs/>
                <w:color w:val="FFFFFF"/>
                <w:sz w:val="48"/>
                <w:szCs w:val="48"/>
              </w:rPr>
              <w:t xml:space="preserve">SECTION 2</w:t>
            </w:r>
          </w:p>
          <w:p>
            <w:pPr>
              <w:spacing w:before="0" w:after="0"/>
              <w:jc w:val="center"/>
            </w:pPr>
            <w:r>
              <w:rPr>
                <w:rFonts w:ascii="Arial" w:cs="Arial" w:eastAsia="Arial" w:hAnsi="Arial"/>
                <w:i/>
                <w:iCs/>
                <w:color w:val="BFDBFE"/>
                <w:sz w:val="24"/>
                <w:szCs w:val="24"/>
              </w:rPr>
              <w:t xml:space="preserve">Proposed Solution Architecture</w:t>
            </w:r>
          </w:p>
        </w:tc>
      </w:tr>
    </w:tbl>
    <w:p>
      <w:pPr>
        <w:spacing w:before="0" w:after="60"/>
      </w:pPr>
      <w:r>
        <w:t xml:space="preserve"/>
      </w:r>
    </w:p>
    <w:p>
      <w:pPr>
        <w:pStyle w:val="Heading2"/>
        <w:pBdr>
          <w:bottom w:val="single" w:color="0D9488" w:sz="4" w:space="4"/>
        </w:pBdr>
        <w:spacing w:before="320" w:after="160"/>
      </w:pPr>
      <w:r>
        <w:rPr>
          <w:rFonts w:ascii="Arial" w:cs="Arial" w:eastAsia="Arial" w:hAnsi="Arial"/>
          <w:b/>
          <w:bCs/>
          <w:color w:val="1E3A8A"/>
          <w:sz w:val="28"/>
          <w:szCs w:val="28"/>
        </w:rPr>
        <w:t xml:space="preserve">2.1 Platform Architecture Overview</w:t>
      </w:r>
    </w:p>
    <w:p>
      <w:pPr>
        <w:spacing w:before="80" w:after="120" w:line="340"/>
        <w:jc w:val="left"/>
      </w:pPr>
      <w:r>
        <w:rPr>
          <w:rFonts w:ascii="Arial" w:cs="Arial" w:eastAsia="Arial" w:hAnsi="Arial"/>
          <w:b w:val="false"/>
          <w:bCs w:val="false"/>
          <w:i w:val="false"/>
          <w:iCs w:val="false"/>
          <w:color w:val="374151"/>
          <w:sz w:val="22"/>
          <w:szCs w:val="22"/>
        </w:rPr>
        <w:t xml:space="preserve">The OMS National Control Platform is designed as a modular, microservices-based system with four primary components working in concert. Each component is independently scalable, and the architecture is designed for 10 years of operation with 20% annual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E3A8A" w:sz="1"/>
              <w:left w:val="single" w:color="1E3A8A" w:sz="1"/>
              <w:bottom w:val="single" w:color="1E3A8A" w:sz="1"/>
              <w:right w:val="single" w:color="1E3A8A" w:sz="1"/>
            </w:tcBorders>
            <w:shd w:fill="1E3A8A" w:val="clear"/>
            <w:tcMar>
              <w:top w:type="dxa" w:w="200"/>
              <w:left w:type="dxa" w:w="200"/>
              <w:bottom w:type="dxa" w:w="200"/>
              <w:right w:type="dxa" w:w="200"/>
            </w:tcMar>
            <w:vAlign w:val="center"/>
          </w:tcPr>
          <w:p>
            <w:pPr>
              <w:spacing w:before="0" w:after="60"/>
              <w:jc w:val="center"/>
            </w:pPr>
            <w:r>
              <w:rPr>
                <w:rFonts w:ascii="Arial" w:cs="Arial" w:eastAsia="Arial" w:hAnsi="Arial"/>
                <w:b/>
                <w:bCs/>
                <w:color w:val="60A5FA"/>
                <w:sz w:val="48"/>
                <w:szCs w:val="48"/>
              </w:rPr>
              <w:t xml:space="preserve">01</w:t>
            </w:r>
          </w:p>
          <w:p>
            <w:pPr>
              <w:spacing w:before="0" w:after="40"/>
              <w:jc w:val="center"/>
            </w:pPr>
            <w:r>
              <w:rPr>
                <w:rFonts w:ascii="Arial" w:cs="Arial" w:eastAsia="Arial" w:hAnsi="Arial"/>
                <w:b/>
                <w:bCs/>
                <w:color w:val="FFFFFF"/>
                <w:sz w:val="22"/>
                <w:szCs w:val="22"/>
              </w:rPr>
              <w:t xml:space="preserve">Dealer Android App</w:t>
            </w:r>
          </w:p>
          <w:p>
            <w:pPr>
              <w:jc w:val="center"/>
            </w:pPr>
            <w:r>
              <w:rPr>
                <w:rFonts w:ascii="Arial" w:cs="Arial" w:eastAsia="Arial" w:hAnsi="Arial"/>
                <w:i/>
                <w:iCs/>
                <w:color w:val="BFDBFE"/>
                <w:sz w:val="18"/>
                <w:szCs w:val="18"/>
              </w:rPr>
              <w:t xml:space="preserve">Offline-first field operations with biometric verification</w:t>
            </w:r>
          </w:p>
        </w:tc>
        <w:tc>
          <w:tcPr>
            <w:tcBorders>
              <w:top w:val="single" w:color="0D9488" w:sz="1"/>
              <w:left w:val="single" w:color="0D9488" w:sz="1"/>
              <w:bottom w:val="single" w:color="0D9488" w:sz="1"/>
              <w:right w:val="single" w:color="0D9488" w:sz="1"/>
            </w:tcBorders>
            <w:shd w:fill="0D9488" w:val="clear"/>
            <w:tcMar>
              <w:top w:type="dxa" w:w="200"/>
              <w:left w:type="dxa" w:w="200"/>
              <w:bottom w:type="dxa" w:w="200"/>
              <w:right w:type="dxa" w:w="200"/>
            </w:tcMar>
            <w:vAlign w:val="center"/>
          </w:tcPr>
          <w:p>
            <w:pPr>
              <w:spacing w:before="0" w:after="60"/>
              <w:jc w:val="center"/>
            </w:pPr>
            <w:r>
              <w:rPr>
                <w:rFonts w:ascii="Arial" w:cs="Arial" w:eastAsia="Arial" w:hAnsi="Arial"/>
                <w:b/>
                <w:bCs/>
                <w:color w:val="A7F3D0"/>
                <w:sz w:val="48"/>
                <w:szCs w:val="48"/>
              </w:rPr>
              <w:t xml:space="preserve">02</w:t>
            </w:r>
          </w:p>
          <w:p>
            <w:pPr>
              <w:spacing w:before="0" w:after="40"/>
              <w:jc w:val="center"/>
            </w:pPr>
            <w:r>
              <w:rPr>
                <w:rFonts w:ascii="Arial" w:cs="Arial" w:eastAsia="Arial" w:hAnsi="Arial"/>
                <w:b/>
                <w:bCs/>
                <w:color w:val="FFFFFF"/>
                <w:sz w:val="22"/>
                <w:szCs w:val="22"/>
              </w:rPr>
              <w:t xml:space="preserve">Central Web Control Tower</w:t>
            </w:r>
          </w:p>
          <w:p>
            <w:pPr>
              <w:jc w:val="center"/>
            </w:pPr>
            <w:r>
              <w:rPr>
                <w:rFonts w:ascii="Arial" w:cs="Arial" w:eastAsia="Arial" w:hAnsi="Arial"/>
                <w:i/>
                <w:iCs/>
                <w:color w:val="CCFBF1"/>
                <w:sz w:val="18"/>
                <w:szCs w:val="18"/>
              </w:rPr>
              <w:t xml:space="preserve">Real-time monitoring, governance, and analytics dashboard</w:t>
            </w:r>
          </w:p>
        </w:tc>
        <w:tc>
          <w:tcPr>
            <w:tcBorders>
              <w:top w:val="single" w:color="1E3A8A" w:sz="1"/>
              <w:left w:val="single" w:color="1E3A8A" w:sz="1"/>
              <w:bottom w:val="single" w:color="1E3A8A" w:sz="1"/>
              <w:right w:val="single" w:color="1E3A8A" w:sz="1"/>
            </w:tcBorders>
            <w:shd w:fill="1E3A8A" w:val="clear"/>
            <w:tcMar>
              <w:top w:type="dxa" w:w="200"/>
              <w:left w:type="dxa" w:w="200"/>
              <w:bottom w:type="dxa" w:w="200"/>
              <w:right w:type="dxa" w:w="200"/>
            </w:tcMar>
            <w:vAlign w:val="center"/>
          </w:tcPr>
          <w:p>
            <w:pPr>
              <w:spacing w:before="0" w:after="60"/>
              <w:jc w:val="center"/>
            </w:pPr>
            <w:r>
              <w:rPr>
                <w:rFonts w:ascii="Arial" w:cs="Arial" w:eastAsia="Arial" w:hAnsi="Arial"/>
                <w:b/>
                <w:bCs/>
                <w:color w:val="60A5FA"/>
                <w:sz w:val="48"/>
                <w:szCs w:val="48"/>
              </w:rPr>
              <w:t xml:space="preserve">03</w:t>
            </w:r>
          </w:p>
          <w:p>
            <w:pPr>
              <w:spacing w:before="0" w:after="40"/>
              <w:jc w:val="center"/>
            </w:pPr>
            <w:r>
              <w:rPr>
                <w:rFonts w:ascii="Arial" w:cs="Arial" w:eastAsia="Arial" w:hAnsi="Arial"/>
                <w:b/>
                <w:bCs/>
                <w:color w:val="FFFFFF"/>
                <w:sz w:val="22"/>
                <w:szCs w:val="22"/>
              </w:rPr>
              <w:t xml:space="preserve">Biometric Verification Layer</w:t>
            </w:r>
          </w:p>
          <w:p>
            <w:pPr>
              <w:jc w:val="center"/>
            </w:pPr>
            <w:r>
              <w:rPr>
                <w:rFonts w:ascii="Arial" w:cs="Arial" w:eastAsia="Arial" w:hAnsi="Arial"/>
                <w:i/>
                <w:iCs/>
                <w:color w:val="BFDBFE"/>
                <w:sz w:val="18"/>
                <w:szCs w:val="18"/>
              </w:rPr>
              <w:t xml:space="preserve">Face-first, policy-agnostic identity assurance service</w:t>
            </w:r>
          </w:p>
        </w:tc>
        <w:tc>
          <w:tcPr>
            <w:tcBorders>
              <w:top w:val="single" w:color="0D9488" w:sz="1"/>
              <w:left w:val="single" w:color="0D9488" w:sz="1"/>
              <w:bottom w:val="single" w:color="0D9488" w:sz="1"/>
              <w:right w:val="single" w:color="0D9488" w:sz="1"/>
            </w:tcBorders>
            <w:shd w:fill="0D9488" w:val="clear"/>
            <w:tcMar>
              <w:top w:type="dxa" w:w="200"/>
              <w:left w:type="dxa" w:w="200"/>
              <w:bottom w:type="dxa" w:w="200"/>
              <w:right w:type="dxa" w:w="200"/>
            </w:tcMar>
            <w:vAlign w:val="center"/>
          </w:tcPr>
          <w:p>
            <w:pPr>
              <w:spacing w:before="0" w:after="60"/>
              <w:jc w:val="center"/>
            </w:pPr>
            <w:r>
              <w:rPr>
                <w:rFonts w:ascii="Arial" w:cs="Arial" w:eastAsia="Arial" w:hAnsi="Arial"/>
                <w:b/>
                <w:bCs/>
                <w:color w:val="A7F3D0"/>
                <w:sz w:val="48"/>
                <w:szCs w:val="48"/>
              </w:rPr>
              <w:t xml:space="preserve">04</w:t>
            </w:r>
          </w:p>
          <w:p>
            <w:pPr>
              <w:spacing w:before="0" w:after="40"/>
              <w:jc w:val="center"/>
            </w:pPr>
            <w:r>
              <w:rPr>
                <w:rFonts w:ascii="Arial" w:cs="Arial" w:eastAsia="Arial" w:hAnsi="Arial"/>
                <w:b/>
                <w:bCs/>
                <w:color w:val="FFFFFF"/>
                <w:sz w:val="22"/>
                <w:szCs w:val="22"/>
              </w:rPr>
              <w:t xml:space="preserve">Audit &amp; Analytics Engine</w:t>
            </w:r>
          </w:p>
          <w:p>
            <w:pPr>
              <w:jc w:val="center"/>
            </w:pPr>
            <w:r>
              <w:rPr>
                <w:rFonts w:ascii="Arial" w:cs="Arial" w:eastAsia="Arial" w:hAnsi="Arial"/>
                <w:i/>
                <w:iCs/>
                <w:color w:val="CCFBF1"/>
                <w:sz w:val="18"/>
                <w:szCs w:val="18"/>
              </w:rPr>
              <w:t xml:space="preserve">From descriptive reporting to predictive policy intelligence</w:t>
            </w:r>
          </w:p>
        </w:tc>
      </w:tr>
    </w:tbl>
    <w:p>
      <w:pPr>
        <w:spacing w:before="0" w:after="60"/>
      </w:pPr>
      <w:r>
        <w:t xml:space="preserve"/>
      </w:r>
    </w:p>
    <w:p>
      <w:pPr>
        <w:pStyle w:val="Heading2"/>
        <w:pBdr>
          <w:bottom w:val="single" w:color="0D9488" w:sz="4" w:space="4"/>
        </w:pBdr>
        <w:spacing w:before="320" w:after="160"/>
      </w:pPr>
      <w:r>
        <w:rPr>
          <w:rFonts w:ascii="Arial" w:cs="Arial" w:eastAsia="Arial" w:hAnsi="Arial"/>
          <w:b/>
          <w:bCs/>
          <w:color w:val="1E3A8A"/>
          <w:sz w:val="28"/>
          <w:szCs w:val="28"/>
        </w:rPr>
        <w:t xml:space="preserve">2.2 The Six Platform Modules (Aligned with SRS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Core Functionality</w:t>
            </w:r>
          </w:p>
        </w:tc>
        <w:tc>
          <w:tcPr>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Governance Value</w:t>
            </w:r>
          </w:p>
        </w:tc>
      </w:tr>
      <w:tr>
        <w:tc>
          <w:tcPr>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8A"/>
                <w:sz w:val="19"/>
                <w:szCs w:val="19"/>
              </w:rPr>
              <w:t xml:space="preserve">Module 1
Dealer Registration</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Online registration, document verification, approval workflow, dealer login &amp; renewal via mobile app</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Ensures only verified, approved dealers participate in the OMS ecosystem</w:t>
            </w:r>
          </w:p>
        </w:tc>
      </w:tr>
      <w:tr>
        <w:tc>
          <w:tcPr>
            <w:tcBorders>
              <w:top w:val="single" w:color="E5E7EB" w:sz="1"/>
              <w:left w:val="single" w:color="E5E7EB" w:sz="1"/>
              <w:bottom w:val="single" w:color="E5E7EB" w:sz="1"/>
              <w:right w:val="single" w:color="E5E7EB" w:sz="1"/>
            </w:tcBorders>
            <w:shd w:fill="CCFBF1" w:val="clear"/>
            <w:tcMar>
              <w:top w:type="dxa" w:w="80"/>
              <w:left w:type="dxa" w:w="120"/>
              <w:bottom w:type="dxa" w:w="80"/>
              <w:right w:type="dxa" w:w="120"/>
            </w:tcMar>
          </w:tcPr>
          <w:p>
            <w:r>
              <w:rPr>
                <w:rFonts w:ascii="Arial" w:cs="Arial" w:eastAsia="Arial" w:hAnsi="Arial"/>
                <w:b/>
                <w:bCs/>
                <w:color w:val="1E3A8A"/>
                <w:sz w:val="19"/>
                <w:szCs w:val="19"/>
              </w:rPr>
              <w:t xml:space="preserve">Module 2
Dealer Management</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Allotment processing, deposit management, DO order creation, payment approval, dealer suspension/reinstatement</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Full dealer lifecycle control with financial accountability and audit trail</w:t>
            </w:r>
          </w:p>
        </w:tc>
      </w:tr>
      <w:tr>
        <w:tc>
          <w:tcPr>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8A"/>
                <w:sz w:val="19"/>
                <w:szCs w:val="19"/>
              </w:rPr>
              <w:t xml:space="preserve">Module 3
Distribution</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Beneficiary registration with face capture, biometric verification, food distribution, daily/monthly quota enforcement</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Core anti-leakage mechanism — every distribution event is verified, recorded, and quota-controlled</w:t>
            </w:r>
          </w:p>
        </w:tc>
      </w:tr>
      <w:tr>
        <w:tc>
          <w:tcPr>
            <w:tcBorders>
              <w:top w:val="single" w:color="E5E7EB" w:sz="1"/>
              <w:left w:val="single" w:color="E5E7EB" w:sz="1"/>
              <w:bottom w:val="single" w:color="E5E7EB" w:sz="1"/>
              <w:right w:val="single" w:color="E5E7EB" w:sz="1"/>
            </w:tcBorders>
            <w:shd w:fill="CCFBF1" w:val="clear"/>
            <w:tcMar>
              <w:top w:type="dxa" w:w="80"/>
              <w:left w:type="dxa" w:w="120"/>
              <w:bottom w:type="dxa" w:w="80"/>
              <w:right w:type="dxa" w:w="120"/>
            </w:tcMar>
          </w:tcPr>
          <w:p>
            <w:r>
              <w:rPr>
                <w:rFonts w:ascii="Arial" w:cs="Arial" w:eastAsia="Arial" w:hAnsi="Arial"/>
                <w:b/>
                <w:bCs/>
                <w:color w:val="1E3A8A"/>
                <w:sz w:val="19"/>
                <w:szCs w:val="19"/>
              </w:rPr>
              <w:t xml:space="preserve">Module 4
Observation</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Real-time sales monitoring, physical inspection workflow, IP camera integration, anomaly alerts</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Eyes on every dealer at every moment — makes unauthorized distribution visible and actionable</w:t>
            </w:r>
          </w:p>
        </w:tc>
      </w:tr>
      <w:tr>
        <w:tc>
          <w:tcPr>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8A"/>
                <w:sz w:val="19"/>
                <w:szCs w:val="19"/>
              </w:rPr>
              <w:t xml:space="preserve">Module 5
OMS Setup</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Office configuration, program parameters, dealer approval settings, customizable operational rules</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Policy-driven configuration ensures the system reflects current government directives without code changes</w:t>
            </w:r>
          </w:p>
        </w:tc>
      </w:tr>
      <w:tr>
        <w:tc>
          <w:tcPr>
            <w:tcBorders>
              <w:top w:val="single" w:color="E5E7EB" w:sz="1"/>
              <w:left w:val="single" w:color="E5E7EB" w:sz="1"/>
              <w:bottom w:val="single" w:color="E5E7EB" w:sz="1"/>
              <w:right w:val="single" w:color="E5E7EB" w:sz="1"/>
            </w:tcBorders>
            <w:shd w:fill="CCFBF1" w:val="clear"/>
            <w:tcMar>
              <w:top w:type="dxa" w:w="80"/>
              <w:left w:type="dxa" w:w="120"/>
              <w:bottom w:type="dxa" w:w="80"/>
              <w:right w:type="dxa" w:w="120"/>
            </w:tcMar>
          </w:tcPr>
          <w:p>
            <w:r>
              <w:rPr>
                <w:rFonts w:ascii="Arial" w:cs="Arial" w:eastAsia="Arial" w:hAnsi="Arial"/>
                <w:b/>
                <w:bCs/>
                <w:color w:val="1E3A8A"/>
                <w:sz w:val="19"/>
                <w:szCs w:val="19"/>
              </w:rPr>
              <w:t xml:space="preserve">Module 6
User Management</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User creation, role assignment, permission management, group control, active/inactive management, full audit trail</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Granular access control ensures every user can only see and do exactly what their role permits</w:t>
            </w:r>
          </w:p>
        </w:tc>
      </w:tr>
    </w:tbl>
    <w:p>
      <w:pPr>
        <w:spacing w:before="0" w:after="60"/>
      </w:pPr>
      <w:r>
        <w:t xml:space="preserve"/>
      </w:r>
    </w:p>
    <w:p>
      <w:pPr>
        <w:pStyle w:val="Heading2"/>
        <w:pBdr>
          <w:bottom w:val="single" w:color="0D9488" w:sz="4" w:space="4"/>
        </w:pBdr>
        <w:spacing w:before="320" w:after="160"/>
      </w:pPr>
      <w:r>
        <w:rPr>
          <w:rFonts w:ascii="Arial" w:cs="Arial" w:eastAsia="Arial" w:hAnsi="Arial"/>
          <w:b/>
          <w:bCs/>
          <w:color w:val="1E3A8A"/>
          <w:sz w:val="28"/>
          <w:szCs w:val="28"/>
        </w:rPr>
        <w:t xml:space="preserve">2.3 The Biometric Strategy — Face-First, Modality-Agnostic</w:t>
      </w:r>
    </w:p>
    <w:p>
      <w:pPr>
        <w:spacing w:before="80" w:after="120" w:line="340"/>
        <w:jc w:val="left"/>
      </w:pPr>
      <w:r>
        <w:rPr>
          <w:rFonts w:ascii="Arial" w:cs="Arial" w:eastAsia="Arial" w:hAnsi="Arial"/>
          <w:b w:val="false"/>
          <w:bCs w:val="false"/>
          <w:i w:val="false"/>
          <w:iCs w:val="false"/>
          <w:color w:val="374151"/>
          <w:sz w:val="22"/>
          <w:szCs w:val="22"/>
        </w:rPr>
        <w:t xml:space="preserve">The SRS reveals a genuine biometric policy ambiguity: fingerprint appears in the document title while face authentication is specified in the functional scope. Rather than choosing one and ignoring the other, our architecture resolves this with a Biometric Abstraction Layer.</w:t>
      </w:r>
    </w:p>
    <w:p>
      <w:pPr>
        <w:pStyle w:val="Heading3"/>
        <w:spacing w:before="240" w:after="120"/>
      </w:pPr>
      <w:r>
        <w:rPr>
          <w:rFonts w:ascii="Arial" w:cs="Arial" w:eastAsia="Arial" w:hAnsi="Arial"/>
          <w:b/>
          <w:bCs/>
          <w:color w:val="0D9488"/>
          <w:sz w:val="24"/>
          <w:szCs w:val="24"/>
        </w:rPr>
        <w:t xml:space="preserve">Why Face Verification is the Right Operational Choice</w:t>
      </w:r>
    </w:p>
    <w:p>
      <w:pPr>
        <w:pStyle w:val="ListParagraph"/>
        <w:numPr>
          <w:ilvl w:val="0"/>
          <w:numId w:val="2"/>
        </w:numPr>
        <w:spacing w:before="40" w:after="60" w:line="300"/>
      </w:pPr>
      <w:r>
        <w:rPr>
          <w:rFonts w:ascii="Arial" w:cs="Arial" w:eastAsia="Arial" w:hAnsi="Arial"/>
          <w:color w:val="374151"/>
          <w:sz w:val="22"/>
          <w:szCs w:val="22"/>
        </w:rPr>
        <w:t xml:space="preserve">No additional hardware logistics — works with any Android device with a camera</w:t>
      </w:r>
    </w:p>
    <w:p>
      <w:pPr>
        <w:pStyle w:val="ListParagraph"/>
        <w:numPr>
          <w:ilvl w:val="0"/>
          <w:numId w:val="2"/>
        </w:numPr>
        <w:spacing w:before="40" w:after="60" w:line="300"/>
      </w:pPr>
      <w:r>
        <w:rPr>
          <w:rFonts w:ascii="Arial" w:cs="Arial" w:eastAsia="Arial" w:hAnsi="Arial"/>
          <w:color w:val="374151"/>
          <w:sz w:val="22"/>
          <w:szCs w:val="22"/>
        </w:rPr>
        <w:t xml:space="preserve">Touchless and hygienic — critical for shared distribution points</w:t>
      </w:r>
    </w:p>
    <w:p>
      <w:pPr>
        <w:pStyle w:val="ListParagraph"/>
        <w:numPr>
          <w:ilvl w:val="0"/>
          <w:numId w:val="2"/>
        </w:numPr>
        <w:spacing w:before="40" w:after="60" w:line="300"/>
      </w:pPr>
      <w:r>
        <w:rPr>
          <w:rFonts w:ascii="Arial" w:cs="Arial" w:eastAsia="Arial" w:hAnsi="Arial"/>
          <w:color w:val="374151"/>
          <w:sz w:val="22"/>
          <w:szCs w:val="22"/>
        </w:rPr>
        <w:t xml:space="preserve">Faster processing — complete verification in 2-4 seconds</w:t>
      </w:r>
    </w:p>
    <w:p>
      <w:pPr>
        <w:pStyle w:val="ListParagraph"/>
        <w:numPr>
          <w:ilvl w:val="0"/>
          <w:numId w:val="2"/>
        </w:numPr>
        <w:spacing w:before="40" w:after="60" w:line="300"/>
      </w:pPr>
      <w:r>
        <w:rPr>
          <w:rFonts w:ascii="Arial" w:cs="Arial" w:eastAsia="Arial" w:hAnsi="Arial"/>
          <w:color w:val="374151"/>
          <w:sz w:val="22"/>
          <w:szCs w:val="22"/>
        </w:rPr>
        <w:t xml:space="preserve">Easier rural deployment — no scanner peripherals to maintain or replace</w:t>
      </w:r>
    </w:p>
    <w:p>
      <w:pPr>
        <w:pStyle w:val="ListParagraph"/>
        <w:numPr>
          <w:ilvl w:val="0"/>
          <w:numId w:val="2"/>
        </w:numPr>
        <w:spacing w:before="40" w:after="60" w:line="300"/>
      </w:pPr>
      <w:r>
        <w:rPr>
          <w:rFonts w:ascii="Arial" w:cs="Arial" w:eastAsia="Arial" w:hAnsi="Arial"/>
          <w:color w:val="374151"/>
          <w:sz w:val="22"/>
          <w:szCs w:val="22"/>
        </w:rPr>
        <w:t xml:space="preserve">Familiarity — beneficiaries understand photograph-style interaction</w:t>
      </w:r>
    </w:p>
    <w:p>
      <w:pPr>
        <w:pStyle w:val="Heading3"/>
        <w:spacing w:before="240" w:after="120"/>
      </w:pPr>
      <w:r>
        <w:rPr>
          <w:rFonts w:ascii="Arial" w:cs="Arial" w:eastAsia="Arial" w:hAnsi="Arial"/>
          <w:b/>
          <w:bCs/>
          <w:color w:val="0D9488"/>
          <w:sz w:val="24"/>
          <w:szCs w:val="24"/>
        </w:rPr>
        <w:t xml:space="preserve">The Abstraction Layer Advantage</w:t>
      </w:r>
    </w:p>
    <w:p>
      <w:pPr>
        <w:spacing w:before="80" w:after="120" w:line="340"/>
        <w:jc w:val="left"/>
      </w:pPr>
      <w:r>
        <w:rPr>
          <w:rFonts w:ascii="Arial" w:cs="Arial" w:eastAsia="Arial" w:hAnsi="Arial"/>
          <w:b w:val="false"/>
          <w:bCs w:val="false"/>
          <w:i w:val="false"/>
          <w:iCs w:val="false"/>
          <w:color w:val="374151"/>
          <w:sz w:val="22"/>
          <w:szCs w:val="22"/>
        </w:rPr>
        <w:t xml:space="preserve">Our Biometric Abstraction Layer means the government retains policy flexibility. If a future directive requires fingerprint verification, the system can activate it without architectural redesign. This protects the government's investment and demonstrates engineering maturity.</w:t>
      </w:r>
    </w:p>
    <w:p>
      <w:pPr>
        <w:pStyle w:val="Heading3"/>
        <w:spacing w:before="240" w:after="120"/>
      </w:pPr>
      <w:r>
        <w:rPr>
          <w:rFonts w:ascii="Arial" w:cs="Arial" w:eastAsia="Arial" w:hAnsi="Arial"/>
          <w:b/>
          <w:bCs/>
          <w:color w:val="0D9488"/>
          <w:sz w:val="24"/>
          <w:szCs w:val="24"/>
        </w:rPr>
        <w:t xml:space="preserve">The Complete Verification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E5E7EB" w:sz="1"/>
              <w:left w:val="single" w:color="E5E7EB" w:sz="1"/>
              <w:bottom w:val="single" w:color="E5E7EB" w:sz="1"/>
              <w:right w:val="single" w:color="E5E7EB" w:sz="1"/>
            </w:tcBorders>
            <w:shd w:fill="1E3A8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w:t>
            </w:r>
          </w:p>
        </w:tc>
        <w:tc>
          <w:tcPr>
            <w:tcBorders>
              <w:top w:val="single" w:color="E5E7EB" w:sz="1"/>
              <w:left w:val="single" w:color="E5E7EB" w:sz="1"/>
              <w:bottom w:val="single" w:color="E5E7EB" w:sz="1"/>
              <w:right w:val="single" w:color="E5E7EB" w:sz="1"/>
            </w:tcBorders>
            <w:tcMar>
              <w:top w:type="dxa" w:w="60"/>
              <w:left w:type="dxa" w:w="160"/>
              <w:bottom w:type="dxa" w:w="60"/>
              <w:right w:type="dxa" w:w="160"/>
            </w:tcMar>
          </w:tcPr>
          <w:p>
            <w:r>
              <w:rPr>
                <w:rFonts w:ascii="Arial" w:cs="Arial" w:eastAsia="Arial" w:hAnsi="Arial"/>
                <w:color w:val="374151"/>
                <w:sz w:val="20"/>
                <w:szCs w:val="20"/>
              </w:rPr>
              <w:t xml:space="preserve">Dealer selects beneficiary from local list or scans beneficiary reference code</w:t>
            </w:r>
          </w:p>
        </w:tc>
      </w:tr>
      <w:tr>
        <w:tc>
          <w:tcPr>
            <w:tcBorders>
              <w:top w:val="single" w:color="E5E7EB" w:sz="1"/>
              <w:left w:val="single" w:color="E5E7EB" w:sz="1"/>
              <w:bottom w:val="single" w:color="E5E7EB" w:sz="1"/>
              <w:right w:val="single" w:color="E5E7EB" w:sz="1"/>
            </w:tcBorders>
            <w:shd w:fill="0D9488"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2</w:t>
            </w:r>
          </w:p>
        </w:tc>
        <w:tc>
          <w:tcPr>
            <w:tcBorders>
              <w:top w:val="single" w:color="E5E7EB" w:sz="1"/>
              <w:left w:val="single" w:color="E5E7EB" w:sz="1"/>
              <w:bottom w:val="single" w:color="E5E7EB" w:sz="1"/>
              <w:right w:val="single" w:color="E5E7EB" w:sz="1"/>
            </w:tcBorders>
            <w:tcMar>
              <w:top w:type="dxa" w:w="60"/>
              <w:left w:type="dxa" w:w="160"/>
              <w:bottom w:type="dxa" w:w="60"/>
              <w:right w:type="dxa" w:w="160"/>
            </w:tcMar>
          </w:tcPr>
          <w:p>
            <w:r>
              <w:rPr>
                <w:rFonts w:ascii="Arial" w:cs="Arial" w:eastAsia="Arial" w:hAnsi="Arial"/>
                <w:color w:val="374151"/>
                <w:sz w:val="20"/>
                <w:szCs w:val="20"/>
              </w:rPr>
              <w:t xml:space="preserve">App checks offline eligibility snapshot (quota status, daily lifting record)</w:t>
            </w:r>
          </w:p>
        </w:tc>
      </w:tr>
      <w:tr>
        <w:tc>
          <w:tcPr>
            <w:tcBorders>
              <w:top w:val="single" w:color="E5E7EB" w:sz="1"/>
              <w:left w:val="single" w:color="E5E7EB" w:sz="1"/>
              <w:bottom w:val="single" w:color="E5E7EB" w:sz="1"/>
              <w:right w:val="single" w:color="E5E7EB" w:sz="1"/>
            </w:tcBorders>
            <w:shd w:fill="1E3A8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3</w:t>
            </w:r>
          </w:p>
        </w:tc>
        <w:tc>
          <w:tcPr>
            <w:tcBorders>
              <w:top w:val="single" w:color="E5E7EB" w:sz="1"/>
              <w:left w:val="single" w:color="E5E7EB" w:sz="1"/>
              <w:bottom w:val="single" w:color="E5E7EB" w:sz="1"/>
              <w:right w:val="single" w:color="E5E7EB" w:sz="1"/>
            </w:tcBorders>
            <w:tcMar>
              <w:top w:type="dxa" w:w="60"/>
              <w:left w:type="dxa" w:w="160"/>
              <w:bottom w:type="dxa" w:w="60"/>
              <w:right w:type="dxa" w:w="160"/>
            </w:tcMar>
          </w:tcPr>
          <w:p>
            <w:r>
              <w:rPr>
                <w:rFonts w:ascii="Arial" w:cs="Arial" w:eastAsia="Arial" w:hAnsi="Arial"/>
                <w:color w:val="374151"/>
                <w:sz w:val="20"/>
                <w:szCs w:val="20"/>
              </w:rPr>
              <w:t xml:space="preserve">App prompts face capture with real-time guidance (lighting, position, distance)</w:t>
            </w:r>
          </w:p>
        </w:tc>
      </w:tr>
      <w:tr>
        <w:tc>
          <w:tcPr>
            <w:tcBorders>
              <w:top w:val="single" w:color="E5E7EB" w:sz="1"/>
              <w:left w:val="single" w:color="E5E7EB" w:sz="1"/>
              <w:bottom w:val="single" w:color="E5E7EB" w:sz="1"/>
              <w:right w:val="single" w:color="E5E7EB" w:sz="1"/>
            </w:tcBorders>
            <w:shd w:fill="0D9488"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4</w:t>
            </w:r>
          </w:p>
        </w:tc>
        <w:tc>
          <w:tcPr>
            <w:tcBorders>
              <w:top w:val="single" w:color="E5E7EB" w:sz="1"/>
              <w:left w:val="single" w:color="E5E7EB" w:sz="1"/>
              <w:bottom w:val="single" w:color="E5E7EB" w:sz="1"/>
              <w:right w:val="single" w:color="E5E7EB" w:sz="1"/>
            </w:tcBorders>
            <w:tcMar>
              <w:top w:type="dxa" w:w="60"/>
              <w:left w:type="dxa" w:w="160"/>
              <w:bottom w:type="dxa" w:w="60"/>
              <w:right w:type="dxa" w:w="160"/>
            </w:tcMar>
          </w:tcPr>
          <w:p>
            <w:r>
              <w:rPr>
                <w:rFonts w:ascii="Arial" w:cs="Arial" w:eastAsia="Arial" w:hAnsi="Arial"/>
                <w:color w:val="374151"/>
                <w:sz w:val="20"/>
                <w:szCs w:val="20"/>
              </w:rPr>
              <w:t xml:space="preserve">Face verification runs — locally cached model for offline capability</w:t>
            </w:r>
          </w:p>
        </w:tc>
      </w:tr>
      <w:tr>
        <w:tc>
          <w:tcPr>
            <w:tcBorders>
              <w:top w:val="single" w:color="E5E7EB" w:sz="1"/>
              <w:left w:val="single" w:color="E5E7EB" w:sz="1"/>
              <w:bottom w:val="single" w:color="E5E7EB" w:sz="1"/>
              <w:right w:val="single" w:color="E5E7EB" w:sz="1"/>
            </w:tcBorders>
            <w:shd w:fill="1E3A8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5</w:t>
            </w:r>
          </w:p>
        </w:tc>
        <w:tc>
          <w:tcPr>
            <w:tcBorders>
              <w:top w:val="single" w:color="E5E7EB" w:sz="1"/>
              <w:left w:val="single" w:color="E5E7EB" w:sz="1"/>
              <w:bottom w:val="single" w:color="E5E7EB" w:sz="1"/>
              <w:right w:val="single" w:color="E5E7EB" w:sz="1"/>
            </w:tcBorders>
            <w:tcMar>
              <w:top w:type="dxa" w:w="60"/>
              <w:left w:type="dxa" w:w="160"/>
              <w:bottom w:type="dxa" w:w="60"/>
              <w:right w:type="dxa" w:w="160"/>
            </w:tcMar>
          </w:tcPr>
          <w:p>
            <w:r>
              <w:rPr>
                <w:rFonts w:ascii="Arial" w:cs="Arial" w:eastAsia="Arial" w:hAnsi="Arial"/>
                <w:color w:val="374151"/>
                <w:sz w:val="20"/>
                <w:szCs w:val="20"/>
              </w:rPr>
              <w:t xml:space="preserve">Match passes → quota check → distribution transaction recorded instantly</w:t>
            </w:r>
          </w:p>
        </w:tc>
      </w:tr>
      <w:tr>
        <w:tc>
          <w:tcPr>
            <w:tcBorders>
              <w:top w:val="single" w:color="E5E7EB" w:sz="1"/>
              <w:left w:val="single" w:color="E5E7EB" w:sz="1"/>
              <w:bottom w:val="single" w:color="E5E7EB" w:sz="1"/>
              <w:right w:val="single" w:color="E5E7EB" w:sz="1"/>
            </w:tcBorders>
            <w:shd w:fill="0D9488"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6</w:t>
            </w:r>
          </w:p>
        </w:tc>
        <w:tc>
          <w:tcPr>
            <w:tcBorders>
              <w:top w:val="single" w:color="E5E7EB" w:sz="1"/>
              <w:left w:val="single" w:color="E5E7EB" w:sz="1"/>
              <w:bottom w:val="single" w:color="E5E7EB" w:sz="1"/>
              <w:right w:val="single" w:color="E5E7EB" w:sz="1"/>
            </w:tcBorders>
            <w:tcMar>
              <w:top w:type="dxa" w:w="60"/>
              <w:left w:type="dxa" w:w="160"/>
              <w:bottom w:type="dxa" w:w="60"/>
              <w:right w:type="dxa" w:w="160"/>
            </w:tcMar>
          </w:tcPr>
          <w:p>
            <w:r>
              <w:rPr>
                <w:rFonts w:ascii="Arial" w:cs="Arial" w:eastAsia="Arial" w:hAnsi="Arial"/>
                <w:color w:val="374151"/>
                <w:sz w:val="20"/>
                <w:szCs w:val="20"/>
              </w:rPr>
              <w:t xml:space="preserve">Match uncertain → retry with guided instructions (max 3 attempts)</w:t>
            </w:r>
          </w:p>
        </w:tc>
      </w:tr>
      <w:tr>
        <w:tc>
          <w:tcPr>
            <w:tcBorders>
              <w:top w:val="single" w:color="E5E7EB" w:sz="1"/>
              <w:left w:val="single" w:color="E5E7EB" w:sz="1"/>
              <w:bottom w:val="single" w:color="E5E7EB" w:sz="1"/>
              <w:right w:val="single" w:color="E5E7EB" w:sz="1"/>
            </w:tcBorders>
            <w:shd w:fill="1E3A8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7</w:t>
            </w:r>
          </w:p>
        </w:tc>
        <w:tc>
          <w:tcPr>
            <w:tcBorders>
              <w:top w:val="single" w:color="E5E7EB" w:sz="1"/>
              <w:left w:val="single" w:color="E5E7EB" w:sz="1"/>
              <w:bottom w:val="single" w:color="E5E7EB" w:sz="1"/>
              <w:right w:val="single" w:color="E5E7EB" w:sz="1"/>
            </w:tcBorders>
            <w:tcMar>
              <w:top w:type="dxa" w:w="60"/>
              <w:left w:type="dxa" w:w="160"/>
              <w:bottom w:type="dxa" w:w="60"/>
              <w:right w:type="dxa" w:w="160"/>
            </w:tcMar>
          </w:tcPr>
          <w:p>
            <w:r>
              <w:rPr>
                <w:rFonts w:ascii="Arial" w:cs="Arial" w:eastAsia="Arial" w:hAnsi="Arial"/>
                <w:color w:val="374151"/>
                <w:sz w:val="20"/>
                <w:szCs w:val="20"/>
              </w:rPr>
              <w:t xml:space="preserve">Verification fails → supervised exception flow: photo evidence + reason code + officer log</w:t>
            </w:r>
          </w:p>
        </w:tc>
      </w:tr>
      <w:tr>
        <w:tc>
          <w:tcPr>
            <w:tcBorders>
              <w:top w:val="single" w:color="E5E7EB" w:sz="1"/>
              <w:left w:val="single" w:color="E5E7EB" w:sz="1"/>
              <w:bottom w:val="single" w:color="E5E7EB" w:sz="1"/>
              <w:right w:val="single" w:color="E5E7EB" w:sz="1"/>
            </w:tcBorders>
            <w:shd w:fill="0D9488"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8</w:t>
            </w:r>
          </w:p>
        </w:tc>
        <w:tc>
          <w:tcPr>
            <w:tcBorders>
              <w:top w:val="single" w:color="E5E7EB" w:sz="1"/>
              <w:left w:val="single" w:color="E5E7EB" w:sz="1"/>
              <w:bottom w:val="single" w:color="E5E7EB" w:sz="1"/>
              <w:right w:val="single" w:color="E5E7EB" w:sz="1"/>
            </w:tcBorders>
            <w:tcMar>
              <w:top w:type="dxa" w:w="60"/>
              <w:left w:type="dxa" w:w="160"/>
              <w:bottom w:type="dxa" w:w="60"/>
              <w:right w:type="dxa" w:w="160"/>
            </w:tcMar>
          </w:tcPr>
          <w:p>
            <w:r>
              <w:rPr>
                <w:rFonts w:ascii="Arial" w:cs="Arial" w:eastAsia="Arial" w:hAnsi="Arial"/>
                <w:color w:val="374151"/>
                <w:sz w:val="20"/>
                <w:szCs w:val="20"/>
              </w:rPr>
              <w:t xml:space="preserve">Transaction stored in local SQLite database if offline</w:t>
            </w:r>
          </w:p>
        </w:tc>
      </w:tr>
      <w:tr>
        <w:tc>
          <w:tcPr>
            <w:tcBorders>
              <w:top w:val="single" w:color="E5E7EB" w:sz="1"/>
              <w:left w:val="single" w:color="E5E7EB" w:sz="1"/>
              <w:bottom w:val="single" w:color="E5E7EB" w:sz="1"/>
              <w:right w:val="single" w:color="E5E7EB" w:sz="1"/>
            </w:tcBorders>
            <w:shd w:fill="1E3A8A"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9</w:t>
            </w:r>
          </w:p>
        </w:tc>
        <w:tc>
          <w:tcPr>
            <w:tcBorders>
              <w:top w:val="single" w:color="E5E7EB" w:sz="1"/>
              <w:left w:val="single" w:color="E5E7EB" w:sz="1"/>
              <w:bottom w:val="single" w:color="E5E7EB" w:sz="1"/>
              <w:right w:val="single" w:color="E5E7EB" w:sz="1"/>
            </w:tcBorders>
            <w:tcMar>
              <w:top w:type="dxa" w:w="60"/>
              <w:left w:type="dxa" w:w="160"/>
              <w:bottom w:type="dxa" w:w="60"/>
              <w:right w:type="dxa" w:w="160"/>
            </w:tcMar>
          </w:tcPr>
          <w:p>
            <w:r>
              <w:rPr>
                <w:rFonts w:ascii="Arial" w:cs="Arial" w:eastAsia="Arial" w:hAnsi="Arial"/>
                <w:color w:val="374151"/>
                <w:sz w:val="20"/>
                <w:szCs w:val="20"/>
              </w:rPr>
              <w:t xml:space="preserve">Auto-sync to central server when network connectivity is detected</w:t>
            </w:r>
          </w:p>
        </w:tc>
      </w:tr>
      <w:tr>
        <w:tc>
          <w:tcPr>
            <w:tcBorders>
              <w:top w:val="single" w:color="E5E7EB" w:sz="1"/>
              <w:left w:val="single" w:color="E5E7EB" w:sz="1"/>
              <w:bottom w:val="single" w:color="E5E7EB" w:sz="1"/>
              <w:right w:val="single" w:color="E5E7EB" w:sz="1"/>
            </w:tcBorders>
            <w:shd w:fill="0D9488" w:val="clear"/>
            <w:tcMar>
              <w:top w:type="dxa" w:w="60"/>
              <w:left w:type="dxa" w:w="80"/>
              <w:bottom w:type="dxa" w:w="60"/>
              <w:right w:type="dxa" w:w="80"/>
            </w:tcMar>
            <w:vAlign w:val="center"/>
          </w:tcPr>
          <w:p>
            <w:pPr>
              <w:jc w:val="center"/>
            </w:pPr>
            <w:r>
              <w:rPr>
                <w:rFonts w:ascii="Arial" w:cs="Arial" w:eastAsia="Arial" w:hAnsi="Arial"/>
                <w:b/>
                <w:bCs/>
                <w:color w:val="FFFFFF"/>
                <w:sz w:val="20"/>
                <w:szCs w:val="20"/>
              </w:rPr>
              <w:t xml:space="preserve">10</w:t>
            </w:r>
          </w:p>
        </w:tc>
        <w:tc>
          <w:tcPr>
            <w:tcBorders>
              <w:top w:val="single" w:color="E5E7EB" w:sz="1"/>
              <w:left w:val="single" w:color="E5E7EB" w:sz="1"/>
              <w:bottom w:val="single" w:color="E5E7EB" w:sz="1"/>
              <w:right w:val="single" w:color="E5E7EB" w:sz="1"/>
            </w:tcBorders>
            <w:tcMar>
              <w:top w:type="dxa" w:w="60"/>
              <w:left w:type="dxa" w:w="160"/>
              <w:bottom w:type="dxa" w:w="60"/>
              <w:right w:type="dxa" w:w="160"/>
            </w:tcMar>
          </w:tcPr>
          <w:p>
            <w:r>
              <w:rPr>
                <w:rFonts w:ascii="Arial" w:cs="Arial" w:eastAsia="Arial" w:hAnsi="Arial"/>
                <w:color w:val="374151"/>
                <w:sz w:val="20"/>
                <w:szCs w:val="20"/>
              </w:rPr>
              <w:t xml:space="preserve">Server validates, deduplicates, updates analytics, and generates audit record</w:t>
            </w:r>
          </w:p>
        </w:tc>
      </w:tr>
    </w:tbl>
    <w:p>
      <w:pPr>
        <w:spacing w:before="0" w:after="60"/>
      </w:pPr>
      <w:r>
        <w:t xml:space="preserve"/>
      </w:r>
    </w:p>
    <w:p>
      <w:pPr>
        <w:pStyle w:val="Heading2"/>
        <w:pBdr>
          <w:bottom w:val="single" w:color="0D9488" w:sz="4" w:space="4"/>
        </w:pBdr>
        <w:spacing w:before="320" w:after="160"/>
      </w:pPr>
      <w:r>
        <w:rPr>
          <w:rFonts w:ascii="Arial" w:cs="Arial" w:eastAsia="Arial" w:hAnsi="Arial"/>
          <w:b/>
          <w:bCs/>
          <w:color w:val="1E3A8A"/>
          <w:sz w:val="28"/>
          <w:szCs w:val="28"/>
        </w:rPr>
        <w:t xml:space="preserve">2.4 Offline-First Architecture — Solving Bangladesh's Connectivity Reality</w:t>
      </w:r>
    </w:p>
    <w:p>
      <w:pPr>
        <w:spacing w:before="80" w:after="120" w:line="340"/>
        <w:jc w:val="left"/>
      </w:pPr>
      <w:r>
        <w:rPr>
          <w:rFonts w:ascii="Arial" w:cs="Arial" w:eastAsia="Arial" w:hAnsi="Arial"/>
          <w:b w:val="false"/>
          <w:bCs w:val="false"/>
          <w:i w:val="false"/>
          <w:iCs w:val="false"/>
          <w:color w:val="374151"/>
          <w:sz w:val="22"/>
          <w:szCs w:val="22"/>
        </w:rPr>
        <w:t xml:space="preserve">The SRS requirement for "auto/conditional synchronization with local data based on internet availability" is not a secondary feature — it is a foundational design principle. Bangladesh's field infrastructure includes areas with 2G-only coverage, frequent power outages, and intermittent connectivity. Any system that stops functioning without connectivity will fail at exactly the moments it is most critical.</w:t>
      </w:r>
    </w:p>
    <w:p>
      <w:pPr>
        <w:pStyle w:val="Heading3"/>
        <w:spacing w:before="240" w:after="120"/>
      </w:pPr>
      <w:r>
        <w:rPr>
          <w:rFonts w:ascii="Arial" w:cs="Arial" w:eastAsia="Arial" w:hAnsi="Arial"/>
          <w:b/>
          <w:bCs/>
          <w:color w:val="0D9488"/>
          <w:sz w:val="24"/>
          <w:szCs w:val="24"/>
        </w:rPr>
        <w:t xml:space="preserve">The Technical Solution</w:t>
      </w:r>
    </w:p>
    <w:p>
      <w:pPr>
        <w:pStyle w:val="ListParagraph"/>
        <w:numPr>
          <w:ilvl w:val="0"/>
          <w:numId w:val="2"/>
        </w:numPr>
        <w:spacing w:before="40" w:after="60" w:line="300"/>
      </w:pPr>
      <w:r>
        <w:rPr>
          <w:rFonts w:ascii="Arial" w:cs="Arial" w:eastAsia="Arial" w:hAnsi="Arial"/>
          <w:color w:val="374151"/>
          <w:sz w:val="22"/>
          <w:szCs w:val="22"/>
        </w:rPr>
        <w:t xml:space="preserve">Local SQLite database on every dealer device — complete operational data available offline</w:t>
      </w:r>
    </w:p>
    <w:p>
      <w:pPr>
        <w:pStyle w:val="ListParagraph"/>
        <w:numPr>
          <w:ilvl w:val="0"/>
          <w:numId w:val="2"/>
        </w:numPr>
        <w:spacing w:before="40" w:after="60" w:line="300"/>
      </w:pPr>
      <w:r>
        <w:rPr>
          <w:rFonts w:ascii="Arial" w:cs="Arial" w:eastAsia="Arial" w:hAnsi="Arial"/>
          <w:color w:val="374151"/>
          <w:sz w:val="22"/>
          <w:szCs w:val="22"/>
        </w:rPr>
        <w:t xml:space="preserve">Globally unique transaction IDs (UUID v4) — prevent duplicate processing during sync</w:t>
      </w:r>
    </w:p>
    <w:p>
      <w:pPr>
        <w:pStyle w:val="ListParagraph"/>
        <w:numPr>
          <w:ilvl w:val="0"/>
          <w:numId w:val="2"/>
        </w:numPr>
        <w:spacing w:before="40" w:after="60" w:line="300"/>
      </w:pPr>
      <w:r>
        <w:rPr>
          <w:rFonts w:ascii="Arial" w:cs="Arial" w:eastAsia="Arial" w:hAnsi="Arial"/>
          <w:color w:val="374151"/>
          <w:sz w:val="22"/>
          <w:szCs w:val="22"/>
        </w:rPr>
        <w:t xml:space="preserve">Idempotent API design — safe to retry any sync operation without creating duplicate records</w:t>
      </w:r>
    </w:p>
    <w:p>
      <w:pPr>
        <w:pStyle w:val="ListParagraph"/>
        <w:numPr>
          <w:ilvl w:val="0"/>
          <w:numId w:val="2"/>
        </w:numPr>
        <w:spacing w:before="40" w:after="60" w:line="300"/>
      </w:pPr>
      <w:r>
        <w:rPr>
          <w:rFonts w:ascii="Arial" w:cs="Arial" w:eastAsia="Arial" w:hAnsi="Arial"/>
          <w:color w:val="374151"/>
          <w:sz w:val="22"/>
          <w:szCs w:val="22"/>
        </w:rPr>
        <w:t xml:space="preserve">Conflict resolution rules — deterministic handling when the same beneficiary appears in multiple offline batches</w:t>
      </w:r>
    </w:p>
    <w:p>
      <w:pPr>
        <w:pStyle w:val="ListParagraph"/>
        <w:numPr>
          <w:ilvl w:val="0"/>
          <w:numId w:val="2"/>
        </w:numPr>
        <w:spacing w:before="40" w:after="60" w:line="300"/>
      </w:pPr>
      <w:r>
        <w:rPr>
          <w:rFonts w:ascii="Arial" w:cs="Arial" w:eastAsia="Arial" w:hAnsi="Arial"/>
          <w:color w:val="374151"/>
          <w:sz w:val="22"/>
          <w:szCs w:val="22"/>
        </w:rPr>
        <w:t xml:space="preserve">Sync integrity verification — cryptographic checksums ensure no data corruption during transmission</w:t>
      </w:r>
    </w:p>
    <w:p>
      <w:pPr>
        <w:pStyle w:val="ListParagraph"/>
        <w:numPr>
          <w:ilvl w:val="0"/>
          <w:numId w:val="2"/>
        </w:numPr>
        <w:spacing w:before="40" w:after="60" w:line="300"/>
      </w:pPr>
      <w:r>
        <w:rPr>
          <w:rFonts w:ascii="Arial" w:cs="Arial" w:eastAsia="Arial" w:hAnsi="Arial"/>
          <w:color w:val="374151"/>
          <w:sz w:val="22"/>
          <w:szCs w:val="22"/>
        </w:rPr>
        <w:t xml:space="preserve">Suspicious pattern detection — unusual sync patterns (e.g., delayed bulk syncs) feed anomaly detection</w:t>
      </w:r>
    </w:p>
    <w:p>
      <w:pPr>
        <w:pStyle w:val="Heading3"/>
        <w:spacing w:before="240" w:after="120"/>
      </w:pPr>
      <w:r>
        <w:rPr>
          <w:rFonts w:ascii="Arial" w:cs="Arial" w:eastAsia="Arial" w:hAnsi="Arial"/>
          <w:b/>
          <w:bCs/>
          <w:color w:val="0D9488"/>
          <w:sz w:val="24"/>
          <w:szCs w:val="24"/>
        </w:rPr>
        <w:t xml:space="preserve">Why This Wins Against Competitors</w:t>
      </w:r>
    </w:p>
    <w:p>
      <w:pPr>
        <w:spacing w:before="80" w:after="120" w:line="340"/>
        <w:jc w:val="left"/>
      </w:pPr>
      <w:r>
        <w:rPr>
          <w:rFonts w:ascii="Arial" w:cs="Arial" w:eastAsia="Arial" w:hAnsi="Arial"/>
          <w:b w:val="false"/>
          <w:bCs w:val="false"/>
          <w:i w:val="false"/>
          <w:iCs w:val="false"/>
          <w:color w:val="374151"/>
          <w:sz w:val="22"/>
          <w:szCs w:val="22"/>
        </w:rPr>
        <w:t xml:space="preserve">Most vendors treat offline capability as a checkbox feature. We treat it as an anti-fraud mechanism: a system that records transactions locally but validates them centrally cannot be gamed by deliberately working offline. The server's duplicate prevention and quota enforcement apply retrospectively to all synced transactions, eliminating the fraud vector entirely.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8A" w:val="clear"/>
            <w:tcMar>
              <w:top w:type="dxa" w:w="400"/>
              <w:left w:type="dxa" w:w="400"/>
              <w:bottom w:type="dxa" w:w="400"/>
              <w:right w:type="dxa" w:w="400"/>
            </w:tcMar>
          </w:tcPr>
          <w:p>
            <w:pPr>
              <w:spacing w:before="0" w:after="80"/>
              <w:jc w:val="center"/>
            </w:pPr>
            <w:r>
              <w:rPr>
                <w:rFonts w:ascii="Arial" w:cs="Arial" w:eastAsia="Arial" w:hAnsi="Arial"/>
                <w:b/>
                <w:bCs/>
                <w:color w:val="FFFFFF"/>
                <w:sz w:val="48"/>
                <w:szCs w:val="48"/>
              </w:rPr>
              <w:t xml:space="preserve">SECTION 3</w:t>
            </w:r>
          </w:p>
          <w:p>
            <w:pPr>
              <w:spacing w:before="0" w:after="0"/>
              <w:jc w:val="center"/>
            </w:pPr>
            <w:r>
              <w:rPr>
                <w:rFonts w:ascii="Arial" w:cs="Arial" w:eastAsia="Arial" w:hAnsi="Arial"/>
                <w:i/>
                <w:iCs/>
                <w:color w:val="BFDBFE"/>
                <w:sz w:val="24"/>
                <w:szCs w:val="24"/>
              </w:rPr>
              <w:t xml:space="preserve">Technology Stack &amp; Technical Architecture</w:t>
            </w:r>
          </w:p>
        </w:tc>
      </w:tr>
    </w:tbl>
    <w:p>
      <w:pPr>
        <w:spacing w:before="0" w:after="60"/>
      </w:pPr>
      <w:r>
        <w:t xml:space="preserve"/>
      </w:r>
    </w:p>
    <w:p>
      <w:pPr>
        <w:pStyle w:val="Heading2"/>
        <w:pBdr>
          <w:bottom w:val="single" w:color="0D9488" w:sz="4" w:space="4"/>
        </w:pBdr>
        <w:spacing w:before="320" w:after="160"/>
      </w:pPr>
      <w:r>
        <w:rPr>
          <w:rFonts w:ascii="Arial" w:cs="Arial" w:eastAsia="Arial" w:hAnsi="Arial"/>
          <w:b/>
          <w:bCs/>
          <w:color w:val="1E3A8A"/>
          <w:sz w:val="28"/>
          <w:szCs w:val="28"/>
        </w:rPr>
        <w:t xml:space="preserve">3.1 Recommended Technology Stack</w:t>
      </w:r>
    </w:p>
    <w:p>
      <w:pPr>
        <w:spacing w:before="80" w:after="120" w:line="340"/>
        <w:jc w:val="left"/>
      </w:pPr>
      <w:r>
        <w:rPr>
          <w:rFonts w:ascii="Arial" w:cs="Arial" w:eastAsia="Arial" w:hAnsi="Arial"/>
          <w:b w:val="false"/>
          <w:bCs w:val="false"/>
          <w:i w:val="false"/>
          <w:iCs w:val="false"/>
          <w:color w:val="374151"/>
          <w:sz w:val="22"/>
          <w:szCs w:val="22"/>
        </w:rPr>
        <w:t xml:space="preserve">Our technology recommendations are optimized for three criteria: government institutional credibility, long-term maintainability by Bangladesh's IT workforce, and proven performance at national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8A"/>
                <w:sz w:val="19"/>
                <w:szCs w:val="19"/>
              </w:rPr>
              <w:t xml:space="preserve">Backend API</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D9488"/>
                <w:sz w:val="19"/>
                <w:szCs w:val="19"/>
              </w:rPr>
              <w:t xml:space="preserve">Spring Boot / Node.js</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Spring Boot preferred for government projects: enterprise-grade, widely supported, proven in national deployments. Node.js alternative for rapid MVP prototyping.</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8A"/>
                <w:sz w:val="19"/>
                <w:szCs w:val="19"/>
              </w:rPr>
              <w:t xml:space="preserve">Primary Database</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D9488"/>
                <w:sz w:val="19"/>
                <w:szCs w:val="19"/>
              </w:rPr>
              <w:t xml:space="preserve">PostgreSQL</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Open-source, enterprise-ready, excellent for complex queries and audit trails. No licensing cost. Strong government adoption globally.</w:t>
            </w:r>
          </w:p>
        </w:tc>
      </w:tr>
      <w:tr>
        <w:tc>
          <w:tcPr>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8A"/>
                <w:sz w:val="19"/>
                <w:szCs w:val="19"/>
              </w:rPr>
              <w:t xml:space="preserve">Cache Layer</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D9488"/>
                <w:sz w:val="19"/>
                <w:szCs w:val="19"/>
              </w:rPr>
              <w:t xml:space="preserve">Redis</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Sub-millisecond lookups for beneficiary eligibility checks. Critical for meeting &lt;5 second transaction response requirement.</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8A"/>
                <w:sz w:val="19"/>
                <w:szCs w:val="19"/>
              </w:rPr>
              <w:t xml:space="preserve">Mobile App</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D9488"/>
                <w:sz w:val="19"/>
                <w:szCs w:val="19"/>
              </w:rPr>
              <w:t xml:space="preserve">Native Android</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Best performance on the Android devices dealers will use. Reliable camera API access for biometric capture. Lower long-term maintenance cost than cross-platform.</w:t>
            </w:r>
          </w:p>
        </w:tc>
      </w:tr>
      <w:tr>
        <w:tc>
          <w:tcPr>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8A"/>
                <w:sz w:val="19"/>
                <w:szCs w:val="19"/>
              </w:rPr>
              <w:t xml:space="preserve">Mobile Database</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D9488"/>
                <w:sz w:val="19"/>
                <w:szCs w:val="19"/>
              </w:rPr>
              <w:t xml:space="preserve">SQLite</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Embedded, zero-configuration, battle-tested. Industry standard for offline-first mobile applications.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8A"/>
                <w:sz w:val="19"/>
                <w:szCs w:val="19"/>
              </w:rPr>
              <w:t xml:space="preserve">Web Dashboard</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D9488"/>
                <w:sz w:val="19"/>
                <w:szCs w:val="19"/>
              </w:rPr>
              <w:t xml:space="preserve">React + TypeScript</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Component-based architecture for complex dashboard features. Strong ecosystem and developer availability in Bangladesh.</w:t>
            </w:r>
          </w:p>
        </w:tc>
      </w:tr>
      <w:tr>
        <w:tc>
          <w:tcPr>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8A"/>
                <w:sz w:val="19"/>
                <w:szCs w:val="19"/>
              </w:rPr>
              <w:t xml:space="preserve">Message Queue</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D9488"/>
                <w:sz w:val="19"/>
                <w:szCs w:val="19"/>
              </w:rPr>
              <w:t xml:space="preserve">RabbitMQ / AMQP</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SRS explicitly requires AMQP support. Handles async sync events, notifications, and analytics pipelines.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E3A8A"/>
                <w:sz w:val="19"/>
                <w:szCs w:val="19"/>
              </w:rPr>
              <w:t xml:space="preserve">Security</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D9488"/>
                <w:sz w:val="19"/>
                <w:szCs w:val="19"/>
              </w:rPr>
              <w:t xml:space="preserve">JWT + TLS 1.3 + AES-256</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JWT for stateless authentication, TLS 1.3 for transport encryption, AES-256 for data at rest. SRS requires encrypted REST API.</w:t>
            </w:r>
          </w:p>
        </w:tc>
      </w:tr>
      <w:tr>
        <w:tc>
          <w:tcPr>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8A"/>
                <w:sz w:val="19"/>
                <w:szCs w:val="19"/>
              </w:rPr>
              <w:t xml:space="preserve">Deployment</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D9488"/>
                <w:sz w:val="19"/>
                <w:szCs w:val="19"/>
              </w:rPr>
              <w:t xml:space="preserve">Docker + Kubernetes</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Container-based deployment for high availability, easy scaling, and consistent environments across government infrastructure.</w:t>
            </w:r>
          </w:p>
        </w:tc>
      </w:tr>
    </w:tbl>
    <w:p>
      <w:pPr>
        <w:spacing w:before="0" w:after="60"/>
      </w:pPr>
      <w:r>
        <w:t xml:space="preserve"/>
      </w:r>
    </w:p>
    <w:p>
      <w:pPr>
        <w:pStyle w:val="Heading2"/>
        <w:pBdr>
          <w:bottom w:val="single" w:color="0D9488" w:sz="4" w:space="4"/>
        </w:pBdr>
        <w:spacing w:before="320" w:after="160"/>
      </w:pPr>
      <w:r>
        <w:rPr>
          <w:rFonts w:ascii="Arial" w:cs="Arial" w:eastAsia="Arial" w:hAnsi="Arial"/>
          <w:b/>
          <w:bCs/>
          <w:color w:val="1E3A8A"/>
          <w:sz w:val="28"/>
          <w:szCs w:val="28"/>
        </w:rPr>
        <w:t xml:space="preserve">3.2 Data Architecture — Five Data Classes for Governance</w:t>
      </w:r>
    </w:p>
    <w:p>
      <w:pPr>
        <w:spacing w:before="80" w:after="120" w:line="340"/>
        <w:jc w:val="left"/>
      </w:pPr>
      <w:r>
        <w:rPr>
          <w:rFonts w:ascii="Arial" w:cs="Arial" w:eastAsia="Arial" w:hAnsi="Arial"/>
          <w:b w:val="false"/>
          <w:bCs w:val="false"/>
          <w:i w:val="false"/>
          <w:iCs w:val="false"/>
          <w:color w:val="374151"/>
          <w:sz w:val="22"/>
          <w:szCs w:val="22"/>
        </w:rPr>
        <w:t xml:space="preserve">The data model is organized into five distinct classes, each with different access patterns, retention requirements, and governance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8A"/>
                <w:sz w:val="19"/>
                <w:szCs w:val="19"/>
              </w:rPr>
              <w:t xml:space="preserve">A. Master Data</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Dealers, offices, programs, beneficiaries, products, allotments, roles, permissions</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374151"/>
                <w:sz w:val="19"/>
                <w:szCs w:val="19"/>
              </w:rPr>
              <w:t xml:space="preserve">Foundational reference data. Version-controlled with full change history. Never deleted, only deactivated.</w:t>
            </w:r>
          </w:p>
        </w:tc>
      </w:tr>
      <w:tr>
        <w:tc>
          <w:tcPr>
            <w:tcBorders>
              <w:top w:val="single" w:color="E5E7EB" w:sz="1"/>
              <w:left w:val="single" w:color="E5E7EB" w:sz="1"/>
              <w:bottom w:val="single" w:color="E5E7EB" w:sz="1"/>
              <w:right w:val="single" w:color="E5E7EB" w:sz="1"/>
            </w:tcBorders>
            <w:shd w:fill="CCFBF1" w:val="clear"/>
            <w:tcMar>
              <w:top w:type="dxa" w:w="80"/>
              <w:left w:type="dxa" w:w="120"/>
              <w:bottom w:type="dxa" w:w="80"/>
              <w:right w:type="dxa" w:w="120"/>
            </w:tcMar>
          </w:tcPr>
          <w:p>
            <w:r>
              <w:rPr>
                <w:rFonts w:ascii="Arial" w:cs="Arial" w:eastAsia="Arial" w:hAnsi="Arial"/>
                <w:b/>
                <w:bCs/>
                <w:color w:val="0D9488"/>
                <w:sz w:val="19"/>
                <w:szCs w:val="19"/>
              </w:rPr>
              <w:t xml:space="preserve">B. Transaction Data</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Distribution events, deposits, approvals, DO orders, allotment receipts, physical inspections</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374151"/>
                <w:sz w:val="19"/>
                <w:szCs w:val="19"/>
              </w:rPr>
              <w:t xml:space="preserve">High-volume operational data. Immutable once committed. Indexed for real-time dashboard queries.</w:t>
            </w:r>
          </w:p>
        </w:tc>
      </w:tr>
      <w:tr>
        <w:tc>
          <w:tcPr>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19"/>
                <w:szCs w:val="19"/>
              </w:rPr>
              <w:t xml:space="preserve">C. Evidence Data</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Beneficiary face photos, dealer documents, field inspection media, exception proof images</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374151"/>
                <w:sz w:val="19"/>
                <w:szCs w:val="19"/>
              </w:rPr>
              <w:t xml:space="preserve">Binary assets stored with cryptographic hash verification. Linked to transactions for audit reconstruction.</w:t>
            </w:r>
          </w:p>
        </w:tc>
      </w:tr>
      <w:tr>
        <w:tc>
          <w:tcPr>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D97706"/>
                <w:sz w:val="19"/>
                <w:szCs w:val="19"/>
              </w:rPr>
              <w:t xml:space="preserve">D. Audit Data</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Login events, field modifications, approval trails, sync logs, breach attempt records</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374151"/>
                <w:sz w:val="19"/>
                <w:szCs w:val="19"/>
              </w:rPr>
              <w:t xml:space="preserve">Tamper-evident log stream. Separate from application data. Exportable for government oversight reviews.</w:t>
            </w:r>
          </w:p>
        </w:tc>
      </w:tr>
      <w:tr>
        <w:tc>
          <w:tcPr>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r>
              <w:rPr>
                <w:rFonts w:ascii="Arial" w:cs="Arial" w:eastAsia="Arial" w:hAnsi="Arial"/>
                <w:b/>
                <w:bCs/>
                <w:color w:val="16A34A"/>
                <w:sz w:val="19"/>
                <w:szCs w:val="19"/>
              </w:rPr>
              <w:t xml:space="preserve">E. Analytics Data</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Fact tables: daily distribution, dealer performance, region demand, beneficiary usage trends, risk scores</w:t>
            </w:r>
          </w:p>
        </w:tc>
        <w:tc>
          <w:tcPr>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374151"/>
                <w:sz w:val="19"/>
                <w:szCs w:val="19"/>
              </w:rPr>
              <w:t xml:space="preserve">Aggregated from transaction data. Powers dashboard, forecasting, and policy intelligence features.</w:t>
            </w:r>
          </w:p>
        </w:tc>
      </w:tr>
    </w:tbl>
    <w:p>
      <w:pPr>
        <w:spacing w:before="0" w:after="60"/>
      </w:pPr>
      <w:r>
        <w:t xml:space="preserve"/>
      </w:r>
    </w:p>
    <w:p>
      <w:pPr>
        <w:pStyle w:val="Heading2"/>
        <w:pBdr>
          <w:bottom w:val="single" w:color="0D9488" w:sz="4" w:space="4"/>
        </w:pBdr>
        <w:spacing w:before="320" w:after="160"/>
      </w:pPr>
      <w:r>
        <w:rPr>
          <w:rFonts w:ascii="Arial" w:cs="Arial" w:eastAsia="Arial" w:hAnsi="Arial"/>
          <w:b/>
          <w:bCs/>
          <w:color w:val="1E3A8A"/>
          <w:sz w:val="28"/>
          <w:szCs w:val="28"/>
        </w:rPr>
        <w:t xml:space="preserve">3.3 Performance &amp; Scalability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SRS Requirement</w:t>
            </w:r>
          </w:p>
        </w:tc>
      </w:tr>
      <w:tr>
        <w:tc>
          <w:tcPr>
            <w:tcBorders>
              <w:top w:val="single" w:color="E5E7EB" w:sz="1"/>
              <w:left w:val="single" w:color="E5E7EB" w:sz="1"/>
              <w:bottom w:val="single" w:color="E5E7EB" w:sz="1"/>
              <w:right w:val="single" w:color="E5E7EB" w:sz="1"/>
            </w:tcBorders>
            <w:shd w:fill="DBEAFE" w:val="clear"/>
            <w:tcMar>
              <w:top w:type="dxa" w:w="60"/>
              <w:left w:type="dxa" w:w="120"/>
              <w:bottom w:type="dxa" w:w="60"/>
              <w:right w:type="dxa" w:w="120"/>
            </w:tcMar>
          </w:tcPr>
          <w:p>
            <w:r>
              <w:rPr>
                <w:rFonts w:ascii="Arial" w:cs="Arial" w:eastAsia="Arial" w:hAnsi="Arial"/>
                <w:b/>
                <w:bCs/>
                <w:color w:val="1E3A8A"/>
                <w:sz w:val="19"/>
                <w:szCs w:val="19"/>
              </w:rPr>
              <w:t xml:space="preserve">System Availability</w:t>
            </w:r>
          </w:p>
        </w:tc>
        <w:tc>
          <w:tcPr>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bCs/>
                <w:color w:val="0D9488"/>
                <w:sz w:val="19"/>
                <w:szCs w:val="19"/>
              </w:rPr>
              <w:t xml:space="preserve">99.9% (&lt; 9 hours downtime/year)</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i/>
                <w:iCs/>
                <w:color w:val="374151"/>
                <w:sz w:val="19"/>
                <w:szCs w:val="19"/>
              </w:rPr>
              <w:t xml:space="preserve">24/7/365 with no unapproved downtime</w:t>
            </w:r>
          </w:p>
        </w:tc>
      </w:tr>
      <w:tr>
        <w:tc>
          <w:tcPr>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1E3A8A"/>
                <w:sz w:val="19"/>
                <w:szCs w:val="19"/>
              </w:rPr>
              <w:t xml:space="preserve">API Response Time</w:t>
            </w:r>
          </w:p>
        </w:tc>
        <w:tc>
          <w:tcPr>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0D9488"/>
                <w:sz w:val="19"/>
                <w:szCs w:val="19"/>
              </w:rPr>
              <w:t xml:space="preserve">&lt; 1 second (95th percentile)</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i/>
                <w:iCs/>
                <w:color w:val="374151"/>
                <w:sz w:val="19"/>
                <w:szCs w:val="19"/>
              </w:rPr>
              <w:t xml:space="preserve">Page load &lt; 3 sec (intranet)</w:t>
            </w:r>
          </w:p>
        </w:tc>
      </w:tr>
      <w:tr>
        <w:tc>
          <w:tcPr>
            <w:tcBorders>
              <w:top w:val="single" w:color="E5E7EB" w:sz="1"/>
              <w:left w:val="single" w:color="E5E7EB" w:sz="1"/>
              <w:bottom w:val="single" w:color="E5E7EB" w:sz="1"/>
              <w:right w:val="single" w:color="E5E7EB" w:sz="1"/>
            </w:tcBorders>
            <w:shd w:fill="DBEAFE" w:val="clear"/>
            <w:tcMar>
              <w:top w:type="dxa" w:w="60"/>
              <w:left w:type="dxa" w:w="120"/>
              <w:bottom w:type="dxa" w:w="60"/>
              <w:right w:type="dxa" w:w="120"/>
            </w:tcMar>
          </w:tcPr>
          <w:p>
            <w:r>
              <w:rPr>
                <w:rFonts w:ascii="Arial" w:cs="Arial" w:eastAsia="Arial" w:hAnsi="Arial"/>
                <w:b/>
                <w:bCs/>
                <w:color w:val="1E3A8A"/>
                <w:sz w:val="19"/>
                <w:szCs w:val="19"/>
              </w:rPr>
              <w:t xml:space="preserve">Transaction Response</w:t>
            </w:r>
          </w:p>
        </w:tc>
        <w:tc>
          <w:tcPr>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bCs/>
                <w:color w:val="0D9488"/>
                <w:sz w:val="19"/>
                <w:szCs w:val="19"/>
              </w:rPr>
              <w:t xml:space="preserve">&lt; 5 seconds end-to-end</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i/>
                <w:iCs/>
                <w:color w:val="374151"/>
                <w:sz w:val="19"/>
                <w:szCs w:val="19"/>
              </w:rPr>
              <w:t xml:space="preserve">&lt; 5 seconds per SRS</w:t>
            </w:r>
          </w:p>
        </w:tc>
      </w:tr>
      <w:tr>
        <w:tc>
          <w:tcPr>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1E3A8A"/>
                <w:sz w:val="19"/>
                <w:szCs w:val="19"/>
              </w:rPr>
              <w:t xml:space="preserve">Concurrent Users</w:t>
            </w:r>
          </w:p>
        </w:tc>
        <w:tc>
          <w:tcPr>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0D9488"/>
                <w:sz w:val="19"/>
                <w:szCs w:val="19"/>
              </w:rPr>
              <w:t xml:space="preserve">5,000 simultaneous connections</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i/>
                <w:iCs/>
                <w:color w:val="374151"/>
                <w:sz w:val="19"/>
                <w:szCs w:val="19"/>
              </w:rPr>
              <w:t xml:space="preserve">5,000 simultaneous online users</w:t>
            </w:r>
          </w:p>
        </w:tc>
      </w:tr>
      <w:tr>
        <w:tc>
          <w:tcPr>
            <w:tcBorders>
              <w:top w:val="single" w:color="E5E7EB" w:sz="1"/>
              <w:left w:val="single" w:color="E5E7EB" w:sz="1"/>
              <w:bottom w:val="single" w:color="E5E7EB" w:sz="1"/>
              <w:right w:val="single" w:color="E5E7EB" w:sz="1"/>
            </w:tcBorders>
            <w:shd w:fill="DBEAFE" w:val="clear"/>
            <w:tcMar>
              <w:top w:type="dxa" w:w="60"/>
              <w:left w:type="dxa" w:w="120"/>
              <w:bottom w:type="dxa" w:w="60"/>
              <w:right w:type="dxa" w:w="120"/>
            </w:tcMar>
          </w:tcPr>
          <w:p>
            <w:r>
              <w:rPr>
                <w:rFonts w:ascii="Arial" w:cs="Arial" w:eastAsia="Arial" w:hAnsi="Arial"/>
                <w:b/>
                <w:bCs/>
                <w:color w:val="1E3A8A"/>
                <w:sz w:val="19"/>
                <w:szCs w:val="19"/>
              </w:rPr>
              <w:t xml:space="preserve">Daily Transaction Volume</w:t>
            </w:r>
          </w:p>
        </w:tc>
        <w:tc>
          <w:tcPr>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bCs/>
                <w:color w:val="0D9488"/>
                <w:sz w:val="19"/>
                <w:szCs w:val="19"/>
              </w:rPr>
              <w:t xml:space="preserve">300,000+ transactions/day</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i/>
                <w:iCs/>
                <w:color w:val="374151"/>
                <w:sz w:val="19"/>
                <w:szCs w:val="19"/>
              </w:rPr>
              <w:t xml:space="preserve">210,000–300,000 daily</w:t>
            </w:r>
          </w:p>
        </w:tc>
      </w:tr>
      <w:tr>
        <w:tc>
          <w:tcPr>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1E3A8A"/>
                <w:sz w:val="19"/>
                <w:szCs w:val="19"/>
              </w:rPr>
              <w:t xml:space="preserve">Face Verification Accuracy</w:t>
            </w:r>
          </w:p>
        </w:tc>
        <w:tc>
          <w:tcPr>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0D9488"/>
                <w:sz w:val="19"/>
                <w:szCs w:val="19"/>
              </w:rPr>
              <w:t xml:space="preserve">&gt; 95% match rate</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i/>
                <w:iCs/>
                <w:color w:val="374151"/>
                <w:sz w:val="19"/>
                <w:szCs w:val="19"/>
              </w:rPr>
              <w:t xml:space="preserve">Not specified — our commitment</w:t>
            </w:r>
          </w:p>
        </w:tc>
      </w:tr>
      <w:tr>
        <w:tc>
          <w:tcPr>
            <w:tcBorders>
              <w:top w:val="single" w:color="E5E7EB" w:sz="1"/>
              <w:left w:val="single" w:color="E5E7EB" w:sz="1"/>
              <w:bottom w:val="single" w:color="E5E7EB" w:sz="1"/>
              <w:right w:val="single" w:color="E5E7EB" w:sz="1"/>
            </w:tcBorders>
            <w:shd w:fill="DBEAFE" w:val="clear"/>
            <w:tcMar>
              <w:top w:type="dxa" w:w="60"/>
              <w:left w:type="dxa" w:w="120"/>
              <w:bottom w:type="dxa" w:w="60"/>
              <w:right w:type="dxa" w:w="120"/>
            </w:tcMar>
          </w:tcPr>
          <w:p>
            <w:r>
              <w:rPr>
                <w:rFonts w:ascii="Arial" w:cs="Arial" w:eastAsia="Arial" w:hAnsi="Arial"/>
                <w:b/>
                <w:bCs/>
                <w:color w:val="1E3A8A"/>
                <w:sz w:val="19"/>
                <w:szCs w:val="19"/>
              </w:rPr>
              <w:t xml:space="preserve">Duplicate Prevention</w:t>
            </w:r>
          </w:p>
        </w:tc>
        <w:tc>
          <w:tcPr>
            <w:tcBorders>
              <w:top w:val="single" w:color="E5E7EB" w:sz="1"/>
              <w:left w:val="single" w:color="E5E7EB" w:sz="1"/>
              <w:bottom w:val="single" w:color="E5E7EB" w:sz="1"/>
              <w:right w:val="single" w:color="E5E7EB" w:sz="1"/>
            </w:tcBorders>
            <w:shd w:fill="CCFBF1" w:val="clear"/>
            <w:tcMar>
              <w:top w:type="dxa" w:w="60"/>
              <w:left w:type="dxa" w:w="120"/>
              <w:bottom w:type="dxa" w:w="60"/>
              <w:right w:type="dxa" w:w="120"/>
            </w:tcMar>
          </w:tcPr>
          <w:p>
            <w:r>
              <w:rPr>
                <w:rFonts w:ascii="Arial" w:cs="Arial" w:eastAsia="Arial" w:hAnsi="Arial"/>
                <w:b/>
                <w:bCs/>
                <w:color w:val="0D9488"/>
                <w:sz w:val="19"/>
                <w:szCs w:val="19"/>
              </w:rPr>
              <w:t xml:space="preserve">100% — zero false negatives</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i/>
                <w:iCs/>
                <w:color w:val="374151"/>
                <w:sz w:val="19"/>
                <w:szCs w:val="19"/>
              </w:rPr>
              <w:t xml:space="preserve">100% restriction required</w:t>
            </w:r>
          </w:p>
        </w:tc>
      </w:tr>
      <w:tr>
        <w:tc>
          <w:tcPr>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1E3A8A"/>
                <w:sz w:val="19"/>
                <w:szCs w:val="19"/>
              </w:rPr>
              <w:t xml:space="preserve">Data Retention</w:t>
            </w:r>
          </w:p>
        </w:tc>
        <w:tc>
          <w:tcPr>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0D9488"/>
                <w:sz w:val="19"/>
                <w:szCs w:val="19"/>
              </w:rPr>
              <w:t xml:space="preserve">10+ years with 20% growth capacity</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i/>
                <w:iCs/>
                <w:color w:val="374151"/>
                <w:sz w:val="19"/>
                <w:szCs w:val="19"/>
              </w:rPr>
              <w:t xml:space="preserve">10-year sustainability required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8A" w:val="clear"/>
            <w:tcMar>
              <w:top w:type="dxa" w:w="400"/>
              <w:left w:type="dxa" w:w="400"/>
              <w:bottom w:type="dxa" w:w="400"/>
              <w:right w:type="dxa" w:w="400"/>
            </w:tcMar>
          </w:tcPr>
          <w:p>
            <w:pPr>
              <w:spacing w:before="0" w:after="80"/>
              <w:jc w:val="center"/>
            </w:pPr>
            <w:r>
              <w:rPr>
                <w:rFonts w:ascii="Arial" w:cs="Arial" w:eastAsia="Arial" w:hAnsi="Arial"/>
                <w:b/>
                <w:bCs/>
                <w:color w:val="FFFFFF"/>
                <w:sz w:val="48"/>
                <w:szCs w:val="48"/>
              </w:rPr>
              <w:t xml:space="preserve">SECTION 4</w:t>
            </w:r>
          </w:p>
          <w:p>
            <w:pPr>
              <w:spacing w:before="0" w:after="0"/>
              <w:jc w:val="center"/>
            </w:pPr>
            <w:r>
              <w:rPr>
                <w:rFonts w:ascii="Arial" w:cs="Arial" w:eastAsia="Arial" w:hAnsi="Arial"/>
                <w:i/>
                <w:iCs/>
                <w:color w:val="BFDBFE"/>
                <w:sz w:val="24"/>
                <w:szCs w:val="24"/>
              </w:rPr>
              <w:t xml:space="preserve">Analytics &amp; Governance Intelligence</w:t>
            </w:r>
          </w:p>
        </w:tc>
      </w:tr>
    </w:tbl>
    <w:p>
      <w:pPr>
        <w:spacing w:before="0" w:after="60"/>
      </w:pPr>
      <w:r>
        <w:t xml:space="preserve"/>
      </w:r>
    </w:p>
    <w:p>
      <w:pPr>
        <w:pStyle w:val="Heading2"/>
        <w:pBdr>
          <w:bottom w:val="single" w:color="0D9488" w:sz="4" w:space="4"/>
        </w:pBdr>
        <w:spacing w:before="320" w:after="160"/>
      </w:pPr>
      <w:r>
        <w:rPr>
          <w:rFonts w:ascii="Arial" w:cs="Arial" w:eastAsia="Arial" w:hAnsi="Arial"/>
          <w:b/>
          <w:bCs/>
          <w:color w:val="1E3A8A"/>
          <w:sz w:val="28"/>
          <w:szCs w:val="28"/>
        </w:rPr>
        <w:t xml:space="preserve">4.1 Three-Level Analytics Strategy</w:t>
      </w:r>
    </w:p>
    <w:p>
      <w:pPr>
        <w:spacing w:before="80" w:after="120" w:line="340"/>
        <w:jc w:val="left"/>
      </w:pPr>
      <w:r>
        <w:rPr>
          <w:rFonts w:ascii="Arial" w:cs="Arial" w:eastAsia="Arial" w:hAnsi="Arial"/>
          <w:b w:val="false"/>
          <w:bCs w:val="false"/>
          <w:i w:val="false"/>
          <w:iCs w:val="false"/>
          <w:color w:val="374151"/>
          <w:sz w:val="22"/>
          <w:szCs w:val="22"/>
        </w:rPr>
        <w:t xml:space="preserve">The SRS's data analysis module requirement represents the most sophisticated and differentiating element of the platform. We propose a three-level analytics maturity model that delivers immediate value while building toward predictive policy intelligence:</w:t>
      </w:r>
    </w:p>
    <w:p>
      <w:pPr>
        <w:pStyle w:val="Heading3"/>
        <w:spacing w:before="240" w:after="120"/>
      </w:pPr>
      <w:r>
        <w:rPr>
          <w:rFonts w:ascii="Arial" w:cs="Arial" w:eastAsia="Arial" w:hAnsi="Arial"/>
          <w:b/>
          <w:bCs/>
          <w:color w:val="0D9488"/>
          <w:sz w:val="24"/>
          <w:szCs w:val="24"/>
        </w:rPr>
        <w:t xml:space="preserve">Level 1 — Descriptive Analytics (Deployed at MVP)</w:t>
      </w:r>
    </w:p>
    <w:p>
      <w:pPr>
        <w:pStyle w:val="ListParagraph"/>
        <w:numPr>
          <w:ilvl w:val="0"/>
          <w:numId w:val="2"/>
        </w:numPr>
        <w:spacing w:before="40" w:after="60" w:line="300"/>
      </w:pPr>
      <w:r>
        <w:rPr>
          <w:rFonts w:ascii="Arial" w:cs="Arial" w:eastAsia="Arial" w:hAnsi="Arial"/>
          <w:color w:val="374151"/>
          <w:sz w:val="22"/>
          <w:szCs w:val="22"/>
        </w:rPr>
        <w:t xml:space="preserve">Daily sales by dealer, region, product type, and time of day</w:t>
      </w:r>
    </w:p>
    <w:p>
      <w:pPr>
        <w:pStyle w:val="ListParagraph"/>
        <w:numPr>
          <w:ilvl w:val="0"/>
          <w:numId w:val="2"/>
        </w:numPr>
        <w:spacing w:before="40" w:after="60" w:line="300"/>
      </w:pPr>
      <w:r>
        <w:rPr>
          <w:rFonts w:ascii="Arial" w:cs="Arial" w:eastAsia="Arial" w:hAnsi="Arial"/>
          <w:color w:val="374151"/>
          <w:sz w:val="22"/>
          <w:szCs w:val="22"/>
        </w:rPr>
        <w:t xml:space="preserve">Dealer-wise distribution patterns and quota utilization rates</w:t>
      </w:r>
    </w:p>
    <w:p>
      <w:pPr>
        <w:pStyle w:val="ListParagraph"/>
        <w:numPr>
          <w:ilvl w:val="0"/>
          <w:numId w:val="2"/>
        </w:numPr>
        <w:spacing w:before="40" w:after="60" w:line="300"/>
      </w:pPr>
      <w:r>
        <w:rPr>
          <w:rFonts w:ascii="Arial" w:cs="Arial" w:eastAsia="Arial" w:hAnsi="Arial"/>
          <w:color w:val="374151"/>
          <w:sz w:val="22"/>
          <w:szCs w:val="22"/>
        </w:rPr>
        <w:t xml:space="preserve">Region-wise food demand and allocation vs. actual distribution gaps</w:t>
      </w:r>
    </w:p>
    <w:p>
      <w:pPr>
        <w:pStyle w:val="ListParagraph"/>
        <w:numPr>
          <w:ilvl w:val="0"/>
          <w:numId w:val="2"/>
        </w:numPr>
        <w:spacing w:before="40" w:after="60" w:line="300"/>
      </w:pPr>
      <w:r>
        <w:rPr>
          <w:rFonts w:ascii="Arial" w:cs="Arial" w:eastAsia="Arial" w:hAnsi="Arial"/>
          <w:color w:val="374151"/>
          <w:sz w:val="22"/>
          <w:szCs w:val="22"/>
        </w:rPr>
        <w:t xml:space="preserve">Stock movement tracking, rejection rates, and exception frequencies</w:t>
      </w:r>
    </w:p>
    <w:p>
      <w:pPr>
        <w:pStyle w:val="ListParagraph"/>
        <w:numPr>
          <w:ilvl w:val="0"/>
          <w:numId w:val="2"/>
        </w:numPr>
        <w:spacing w:before="40" w:after="60" w:line="300"/>
      </w:pPr>
      <w:r>
        <w:rPr>
          <w:rFonts w:ascii="Arial" w:cs="Arial" w:eastAsia="Arial" w:hAnsi="Arial"/>
          <w:color w:val="374151"/>
          <w:sz w:val="22"/>
          <w:szCs w:val="22"/>
        </w:rPr>
        <w:t xml:space="preserve">Real-time dashboard for supervisors at division, district, and upazila levels</w:t>
      </w:r>
    </w:p>
    <w:p>
      <w:pPr>
        <w:pStyle w:val="Heading3"/>
        <w:spacing w:before="240" w:after="120"/>
      </w:pPr>
      <w:r>
        <w:rPr>
          <w:rFonts w:ascii="Arial" w:cs="Arial" w:eastAsia="Arial" w:hAnsi="Arial"/>
          <w:b/>
          <w:bCs/>
          <w:color w:val="0D9488"/>
          <w:sz w:val="24"/>
          <w:szCs w:val="24"/>
        </w:rPr>
        <w:t xml:space="preserve">Level 2 — Diagnostic Analytics (Month 2-3 of Pilot)</w:t>
      </w:r>
    </w:p>
    <w:p>
      <w:pPr>
        <w:pStyle w:val="ListParagraph"/>
        <w:numPr>
          <w:ilvl w:val="0"/>
          <w:numId w:val="2"/>
        </w:numPr>
        <w:spacing w:before="40" w:after="60" w:line="300"/>
      </w:pPr>
      <w:r>
        <w:rPr>
          <w:rFonts w:ascii="Arial" w:cs="Arial" w:eastAsia="Arial" w:hAnsi="Arial"/>
          <w:color w:val="374151"/>
          <w:sz w:val="22"/>
          <w:szCs w:val="22"/>
        </w:rPr>
        <w:t xml:space="preserve">Suspicious repeat patterns — same beneficiary, same device, same dealer within unusual timeframes</w:t>
      </w:r>
    </w:p>
    <w:p>
      <w:pPr>
        <w:pStyle w:val="ListParagraph"/>
        <w:numPr>
          <w:ilvl w:val="0"/>
          <w:numId w:val="2"/>
        </w:numPr>
        <w:spacing w:before="40" w:after="60" w:line="300"/>
      </w:pPr>
      <w:r>
        <w:rPr>
          <w:rFonts w:ascii="Arial" w:cs="Arial" w:eastAsia="Arial" w:hAnsi="Arial"/>
          <w:color w:val="374151"/>
          <w:sz w:val="22"/>
          <w:szCs w:val="22"/>
        </w:rPr>
        <w:t xml:space="preserve">Unusual dealer activity — late-night transactions, transactions outside assigned coverage area</w:t>
      </w:r>
    </w:p>
    <w:p>
      <w:pPr>
        <w:pStyle w:val="ListParagraph"/>
        <w:numPr>
          <w:ilvl w:val="0"/>
          <w:numId w:val="2"/>
        </w:numPr>
        <w:spacing w:before="40" w:after="60" w:line="300"/>
      </w:pPr>
      <w:r>
        <w:rPr>
          <w:rFonts w:ascii="Arial" w:cs="Arial" w:eastAsia="Arial" w:hAnsi="Arial"/>
          <w:color w:val="374151"/>
          <w:sz w:val="22"/>
          <w:szCs w:val="22"/>
        </w:rPr>
        <w:t xml:space="preserve">Abnormal device behavior — multiple dealer accounts operating from a single device</w:t>
      </w:r>
    </w:p>
    <w:p>
      <w:pPr>
        <w:pStyle w:val="ListParagraph"/>
        <w:numPr>
          <w:ilvl w:val="0"/>
          <w:numId w:val="2"/>
        </w:numPr>
        <w:spacing w:before="40" w:after="60" w:line="300"/>
      </w:pPr>
      <w:r>
        <w:rPr>
          <w:rFonts w:ascii="Arial" w:cs="Arial" w:eastAsia="Arial" w:hAnsi="Arial"/>
          <w:color w:val="374151"/>
          <w:sz w:val="22"/>
          <w:szCs w:val="22"/>
        </w:rPr>
        <w:t xml:space="preserve">Geographic anomalies — dealer selling outside assigned zone via GPS verification</w:t>
      </w:r>
    </w:p>
    <w:p>
      <w:pPr>
        <w:pStyle w:val="ListParagraph"/>
        <w:numPr>
          <w:ilvl w:val="0"/>
          <w:numId w:val="2"/>
        </w:numPr>
        <w:spacing w:before="40" w:after="60" w:line="300"/>
      </w:pPr>
      <w:r>
        <w:rPr>
          <w:rFonts w:ascii="Arial" w:cs="Arial" w:eastAsia="Arial" w:hAnsi="Arial"/>
          <w:color w:val="374151"/>
          <w:sz w:val="22"/>
          <w:szCs w:val="22"/>
        </w:rPr>
        <w:t xml:space="preserve">Unexpected quota exhaustion — faster than historical trends, triggering investigation workflows</w:t>
      </w:r>
    </w:p>
    <w:p>
      <w:pPr>
        <w:pStyle w:val="Heading3"/>
        <w:spacing w:before="240" w:after="120"/>
      </w:pPr>
      <w:r>
        <w:rPr>
          <w:rFonts w:ascii="Arial" w:cs="Arial" w:eastAsia="Arial" w:hAnsi="Arial"/>
          <w:b/>
          <w:bCs/>
          <w:color w:val="0D9488"/>
          <w:sz w:val="24"/>
          <w:szCs w:val="24"/>
        </w:rPr>
        <w:t xml:space="preserve">Level 3 — Predictive Analytics (Month 4+ of National Rollout)</w:t>
      </w:r>
    </w:p>
    <w:p>
      <w:pPr>
        <w:pStyle w:val="ListParagraph"/>
        <w:numPr>
          <w:ilvl w:val="0"/>
          <w:numId w:val="2"/>
        </w:numPr>
        <w:spacing w:before="40" w:after="60" w:line="300"/>
      </w:pPr>
      <w:r>
        <w:rPr>
          <w:rFonts w:ascii="Arial" w:cs="Arial" w:eastAsia="Arial" w:hAnsi="Arial"/>
          <w:color w:val="374151"/>
          <w:sz w:val="22"/>
          <w:szCs w:val="22"/>
        </w:rPr>
        <w:t xml:space="preserve">Next-month regional rice/flour demand forecasting based on 12-month consumption trends</w:t>
      </w:r>
    </w:p>
    <w:p>
      <w:pPr>
        <w:pStyle w:val="ListParagraph"/>
        <w:numPr>
          <w:ilvl w:val="0"/>
          <w:numId w:val="2"/>
        </w:numPr>
        <w:spacing w:before="40" w:after="60" w:line="300"/>
      </w:pPr>
      <w:r>
        <w:rPr>
          <w:rFonts w:ascii="Arial" w:cs="Arial" w:eastAsia="Arial" w:hAnsi="Arial"/>
          <w:color w:val="374151"/>
          <w:sz w:val="22"/>
          <w:szCs w:val="22"/>
        </w:rPr>
        <w:t xml:space="preserve">Likely stock shortage identification for proactive government allocation decisions</w:t>
      </w:r>
    </w:p>
    <w:p>
      <w:pPr>
        <w:pStyle w:val="ListParagraph"/>
        <w:numPr>
          <w:ilvl w:val="0"/>
          <w:numId w:val="2"/>
        </w:numPr>
        <w:spacing w:before="40" w:after="60" w:line="300"/>
      </w:pPr>
      <w:r>
        <w:rPr>
          <w:rFonts w:ascii="Arial" w:cs="Arial" w:eastAsia="Arial" w:hAnsi="Arial"/>
          <w:color w:val="374151"/>
          <w:sz w:val="22"/>
          <w:szCs w:val="22"/>
        </w:rPr>
        <w:t xml:space="preserve">Dealer risk scoring — predictive model based on exception history, pattern anomalies, and verification failures</w:t>
      </w:r>
    </w:p>
    <w:p>
      <w:pPr>
        <w:pStyle w:val="ListParagraph"/>
        <w:numPr>
          <w:ilvl w:val="0"/>
          <w:numId w:val="2"/>
        </w:numPr>
        <w:spacing w:before="40" w:after="60" w:line="300"/>
      </w:pPr>
      <w:r>
        <w:rPr>
          <w:rFonts w:ascii="Arial" w:cs="Arial" w:eastAsia="Arial" w:hAnsi="Arial"/>
          <w:color w:val="374151"/>
          <w:sz w:val="22"/>
          <w:szCs w:val="22"/>
        </w:rPr>
        <w:t xml:space="preserve">Seasonal utilization trend analysis for program calibration during monsoon, harvest, and Ramadan periods</w:t>
      </w:r>
    </w:p>
    <w:p>
      <w:pPr>
        <w:pStyle w:val="ListParagraph"/>
        <w:numPr>
          <w:ilvl w:val="0"/>
          <w:numId w:val="2"/>
        </w:numPr>
        <w:spacing w:before="40" w:after="60" w:line="300"/>
      </w:pPr>
      <w:r>
        <w:rPr>
          <w:rFonts w:ascii="Arial" w:cs="Arial" w:eastAsia="Arial" w:hAnsi="Arial"/>
          <w:color w:val="374151"/>
          <w:sz w:val="22"/>
          <w:szCs w:val="22"/>
        </w:rPr>
        <w:t xml:space="preserve">Poverty index correlation — beneficiary consumption patterns mapped to area-level economic indicators</w:t>
      </w:r>
    </w:p>
    <w:p>
      <w:pPr>
        <w:spacing w:before="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D9488" w:sz="1"/>
              <w:left w:val="single" w:color="0D9488" w:sz="12"/>
              <w:bottom w:val="single" w:color="0D9488" w:sz="1"/>
              <w:right w:val="none" w:color="FFFFFF" w:sz="0"/>
            </w:tcBorders>
            <w:shd w:fill="DCFCE7" w:val="clear"/>
            <w:tcMar>
              <w:top w:type="dxa" w:w="120"/>
              <w:left w:type="dxa" w:w="200"/>
              <w:bottom w:type="dxa" w:w="120"/>
              <w:right w:type="dxa" w:w="200"/>
            </w:tcMar>
          </w:tcPr>
          <w:p>
            <w:pPr>
              <w:spacing w:before="0" w:after="80"/>
            </w:pPr>
            <w:r>
              <w:rPr>
                <w:rFonts w:ascii="Arial" w:cs="Arial" w:eastAsia="Arial" w:hAnsi="Arial"/>
                <w:b/>
                <w:bCs/>
                <w:color w:val="16A34A"/>
                <w:sz w:val="22"/>
                <w:szCs w:val="22"/>
              </w:rPr>
              <w:t xml:space="preserve">Analytics Positioning Statement</w:t>
            </w:r>
          </w:p>
          <w:p>
            <w:pPr>
              <w:spacing w:before="0" w:after="0"/>
            </w:pPr>
            <w:r>
              <w:rPr>
                <w:rFonts w:ascii="Arial" w:cs="Arial" w:eastAsia="Arial" w:hAnsi="Arial"/>
                <w:color w:val="374151"/>
                <w:sz w:val="21"/>
                <w:szCs w:val="21"/>
              </w:rPr>
              <w:t xml:space="preserve">We do not propose "AI-powered analytics" as a marketing claim. We propose a credible, three-stage analytics maturity path: start with descriptive dashboards that work on Day 1, build diagnostic detection that catches fraud in Month 2, and develop predictive intelligence that informs policy by Month 4. This is not hype — it is a professional engineering roadmap.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8A" w:val="clear"/>
            <w:tcMar>
              <w:top w:type="dxa" w:w="400"/>
              <w:left w:type="dxa" w:w="400"/>
              <w:bottom w:type="dxa" w:w="400"/>
              <w:right w:type="dxa" w:w="400"/>
            </w:tcMar>
          </w:tcPr>
          <w:p>
            <w:pPr>
              <w:spacing w:before="0" w:after="80"/>
              <w:jc w:val="center"/>
            </w:pPr>
            <w:r>
              <w:rPr>
                <w:rFonts w:ascii="Arial" w:cs="Arial" w:eastAsia="Arial" w:hAnsi="Arial"/>
                <w:b/>
                <w:bCs/>
                <w:color w:val="FFFFFF"/>
                <w:sz w:val="48"/>
                <w:szCs w:val="48"/>
              </w:rPr>
              <w:t xml:space="preserve">SECTION 5</w:t>
            </w:r>
          </w:p>
          <w:p>
            <w:pPr>
              <w:spacing w:before="0" w:after="0"/>
              <w:jc w:val="center"/>
            </w:pPr>
            <w:r>
              <w:rPr>
                <w:rFonts w:ascii="Arial" w:cs="Arial" w:eastAsia="Arial" w:hAnsi="Arial"/>
                <w:i/>
                <w:iCs/>
                <w:color w:val="BFDBFE"/>
                <w:sz w:val="24"/>
                <w:szCs w:val="24"/>
              </w:rPr>
              <w:t xml:space="preserve">Implementation Roadmap</w:t>
            </w:r>
          </w:p>
        </w:tc>
      </w:tr>
    </w:tbl>
    <w:p>
      <w:pPr>
        <w:spacing w:before="0" w:after="60"/>
      </w:pPr>
      <w:r>
        <w:t xml:space="preserve"/>
      </w:r>
    </w:p>
    <w:p>
      <w:pPr>
        <w:pStyle w:val="Heading2"/>
        <w:pBdr>
          <w:bottom w:val="single" w:color="0D9488" w:sz="4" w:space="4"/>
        </w:pBdr>
        <w:spacing w:before="320" w:after="160"/>
      </w:pPr>
      <w:r>
        <w:rPr>
          <w:rFonts w:ascii="Arial" w:cs="Arial" w:eastAsia="Arial" w:hAnsi="Arial"/>
          <w:b/>
          <w:bCs/>
          <w:color w:val="1E3A8A"/>
          <w:sz w:val="28"/>
          <w:szCs w:val="28"/>
        </w:rPr>
        <w:t xml:space="preserve">5.1 Phased Implementation Strategy</w:t>
      </w:r>
    </w:p>
    <w:p>
      <w:pPr>
        <w:spacing w:before="80" w:after="120" w:line="340"/>
        <w:jc w:val="left"/>
      </w:pPr>
      <w:r>
        <w:rPr>
          <w:rFonts w:ascii="Arial" w:cs="Arial" w:eastAsia="Arial" w:hAnsi="Arial"/>
          <w:b w:val="false"/>
          <w:bCs w:val="false"/>
          <w:i w:val="false"/>
          <w:iCs w:val="false"/>
          <w:color w:val="374151"/>
          <w:sz w:val="22"/>
          <w:szCs w:val="22"/>
        </w:rPr>
        <w:t xml:space="preserve">The implementation is structured in three phases designed to validate assumptions at each stage before committing to wider deployment. This approach minimizes risk, incorporates real-world learning, and builds institutional confidence at each milestone.</w:t>
      </w:r>
    </w:p>
    <w:p>
      <w:pPr>
        <w:pStyle w:val="Heading3"/>
        <w:spacing w:before="240" w:after="120"/>
      </w:pPr>
      <w:r>
        <w:rPr>
          <w:rFonts w:ascii="Arial" w:cs="Arial" w:eastAsia="Arial" w:hAnsi="Arial"/>
          <w:b/>
          <w:bCs/>
          <w:color w:val="0D9488"/>
          <w:sz w:val="24"/>
          <w:szCs w:val="24"/>
        </w:rPr>
        <w:t xml:space="preserve">Phase A — MVP Development (Weeks 1–10)</w:t>
      </w:r>
    </w:p>
    <w:p>
      <w:pPr>
        <w:spacing w:before="80" w:after="120" w:line="340"/>
        <w:jc w:val="left"/>
      </w:pPr>
      <w:r>
        <w:rPr>
          <w:rFonts w:ascii="Arial" w:cs="Arial" w:eastAsia="Arial" w:hAnsi="Arial"/>
          <w:b w:val="false"/>
          <w:bCs w:val="false"/>
          <w:i w:val="false"/>
          <w:iCs w:val="false"/>
          <w:color w:val="374151"/>
          <w:sz w:val="22"/>
          <w:szCs w:val="22"/>
        </w:rPr>
        <w:t xml:space="preserve">Objective: Prove the three core values — beneficiary verification, transaction capture, and transparent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E3A8A" w:val="clear"/>
            <w:tcMar>
              <w:top w:type="dxa" w:w="60"/>
              <w:left w:type="dxa" w:w="120"/>
              <w:bottom w:type="dxa" w:w="60"/>
              <w:right w:type="dxa" w:w="120"/>
            </w:tcMar>
          </w:tcPr>
          <w:p>
            <w:r>
              <w:rPr>
                <w:rFonts w:ascii="Arial" w:cs="Arial" w:eastAsia="Arial" w:hAnsi="Arial"/>
                <w:b/>
                <w:bCs/>
                <w:color w:val="FFFFFF"/>
                <w:sz w:val="18"/>
                <w:szCs w:val="18"/>
              </w:rPr>
              <w:t xml:space="preserve">Week</w:t>
            </w:r>
          </w:p>
        </w:tc>
        <w:tc>
          <w:tcPr>
            <w:tcBorders>
              <w:top w:val="none" w:color="FFFFFF" w:sz="0"/>
              <w:left w:val="none" w:color="FFFFFF" w:sz="0"/>
              <w:bottom w:val="none" w:color="FFFFFF" w:sz="0"/>
              <w:right w:val="none" w:color="FFFFFF" w:sz="0"/>
            </w:tcBorders>
            <w:shd w:fill="1E3A8A" w:val="clear"/>
            <w:tcMar>
              <w:top w:type="dxa" w:w="60"/>
              <w:left w:type="dxa" w:w="120"/>
              <w:bottom w:type="dxa" w:w="60"/>
              <w:right w:type="dxa" w:w="120"/>
            </w:tcMar>
          </w:tcPr>
          <w:p>
            <w:r>
              <w:rPr>
                <w:rFonts w:ascii="Arial" w:cs="Arial" w:eastAsia="Arial" w:hAnsi="Arial"/>
                <w:b/>
                <w:bCs/>
                <w:color w:val="FFFFFF"/>
                <w:sz w:val="18"/>
                <w:szCs w:val="18"/>
              </w:rPr>
              <w:t xml:space="preserve">Deliverables</w:t>
            </w:r>
          </w:p>
        </w:tc>
      </w:tr>
      <w:tr>
        <w:tc>
          <w:tcPr>
            <w:tcBorders>
              <w:top w:val="single" w:color="E5E7EB" w:sz="1"/>
              <w:left w:val="single" w:color="E5E7EB" w:sz="1"/>
              <w:bottom w:val="single" w:color="E5E7EB" w:sz="1"/>
              <w:right w:val="single" w:color="E5E7EB" w:sz="1"/>
            </w:tcBorders>
            <w:shd w:fill="DBEAFE" w:val="clear"/>
            <w:tcMar>
              <w:top w:type="dxa" w:w="60"/>
              <w:left w:type="dxa" w:w="120"/>
              <w:bottom w:type="dxa" w:w="60"/>
              <w:right w:type="dxa" w:w="120"/>
            </w:tcMar>
          </w:tcPr>
          <w:p>
            <w:r>
              <w:rPr>
                <w:rFonts w:ascii="Arial" w:cs="Arial" w:eastAsia="Arial" w:hAnsi="Arial"/>
                <w:b/>
                <w:bCs/>
                <w:color w:val="1E3A8A"/>
                <w:sz w:val="19"/>
                <w:szCs w:val="19"/>
              </w:rPr>
              <w:t xml:space="preserve">1–2</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Database schema finalization, API contract definition, development environment setup, team onboarding</w:t>
            </w:r>
          </w:p>
        </w:tc>
      </w:tr>
      <w:tr>
        <w:tc>
          <w:tcPr>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1E3A8A"/>
                <w:sz w:val="19"/>
                <w:szCs w:val="19"/>
              </w:rPr>
              <w:t xml:space="preserve">3–4</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Dealer registration and login module, beneficiary registration with face capture, local SQLite setup</w:t>
            </w:r>
          </w:p>
        </w:tc>
      </w:tr>
      <w:tr>
        <w:tc>
          <w:tcPr>
            <w:tcBorders>
              <w:top w:val="single" w:color="E5E7EB" w:sz="1"/>
              <w:left w:val="single" w:color="E5E7EB" w:sz="1"/>
              <w:bottom w:val="single" w:color="E5E7EB" w:sz="1"/>
              <w:right w:val="single" w:color="E5E7EB" w:sz="1"/>
            </w:tcBorders>
            <w:shd w:fill="DBEAFE" w:val="clear"/>
            <w:tcMar>
              <w:top w:type="dxa" w:w="60"/>
              <w:left w:type="dxa" w:w="120"/>
              <w:bottom w:type="dxa" w:w="60"/>
              <w:right w:type="dxa" w:w="120"/>
            </w:tcMar>
          </w:tcPr>
          <w:p>
            <w:r>
              <w:rPr>
                <w:rFonts w:ascii="Arial" w:cs="Arial" w:eastAsia="Arial" w:hAnsi="Arial"/>
                <w:b/>
                <w:bCs/>
                <w:color w:val="1E3A8A"/>
                <w:sz w:val="19"/>
                <w:szCs w:val="19"/>
              </w:rPr>
              <w:t xml:space="preserve">5–6</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Food distribution transaction flow, daily duplicate prevention, monthly quota enforcement logic</w:t>
            </w:r>
          </w:p>
        </w:tc>
      </w:tr>
      <w:tr>
        <w:tc>
          <w:tcPr>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1E3A8A"/>
                <w:sz w:val="19"/>
                <w:szCs w:val="19"/>
              </w:rPr>
              <w:t xml:space="preserve">7–8</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Offline sync engine, central server validation, conflict resolution implementation</w:t>
            </w:r>
          </w:p>
        </w:tc>
      </w:tr>
      <w:tr>
        <w:tc>
          <w:tcPr>
            <w:tcBorders>
              <w:top w:val="single" w:color="E5E7EB" w:sz="1"/>
              <w:left w:val="single" w:color="E5E7EB" w:sz="1"/>
              <w:bottom w:val="single" w:color="E5E7EB" w:sz="1"/>
              <w:right w:val="single" w:color="E5E7EB" w:sz="1"/>
            </w:tcBorders>
            <w:shd w:fill="DBEAFE" w:val="clear"/>
            <w:tcMar>
              <w:top w:type="dxa" w:w="60"/>
              <w:left w:type="dxa" w:w="120"/>
              <w:bottom w:type="dxa" w:w="60"/>
              <w:right w:type="dxa" w:w="120"/>
            </w:tcMar>
          </w:tcPr>
          <w:p>
            <w:r>
              <w:rPr>
                <w:rFonts w:ascii="Arial" w:cs="Arial" w:eastAsia="Arial" w:hAnsi="Arial"/>
                <w:b/>
                <w:bCs/>
                <w:color w:val="1E3A8A"/>
                <w:sz w:val="19"/>
                <w:szCs w:val="19"/>
              </w:rPr>
              <w:t xml:space="preserve">9–10</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Admin dashboard (Level 1 analytics), audit log viewer, basic audit trail, QA testing and bug fixing</w:t>
            </w:r>
          </w:p>
        </w:tc>
      </w:tr>
    </w:tbl>
    <w:p>
      <w:pPr>
        <w:spacing w:before="0" w:after="60"/>
      </w:pPr>
      <w:r>
        <w:t xml:space="preserve"/>
      </w:r>
    </w:p>
    <w:p>
      <w:pPr>
        <w:pStyle w:val="Heading3"/>
        <w:spacing w:before="240" w:after="120"/>
      </w:pPr>
      <w:r>
        <w:rPr>
          <w:rFonts w:ascii="Arial" w:cs="Arial" w:eastAsia="Arial" w:hAnsi="Arial"/>
          <w:b/>
          <w:bCs/>
          <w:color w:val="0D9488"/>
          <w:sz w:val="24"/>
          <w:szCs w:val="24"/>
        </w:rPr>
        <w:t xml:space="preserve">Phase B — Controlled Pilot (Months 3–6)</w:t>
      </w:r>
    </w:p>
    <w:p>
      <w:pPr>
        <w:spacing w:before="80" w:after="120" w:line="340"/>
        <w:jc w:val="left"/>
      </w:pPr>
      <w:r>
        <w:rPr>
          <w:rFonts w:ascii="Arial" w:cs="Arial" w:eastAsia="Arial" w:hAnsi="Arial"/>
          <w:b w:val="false"/>
          <w:bCs w:val="false"/>
          <w:i w:val="false"/>
          <w:iCs w:val="false"/>
          <w:color w:val="374151"/>
          <w:sz w:val="22"/>
          <w:szCs w:val="22"/>
        </w:rPr>
        <w:t xml:space="preserve">Objective: Validate operations under real Bangladesh field conditions with selected dealers and offices.</w:t>
      </w:r>
    </w:p>
    <w:p>
      <w:pPr>
        <w:pStyle w:val="ListParagraph"/>
        <w:numPr>
          <w:ilvl w:val="0"/>
          <w:numId w:val="2"/>
        </w:numPr>
        <w:spacing w:before="40" w:after="60" w:line="300"/>
      </w:pPr>
      <w:r>
        <w:rPr>
          <w:rFonts w:ascii="Arial" w:cs="Arial" w:eastAsia="Arial" w:hAnsi="Arial"/>
          <w:color w:val="374151"/>
          <w:sz w:val="22"/>
          <w:szCs w:val="22"/>
        </w:rPr>
        <w:t xml:space="preserve">Selected pilot offices in Dhaka district — manageable scale with close government oversight</w:t>
      </w:r>
    </w:p>
    <w:p>
      <w:pPr>
        <w:pStyle w:val="ListParagraph"/>
        <w:numPr>
          <w:ilvl w:val="0"/>
          <w:numId w:val="2"/>
        </w:numPr>
        <w:spacing w:before="40" w:after="60" w:line="300"/>
      </w:pPr>
      <w:r>
        <w:rPr>
          <w:rFonts w:ascii="Arial" w:cs="Arial" w:eastAsia="Arial" w:hAnsi="Arial"/>
          <w:color w:val="374151"/>
          <w:sz w:val="22"/>
          <w:szCs w:val="22"/>
        </w:rPr>
        <w:t xml:space="preserve">Real dealer and beneficiary onboarding with biometric enrollment</w:t>
      </w:r>
    </w:p>
    <w:p>
      <w:pPr>
        <w:pStyle w:val="ListParagraph"/>
        <w:numPr>
          <w:ilvl w:val="0"/>
          <w:numId w:val="2"/>
        </w:numPr>
        <w:spacing w:before="40" w:after="60" w:line="300"/>
      </w:pPr>
      <w:r>
        <w:rPr>
          <w:rFonts w:ascii="Arial" w:cs="Arial" w:eastAsia="Arial" w:hAnsi="Arial"/>
          <w:color w:val="374151"/>
          <w:sz w:val="22"/>
          <w:szCs w:val="22"/>
        </w:rPr>
        <w:t xml:space="preserve">Sync conflict observation and resolution policy refinement</w:t>
      </w:r>
    </w:p>
    <w:p>
      <w:pPr>
        <w:pStyle w:val="ListParagraph"/>
        <w:numPr>
          <w:ilvl w:val="0"/>
          <w:numId w:val="2"/>
        </w:numPr>
        <w:spacing w:before="40" w:after="60" w:line="300"/>
      </w:pPr>
      <w:r>
        <w:rPr>
          <w:rFonts w:ascii="Arial" w:cs="Arial" w:eastAsia="Arial" w:hAnsi="Arial"/>
          <w:color w:val="374151"/>
          <w:sz w:val="22"/>
          <w:szCs w:val="22"/>
        </w:rPr>
        <w:t xml:space="preserve">Biometric accuracy tuning for Bangladesh-specific face recognition challenges (lighting, age, dark skin tones)</w:t>
      </w:r>
    </w:p>
    <w:p>
      <w:pPr>
        <w:pStyle w:val="ListParagraph"/>
        <w:numPr>
          <w:ilvl w:val="0"/>
          <w:numId w:val="2"/>
        </w:numPr>
        <w:spacing w:before="40" w:after="60" w:line="300"/>
      </w:pPr>
      <w:r>
        <w:rPr>
          <w:rFonts w:ascii="Arial" w:cs="Arial" w:eastAsia="Arial" w:hAnsi="Arial"/>
          <w:color w:val="374151"/>
          <w:sz w:val="22"/>
          <w:szCs w:val="22"/>
        </w:rPr>
        <w:t xml:space="preserve">Training program delivery to dealers, supervisors, and government administrators</w:t>
      </w:r>
    </w:p>
    <w:p>
      <w:pPr>
        <w:pStyle w:val="ListParagraph"/>
        <w:numPr>
          <w:ilvl w:val="0"/>
          <w:numId w:val="2"/>
        </w:numPr>
        <w:spacing w:before="40" w:after="60" w:line="300"/>
      </w:pPr>
      <w:r>
        <w:rPr>
          <w:rFonts w:ascii="Arial" w:cs="Arial" w:eastAsia="Arial" w:hAnsi="Arial"/>
          <w:color w:val="374151"/>
          <w:sz w:val="22"/>
          <w:szCs w:val="22"/>
        </w:rPr>
        <w:t xml:space="preserve">Dashboard validation with Ministry of Food stakeholders</w:t>
      </w:r>
    </w:p>
    <w:p>
      <w:pPr>
        <w:pStyle w:val="ListParagraph"/>
        <w:numPr>
          <w:ilvl w:val="0"/>
          <w:numId w:val="2"/>
        </w:numPr>
        <w:spacing w:before="40" w:after="60" w:line="300"/>
      </w:pPr>
      <w:r>
        <w:rPr>
          <w:rFonts w:ascii="Arial" w:cs="Arial" w:eastAsia="Arial" w:hAnsi="Arial"/>
          <w:color w:val="374151"/>
          <w:sz w:val="22"/>
          <w:szCs w:val="22"/>
        </w:rPr>
        <w:t xml:space="preserve">Exception and fallback policy calibration based on field experience</w:t>
      </w:r>
    </w:p>
    <w:p>
      <w:pPr>
        <w:pStyle w:val="Heading3"/>
        <w:spacing w:before="240" w:after="120"/>
      </w:pPr>
      <w:r>
        <w:rPr>
          <w:rFonts w:ascii="Arial" w:cs="Arial" w:eastAsia="Arial" w:hAnsi="Arial"/>
          <w:b/>
          <w:bCs/>
          <w:color w:val="0D9488"/>
          <w:sz w:val="24"/>
          <w:szCs w:val="24"/>
        </w:rPr>
        <w:t xml:space="preserve">Phase C — National Scale-Up (Months 7–18)</w:t>
      </w:r>
    </w:p>
    <w:p>
      <w:pPr>
        <w:spacing w:before="80" w:after="120" w:line="340"/>
        <w:jc w:val="left"/>
      </w:pPr>
      <w:r>
        <w:rPr>
          <w:rFonts w:ascii="Arial" w:cs="Arial" w:eastAsia="Arial" w:hAnsi="Arial"/>
          <w:b w:val="false"/>
          <w:bCs w:val="false"/>
          <w:i w:val="false"/>
          <w:iCs w:val="false"/>
          <w:color w:val="374151"/>
          <w:sz w:val="22"/>
          <w:szCs w:val="22"/>
        </w:rPr>
        <w:t xml:space="preserve">Objective: Expand to all divisions, districts, and upazilas with full operational capability.</w:t>
      </w:r>
    </w:p>
    <w:p>
      <w:pPr>
        <w:pStyle w:val="ListParagraph"/>
        <w:numPr>
          <w:ilvl w:val="0"/>
          <w:numId w:val="2"/>
        </w:numPr>
        <w:spacing w:before="40" w:after="60" w:line="300"/>
      </w:pPr>
      <w:r>
        <w:rPr>
          <w:rFonts w:ascii="Arial" w:cs="Arial" w:eastAsia="Arial" w:hAnsi="Arial"/>
          <w:color w:val="374151"/>
          <w:sz w:val="22"/>
          <w:szCs w:val="22"/>
        </w:rPr>
        <w:t xml:space="preserve">Division-by-division rollout beginning with highest-volume regions</w:t>
      </w:r>
    </w:p>
    <w:p>
      <w:pPr>
        <w:pStyle w:val="ListParagraph"/>
        <w:numPr>
          <w:ilvl w:val="0"/>
          <w:numId w:val="2"/>
        </w:numPr>
        <w:spacing w:before="40" w:after="60" w:line="300"/>
      </w:pPr>
      <w:r>
        <w:rPr>
          <w:rFonts w:ascii="Arial" w:cs="Arial" w:eastAsia="Arial" w:hAnsi="Arial"/>
          <w:color w:val="374151"/>
          <w:sz w:val="22"/>
          <w:szCs w:val="22"/>
        </w:rPr>
        <w:t xml:space="preserve">Level 2 and 3 analytics deployment — diagnostic and predictive capability</w:t>
      </w:r>
    </w:p>
    <w:p>
      <w:pPr>
        <w:pStyle w:val="ListParagraph"/>
        <w:numPr>
          <w:ilvl w:val="0"/>
          <w:numId w:val="2"/>
        </w:numPr>
        <w:spacing w:before="40" w:after="60" w:line="300"/>
      </w:pPr>
      <w:r>
        <w:rPr>
          <w:rFonts w:ascii="Arial" w:cs="Arial" w:eastAsia="Arial" w:hAnsi="Arial"/>
          <w:color w:val="374151"/>
          <w:sz w:val="22"/>
          <w:szCs w:val="22"/>
        </w:rPr>
        <w:t xml:space="preserve">High-availability infrastructure deployment — redundant servers, auto-failover</w:t>
      </w:r>
    </w:p>
    <w:p>
      <w:pPr>
        <w:pStyle w:val="ListParagraph"/>
        <w:numPr>
          <w:ilvl w:val="0"/>
          <w:numId w:val="2"/>
        </w:numPr>
        <w:spacing w:before="40" w:after="60" w:line="300"/>
      </w:pPr>
      <w:r>
        <w:rPr>
          <w:rFonts w:ascii="Arial" w:cs="Arial" w:eastAsia="Arial" w:hAnsi="Arial"/>
          <w:color w:val="374151"/>
          <w:sz w:val="22"/>
          <w:szCs w:val="22"/>
        </w:rPr>
        <w:t xml:space="preserve">Bangladesh Bank payment integration for dealer financial transactions</w:t>
      </w:r>
    </w:p>
    <w:p>
      <w:pPr>
        <w:pStyle w:val="ListParagraph"/>
        <w:numPr>
          <w:ilvl w:val="0"/>
          <w:numId w:val="2"/>
        </w:numPr>
        <w:spacing w:before="40" w:after="60" w:line="300"/>
      </w:pPr>
      <w:r>
        <w:rPr>
          <w:rFonts w:ascii="Arial" w:cs="Arial" w:eastAsia="Arial" w:hAnsi="Arial"/>
          <w:color w:val="374151"/>
          <w:sz w:val="22"/>
          <w:szCs w:val="22"/>
        </w:rPr>
        <w:t xml:space="preserve">IP Camera monitoring integration for physical surveillance capability</w:t>
      </w:r>
    </w:p>
    <w:p>
      <w:pPr>
        <w:pStyle w:val="ListParagraph"/>
        <w:numPr>
          <w:ilvl w:val="0"/>
          <w:numId w:val="2"/>
        </w:numPr>
        <w:spacing w:before="40" w:after="60" w:line="300"/>
      </w:pPr>
      <w:r>
        <w:rPr>
          <w:rFonts w:ascii="Arial" w:cs="Arial" w:eastAsia="Arial" w:hAnsi="Arial"/>
          <w:color w:val="374151"/>
          <w:sz w:val="22"/>
          <w:szCs w:val="22"/>
        </w:rPr>
        <w:t xml:space="preserve">SMS notification gateway integration for dealer and beneficiary communications</w:t>
      </w:r>
    </w:p>
    <w:p>
      <w:pPr>
        <w:pStyle w:val="ListParagraph"/>
        <w:numPr>
          <w:ilvl w:val="0"/>
          <w:numId w:val="2"/>
        </w:numPr>
        <w:spacing w:before="40" w:after="60" w:line="300"/>
      </w:pPr>
      <w:r>
        <w:rPr>
          <w:rFonts w:ascii="Arial" w:cs="Arial" w:eastAsia="Arial" w:hAnsi="Arial"/>
          <w:color w:val="374151"/>
          <w:sz w:val="22"/>
          <w:szCs w:val="22"/>
        </w:rPr>
        <w:t xml:space="preserve">Bilingual (English/Bengali) complete documentation finalization</w:t>
      </w:r>
    </w:p>
    <w:p>
      <w:pPr>
        <w:pStyle w:val="ListParagraph"/>
        <w:numPr>
          <w:ilvl w:val="0"/>
          <w:numId w:val="2"/>
        </w:numPr>
        <w:spacing w:before="40" w:after="60" w:line="300"/>
      </w:pPr>
      <w:r>
        <w:rPr>
          <w:rFonts w:ascii="Arial" w:cs="Arial" w:eastAsia="Arial" w:hAnsi="Arial"/>
          <w:color w:val="374151"/>
          <w:sz w:val="22"/>
          <w:szCs w:val="22"/>
        </w:rPr>
        <w:t xml:space="preserve">Full government handover package — source code, documentation, training, and knowledge transfer</w:t>
      </w:r>
    </w:p>
    <w:p>
      <w:pPr>
        <w:spacing w:before="0" w:after="60"/>
      </w:pPr>
      <w:r>
        <w:t xml:space="preserve"/>
      </w:r>
    </w:p>
    <w:p>
      <w:pPr>
        <w:pStyle w:val="Heading2"/>
        <w:pBdr>
          <w:bottom w:val="single" w:color="0D9488" w:sz="4" w:space="4"/>
        </w:pBdr>
        <w:spacing w:before="320" w:after="160"/>
      </w:pPr>
      <w:r>
        <w:rPr>
          <w:rFonts w:ascii="Arial" w:cs="Arial" w:eastAsia="Arial" w:hAnsi="Arial"/>
          <w:b/>
          <w:bCs/>
          <w:color w:val="1E3A8A"/>
          <w:sz w:val="28"/>
          <w:szCs w:val="28"/>
        </w:rPr>
        <w:t xml:space="preserve">5.2 Success Metrics — How We Measure Victory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Borders>
              <w:top w:val="single" w:color="E5E7EB" w:sz="1"/>
              <w:left w:val="single" w:color="E5E7EB" w:sz="1"/>
              <w:bottom w:val="single" w:color="E5E7EB" w:sz="1"/>
              <w:right w:val="single" w:color="E5E7EB" w:sz="1"/>
            </w:tcBorders>
            <w:shd w:fill="DBEAFE" w:val="clear"/>
            <w:tcMar>
              <w:top w:type="dxa" w:w="60"/>
              <w:left w:type="dxa" w:w="120"/>
              <w:bottom w:type="dxa" w:w="60"/>
              <w:right w:type="dxa" w:w="120"/>
            </w:tcMar>
          </w:tcPr>
          <w:p>
            <w:r>
              <w:rPr>
                <w:rFonts w:ascii="Arial" w:cs="Arial" w:eastAsia="Arial" w:hAnsi="Arial"/>
                <w:b/>
                <w:bCs/>
                <w:color w:val="1E3A8A"/>
                <w:sz w:val="19"/>
                <w:szCs w:val="19"/>
              </w:rPr>
              <w:t xml:space="preserve">Operational</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Dealer adoption rate</w:t>
            </w:r>
          </w:p>
        </w:tc>
        <w:tc>
          <w:tcPr>
            <w:tcBorders>
              <w:top w:val="single" w:color="E5E7EB" w:sz="1"/>
              <w:left w:val="single" w:color="E5E7EB" w:sz="1"/>
              <w:bottom w:val="single" w:color="E5E7EB" w:sz="1"/>
              <w:right w:val="single" w:color="E5E7EB" w:sz="1"/>
            </w:tcBorders>
            <w:shd w:fill="DCFCE7" w:val="clear"/>
            <w:tcMar>
              <w:top w:type="dxa" w:w="60"/>
              <w:left w:type="dxa" w:w="120"/>
              <w:bottom w:type="dxa" w:w="60"/>
              <w:right w:type="dxa" w:w="120"/>
            </w:tcMar>
          </w:tcPr>
          <w:p>
            <w:r>
              <w:rPr>
                <w:rFonts w:ascii="Arial" w:cs="Arial" w:eastAsia="Arial" w:hAnsi="Arial"/>
                <w:b/>
                <w:bCs/>
                <w:color w:val="16A34A"/>
                <w:sz w:val="19"/>
                <w:szCs w:val="19"/>
              </w:rPr>
              <w:t xml:space="preserve">&gt; 80% within 3 months of rollout</w:t>
            </w:r>
          </w:p>
        </w:tc>
      </w:tr>
      <w:tr>
        <w:tc>
          <w:tcPr>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1E3A8A"/>
                <w:sz w:val="19"/>
                <w:szCs w:val="19"/>
              </w:rPr>
              <w:t xml:space="preserve">Operational</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Beneficiary enrollment rate</w:t>
            </w:r>
          </w:p>
        </w:tc>
        <w:tc>
          <w:tcPr>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6A34A"/>
                <w:sz w:val="19"/>
                <w:szCs w:val="19"/>
              </w:rPr>
              <w:t xml:space="preserve">&gt; 90% within 6 months</w:t>
            </w:r>
          </w:p>
        </w:tc>
      </w:tr>
      <w:tr>
        <w:tc>
          <w:tcPr>
            <w:tcBorders>
              <w:top w:val="single" w:color="E5E7EB" w:sz="1"/>
              <w:left w:val="single" w:color="E5E7EB" w:sz="1"/>
              <w:bottom w:val="single" w:color="E5E7EB" w:sz="1"/>
              <w:right w:val="single" w:color="E5E7EB" w:sz="1"/>
            </w:tcBorders>
            <w:shd w:fill="DBEAFE" w:val="clear"/>
            <w:tcMar>
              <w:top w:type="dxa" w:w="60"/>
              <w:left w:type="dxa" w:w="120"/>
              <w:bottom w:type="dxa" w:w="60"/>
              <w:right w:type="dxa" w:w="120"/>
            </w:tcMar>
          </w:tcPr>
          <w:p>
            <w:r>
              <w:rPr>
                <w:rFonts w:ascii="Arial" w:cs="Arial" w:eastAsia="Arial" w:hAnsi="Arial"/>
                <w:b/>
                <w:bCs/>
                <w:color w:val="1E3A8A"/>
                <w:sz w:val="19"/>
                <w:szCs w:val="19"/>
              </w:rPr>
              <w:t xml:space="preserve">Anti-Leakage</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Same-day duplicate prevention</w:t>
            </w:r>
          </w:p>
        </w:tc>
        <w:tc>
          <w:tcPr>
            <w:tcBorders>
              <w:top w:val="single" w:color="E5E7EB" w:sz="1"/>
              <w:left w:val="single" w:color="E5E7EB" w:sz="1"/>
              <w:bottom w:val="single" w:color="E5E7EB" w:sz="1"/>
              <w:right w:val="single" w:color="E5E7EB" w:sz="1"/>
            </w:tcBorders>
            <w:shd w:fill="DCFCE7" w:val="clear"/>
            <w:tcMar>
              <w:top w:type="dxa" w:w="60"/>
              <w:left w:type="dxa" w:w="120"/>
              <w:bottom w:type="dxa" w:w="60"/>
              <w:right w:type="dxa" w:w="120"/>
            </w:tcMar>
          </w:tcPr>
          <w:p>
            <w:r>
              <w:rPr>
                <w:rFonts w:ascii="Arial" w:cs="Arial" w:eastAsia="Arial" w:hAnsi="Arial"/>
                <w:b/>
                <w:bCs/>
                <w:color w:val="16A34A"/>
                <w:sz w:val="19"/>
                <w:szCs w:val="19"/>
              </w:rPr>
              <w:t xml:space="preserve">100% — zero tolerance</w:t>
            </w:r>
          </w:p>
        </w:tc>
      </w:tr>
      <w:tr>
        <w:tc>
          <w:tcPr>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1E3A8A"/>
                <w:sz w:val="19"/>
                <w:szCs w:val="19"/>
              </w:rPr>
              <w:t xml:space="preserve">Anti-Leakage</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Monthly quota enforcement accuracy</w:t>
            </w:r>
          </w:p>
        </w:tc>
        <w:tc>
          <w:tcPr>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6A34A"/>
                <w:sz w:val="19"/>
                <w:szCs w:val="19"/>
              </w:rPr>
              <w:t xml:space="preserve">100% — zero tolerance</w:t>
            </w:r>
          </w:p>
        </w:tc>
      </w:tr>
      <w:tr>
        <w:tc>
          <w:tcPr>
            <w:tcBorders>
              <w:top w:val="single" w:color="E5E7EB" w:sz="1"/>
              <w:left w:val="single" w:color="E5E7EB" w:sz="1"/>
              <w:bottom w:val="single" w:color="E5E7EB" w:sz="1"/>
              <w:right w:val="single" w:color="E5E7EB" w:sz="1"/>
            </w:tcBorders>
            <w:shd w:fill="DBEAFE" w:val="clear"/>
            <w:tcMar>
              <w:top w:type="dxa" w:w="60"/>
              <w:left w:type="dxa" w:w="120"/>
              <w:bottom w:type="dxa" w:w="60"/>
              <w:right w:type="dxa" w:w="120"/>
            </w:tcMar>
          </w:tcPr>
          <w:p>
            <w:r>
              <w:rPr>
                <w:rFonts w:ascii="Arial" w:cs="Arial" w:eastAsia="Arial" w:hAnsi="Arial"/>
                <w:b/>
                <w:bCs/>
                <w:color w:val="1E3A8A"/>
                <w:sz w:val="19"/>
                <w:szCs w:val="19"/>
              </w:rPr>
              <w:t xml:space="preserve">Technical</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System availability</w:t>
            </w:r>
          </w:p>
        </w:tc>
        <w:tc>
          <w:tcPr>
            <w:tcBorders>
              <w:top w:val="single" w:color="E5E7EB" w:sz="1"/>
              <w:left w:val="single" w:color="E5E7EB" w:sz="1"/>
              <w:bottom w:val="single" w:color="E5E7EB" w:sz="1"/>
              <w:right w:val="single" w:color="E5E7EB" w:sz="1"/>
            </w:tcBorders>
            <w:shd w:fill="DCFCE7" w:val="clear"/>
            <w:tcMar>
              <w:top w:type="dxa" w:w="60"/>
              <w:left w:type="dxa" w:w="120"/>
              <w:bottom w:type="dxa" w:w="60"/>
              <w:right w:type="dxa" w:w="120"/>
            </w:tcMar>
          </w:tcPr>
          <w:p>
            <w:r>
              <w:rPr>
                <w:rFonts w:ascii="Arial" w:cs="Arial" w:eastAsia="Arial" w:hAnsi="Arial"/>
                <w:b/>
                <w:bCs/>
                <w:color w:val="16A34A"/>
                <w:sz w:val="19"/>
                <w:szCs w:val="19"/>
              </w:rPr>
              <w:t xml:space="preserve">&gt; 99.9% uptime</w:t>
            </w:r>
          </w:p>
        </w:tc>
      </w:tr>
      <w:tr>
        <w:tc>
          <w:tcPr>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1E3A8A"/>
                <w:sz w:val="19"/>
                <w:szCs w:val="19"/>
              </w:rPr>
              <w:t xml:space="preserve">Technical</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Transaction response time</w:t>
            </w:r>
          </w:p>
        </w:tc>
        <w:tc>
          <w:tcPr>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6A34A"/>
                <w:sz w:val="19"/>
                <w:szCs w:val="19"/>
              </w:rPr>
              <w:t xml:space="preserve">&lt; 5 seconds average</w:t>
            </w:r>
          </w:p>
        </w:tc>
      </w:tr>
      <w:tr>
        <w:tc>
          <w:tcPr>
            <w:tcBorders>
              <w:top w:val="single" w:color="E5E7EB" w:sz="1"/>
              <w:left w:val="single" w:color="E5E7EB" w:sz="1"/>
              <w:bottom w:val="single" w:color="E5E7EB" w:sz="1"/>
              <w:right w:val="single" w:color="E5E7EB" w:sz="1"/>
            </w:tcBorders>
            <w:shd w:fill="DBEAFE" w:val="clear"/>
            <w:tcMar>
              <w:top w:type="dxa" w:w="60"/>
              <w:left w:type="dxa" w:w="120"/>
              <w:bottom w:type="dxa" w:w="60"/>
              <w:right w:type="dxa" w:w="120"/>
            </w:tcMar>
          </w:tcPr>
          <w:p>
            <w:r>
              <w:rPr>
                <w:rFonts w:ascii="Arial" w:cs="Arial" w:eastAsia="Arial" w:hAnsi="Arial"/>
                <w:b/>
                <w:bCs/>
                <w:color w:val="1E3A8A"/>
                <w:sz w:val="19"/>
                <w:szCs w:val="19"/>
              </w:rPr>
              <w:t xml:space="preserve">Technical</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Face verification accuracy</w:t>
            </w:r>
          </w:p>
        </w:tc>
        <w:tc>
          <w:tcPr>
            <w:tcBorders>
              <w:top w:val="single" w:color="E5E7EB" w:sz="1"/>
              <w:left w:val="single" w:color="E5E7EB" w:sz="1"/>
              <w:bottom w:val="single" w:color="E5E7EB" w:sz="1"/>
              <w:right w:val="single" w:color="E5E7EB" w:sz="1"/>
            </w:tcBorders>
            <w:shd w:fill="DCFCE7" w:val="clear"/>
            <w:tcMar>
              <w:top w:type="dxa" w:w="60"/>
              <w:left w:type="dxa" w:w="120"/>
              <w:bottom w:type="dxa" w:w="60"/>
              <w:right w:type="dxa" w:w="120"/>
            </w:tcMar>
          </w:tcPr>
          <w:p>
            <w:r>
              <w:rPr>
                <w:rFonts w:ascii="Arial" w:cs="Arial" w:eastAsia="Arial" w:hAnsi="Arial"/>
                <w:b/>
                <w:bCs/>
                <w:color w:val="16A34A"/>
                <w:sz w:val="19"/>
                <w:szCs w:val="19"/>
              </w:rPr>
              <w:t xml:space="preserve">&gt; 95% match on first attempt</w:t>
            </w:r>
          </w:p>
        </w:tc>
      </w:tr>
      <w:tr>
        <w:tc>
          <w:tcPr>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1E3A8A"/>
                <w:sz w:val="19"/>
                <w:szCs w:val="19"/>
              </w:rPr>
              <w:t xml:space="preserve">Financial</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Projected leakage reduction</w:t>
            </w:r>
          </w:p>
        </w:tc>
        <w:tc>
          <w:tcPr>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16A34A"/>
                <w:sz w:val="19"/>
                <w:szCs w:val="19"/>
              </w:rPr>
              <w:t xml:space="preserve">40–50% in pilot districts</w:t>
            </w:r>
          </w:p>
        </w:tc>
      </w:tr>
      <w:tr>
        <w:tc>
          <w:tcPr>
            <w:tcBorders>
              <w:top w:val="single" w:color="E5E7EB" w:sz="1"/>
              <w:left w:val="single" w:color="E5E7EB" w:sz="1"/>
              <w:bottom w:val="single" w:color="E5E7EB" w:sz="1"/>
              <w:right w:val="single" w:color="E5E7EB" w:sz="1"/>
            </w:tcBorders>
            <w:shd w:fill="DBEAFE" w:val="clear"/>
            <w:tcMar>
              <w:top w:type="dxa" w:w="60"/>
              <w:left w:type="dxa" w:w="120"/>
              <w:bottom w:type="dxa" w:w="60"/>
              <w:right w:type="dxa" w:w="120"/>
            </w:tcMar>
          </w:tcPr>
          <w:p>
            <w:r>
              <w:rPr>
                <w:rFonts w:ascii="Arial" w:cs="Arial" w:eastAsia="Arial" w:hAnsi="Arial"/>
                <w:b/>
                <w:bCs/>
                <w:color w:val="1E3A8A"/>
                <w:sz w:val="19"/>
                <w:szCs w:val="19"/>
              </w:rPr>
              <w:t xml:space="preserve">Financial</w:t>
            </w:r>
          </w:p>
        </w:tc>
        <w:tc>
          <w:tcPr>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ROI target</w:t>
            </w:r>
          </w:p>
        </w:tc>
        <w:tc>
          <w:tcPr>
            <w:tcBorders>
              <w:top w:val="single" w:color="E5E7EB" w:sz="1"/>
              <w:left w:val="single" w:color="E5E7EB" w:sz="1"/>
              <w:bottom w:val="single" w:color="E5E7EB" w:sz="1"/>
              <w:right w:val="single" w:color="E5E7EB" w:sz="1"/>
            </w:tcBorders>
            <w:shd w:fill="DCFCE7" w:val="clear"/>
            <w:tcMar>
              <w:top w:type="dxa" w:w="60"/>
              <w:left w:type="dxa" w:w="120"/>
              <w:bottom w:type="dxa" w:w="60"/>
              <w:right w:type="dxa" w:w="120"/>
            </w:tcMar>
          </w:tcPr>
          <w:p>
            <w:r>
              <w:rPr>
                <w:rFonts w:ascii="Arial" w:cs="Arial" w:eastAsia="Arial" w:hAnsi="Arial"/>
                <w:b/>
                <w:bCs/>
                <w:color w:val="16A34A"/>
                <w:sz w:val="19"/>
                <w:szCs w:val="19"/>
              </w:rPr>
              <w:t xml:space="preserve">&gt; 300% within 2 years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8A" w:val="clear"/>
            <w:tcMar>
              <w:top w:type="dxa" w:w="400"/>
              <w:left w:type="dxa" w:w="400"/>
              <w:bottom w:type="dxa" w:w="400"/>
              <w:right w:type="dxa" w:w="400"/>
            </w:tcMar>
          </w:tcPr>
          <w:p>
            <w:pPr>
              <w:spacing w:before="0" w:after="80"/>
              <w:jc w:val="center"/>
            </w:pPr>
            <w:r>
              <w:rPr>
                <w:rFonts w:ascii="Arial" w:cs="Arial" w:eastAsia="Arial" w:hAnsi="Arial"/>
                <w:b/>
                <w:bCs/>
                <w:color w:val="FFFFFF"/>
                <w:sz w:val="48"/>
                <w:szCs w:val="48"/>
              </w:rPr>
              <w:t xml:space="preserve">SECTION 6</w:t>
            </w:r>
          </w:p>
          <w:p>
            <w:pPr>
              <w:spacing w:before="0" w:after="0"/>
              <w:jc w:val="center"/>
            </w:pPr>
            <w:r>
              <w:rPr>
                <w:rFonts w:ascii="Arial" w:cs="Arial" w:eastAsia="Arial" w:hAnsi="Arial"/>
                <w:i/>
                <w:iCs/>
                <w:color w:val="BFDBFE"/>
                <w:sz w:val="24"/>
                <w:szCs w:val="24"/>
              </w:rPr>
              <w:t xml:space="preserve">Government Handover &amp; Institutional Ownership</w:t>
            </w:r>
          </w:p>
        </w:tc>
      </w:tr>
    </w:tbl>
    <w:p>
      <w:pPr>
        <w:spacing w:before="0" w:after="60"/>
      </w:pPr>
      <w:r>
        <w:t xml:space="preserve"/>
      </w:r>
    </w:p>
    <w:p>
      <w:pPr>
        <w:pStyle w:val="Heading2"/>
        <w:pBdr>
          <w:bottom w:val="single" w:color="0D9488" w:sz="4" w:space="4"/>
        </w:pBdr>
        <w:spacing w:before="320" w:after="160"/>
      </w:pPr>
      <w:r>
        <w:rPr>
          <w:rFonts w:ascii="Arial" w:cs="Arial" w:eastAsia="Arial" w:hAnsi="Arial"/>
          <w:b/>
          <w:bCs/>
          <w:color w:val="1E3A8A"/>
          <w:sz w:val="28"/>
          <w:szCs w:val="28"/>
        </w:rPr>
        <w:t xml:space="preserve">6.1 Complete Source Code &amp; Knowledge Transfer Commitment</w:t>
      </w:r>
    </w:p>
    <w:p>
      <w:pPr>
        <w:spacing w:before="80" w:after="120" w:line="340"/>
        <w:jc w:val="left"/>
      </w:pPr>
      <w:r>
        <w:rPr>
          <w:rFonts w:ascii="Arial" w:cs="Arial" w:eastAsia="Arial" w:hAnsi="Arial"/>
          <w:b w:val="false"/>
          <w:bCs w:val="false"/>
          <w:i w:val="false"/>
          <w:iCs w:val="false"/>
          <w:color w:val="374151"/>
          <w:sz w:val="22"/>
          <w:szCs w:val="22"/>
        </w:rPr>
        <w:t xml:space="preserve">The SRS explicitly requests source code handover, code comments, developer instruction manuals, API exposure, and future extensibility. This is not a negotiating point — it is a project requirement that we treat as a competitive advantage.</w:t>
      </w:r>
    </w:p>
    <w:p>
      <w:pPr>
        <w:spacing w:before="80" w:after="120" w:line="340"/>
        <w:jc w:val="left"/>
      </w:pPr>
      <w:r>
        <w:rPr>
          <w:rFonts w:ascii="Arial" w:cs="Arial" w:eastAsia="Arial" w:hAnsi="Arial"/>
          <w:b w:val="false"/>
          <w:bCs w:val="false"/>
          <w:i w:val="false"/>
          <w:iCs w:val="false"/>
          <w:color w:val="374151"/>
          <w:sz w:val="22"/>
          <w:szCs w:val="22"/>
        </w:rPr>
        <w:t xml:space="preserve">We commit to the following handover package:</w:t>
      </w:r>
    </w:p>
    <w:p>
      <w:pPr>
        <w:pStyle w:val="ListParagraph"/>
        <w:numPr>
          <w:ilvl w:val="0"/>
          <w:numId w:val="2"/>
        </w:numPr>
        <w:spacing w:before="40" w:after="60" w:line="300"/>
      </w:pPr>
      <w:r>
        <w:rPr>
          <w:rFonts w:ascii="Arial" w:cs="Arial" w:eastAsia="Arial" w:hAnsi="Arial"/>
          <w:color w:val="374151"/>
          <w:sz w:val="22"/>
          <w:szCs w:val="22"/>
        </w:rPr>
        <w:t xml:space="preserve">Complete source code ownership transfer — no vendor lock-in, government owns every line of code from Day 1 of project closure</w:t>
      </w:r>
    </w:p>
    <w:p>
      <w:pPr>
        <w:pStyle w:val="ListParagraph"/>
        <w:numPr>
          <w:ilvl w:val="0"/>
          <w:numId w:val="2"/>
        </w:numPr>
        <w:spacing w:before="40" w:after="60" w:line="300"/>
      </w:pPr>
      <w:r>
        <w:rPr>
          <w:rFonts w:ascii="Arial" w:cs="Arial" w:eastAsia="Arial" w:hAnsi="Arial"/>
          <w:color w:val="374151"/>
          <w:sz w:val="22"/>
          <w:szCs w:val="22"/>
        </w:rPr>
        <w:t xml:space="preserve">Inline code documentation — every critical function documented in English and Bengali for future government developers</w:t>
      </w:r>
    </w:p>
    <w:p>
      <w:pPr>
        <w:pStyle w:val="ListParagraph"/>
        <w:numPr>
          <w:ilvl w:val="0"/>
          <w:numId w:val="2"/>
        </w:numPr>
        <w:spacing w:before="40" w:after="60" w:line="300"/>
      </w:pPr>
      <w:r>
        <w:rPr>
          <w:rFonts w:ascii="Arial" w:cs="Arial" w:eastAsia="Arial" w:hAnsi="Arial"/>
          <w:color w:val="374151"/>
          <w:sz w:val="22"/>
          <w:szCs w:val="22"/>
        </w:rPr>
        <w:t xml:space="preserve">Developer Instruction Manual — step-by-step guide enabling government developers to understand, modify, and extend the system independently</w:t>
      </w:r>
    </w:p>
    <w:p>
      <w:pPr>
        <w:pStyle w:val="ListParagraph"/>
        <w:numPr>
          <w:ilvl w:val="0"/>
          <w:numId w:val="2"/>
        </w:numPr>
        <w:spacing w:before="40" w:after="60" w:line="300"/>
      </w:pPr>
      <w:r>
        <w:rPr>
          <w:rFonts w:ascii="Arial" w:cs="Arial" w:eastAsia="Arial" w:hAnsi="Arial"/>
          <w:color w:val="374151"/>
          <w:sz w:val="22"/>
          <w:szCs w:val="22"/>
        </w:rPr>
        <w:t xml:space="preserve">Complete REST API documentation — all endpoints, request/response schemas, error codes, and integration examples for future government system integration</w:t>
      </w:r>
    </w:p>
    <w:p>
      <w:pPr>
        <w:pStyle w:val="ListParagraph"/>
        <w:numPr>
          <w:ilvl w:val="0"/>
          <w:numId w:val="2"/>
        </w:numPr>
        <w:spacing w:before="40" w:after="60" w:line="300"/>
      </w:pPr>
      <w:r>
        <w:rPr>
          <w:rFonts w:ascii="Arial" w:cs="Arial" w:eastAsia="Arial" w:hAnsi="Arial"/>
          <w:color w:val="374151"/>
          <w:sz w:val="22"/>
          <w:szCs w:val="22"/>
        </w:rPr>
        <w:t xml:space="preserve">System Administrator Manual (bilingual) — complete operational guide for government IT administrators</w:t>
      </w:r>
    </w:p>
    <w:p>
      <w:pPr>
        <w:pStyle w:val="ListParagraph"/>
        <w:numPr>
          <w:ilvl w:val="0"/>
          <w:numId w:val="2"/>
        </w:numPr>
        <w:spacing w:before="40" w:after="60" w:line="300"/>
      </w:pPr>
      <w:r>
        <w:rPr>
          <w:rFonts w:ascii="Arial" w:cs="Arial" w:eastAsia="Arial" w:hAnsi="Arial"/>
          <w:color w:val="374151"/>
          <w:sz w:val="22"/>
          <w:szCs w:val="22"/>
        </w:rPr>
        <w:t xml:space="preserve">Dealer User Guide (Bengali) — simple, icon-referenced guide for field dealers with minimal literacy requirements</w:t>
      </w:r>
    </w:p>
    <w:p>
      <w:pPr>
        <w:pStyle w:val="ListParagraph"/>
        <w:numPr>
          <w:ilvl w:val="0"/>
          <w:numId w:val="2"/>
        </w:numPr>
        <w:spacing w:before="40" w:after="60" w:line="300"/>
      </w:pPr>
      <w:r>
        <w:rPr>
          <w:rFonts w:ascii="Arial" w:cs="Arial" w:eastAsia="Arial" w:hAnsi="Arial"/>
          <w:color w:val="374151"/>
          <w:sz w:val="22"/>
          <w:szCs w:val="22"/>
        </w:rPr>
        <w:t xml:space="preserve">Beneficiary Rights and Process Guide (Bengali) — informational materials for food distribution recipients</w:t>
      </w:r>
    </w:p>
    <w:p>
      <w:pPr>
        <w:pStyle w:val="ListParagraph"/>
        <w:numPr>
          <w:ilvl w:val="0"/>
          <w:numId w:val="2"/>
        </w:numPr>
        <w:spacing w:before="40" w:after="60" w:line="300"/>
      </w:pPr>
      <w:r>
        <w:rPr>
          <w:rFonts w:ascii="Arial" w:cs="Arial" w:eastAsia="Arial" w:hAnsi="Arial"/>
          <w:color w:val="374151"/>
          <w:sz w:val="22"/>
          <w:szCs w:val="22"/>
        </w:rPr>
        <w:t xml:space="preserve">Inspector and Supervisor Manual — monitoring, inspection, and exception handling procedures</w:t>
      </w:r>
    </w:p>
    <w:p>
      <w:pPr>
        <w:pStyle w:val="ListParagraph"/>
        <w:numPr>
          <w:ilvl w:val="0"/>
          <w:numId w:val="2"/>
        </w:numPr>
        <w:spacing w:before="40" w:after="60" w:line="300"/>
      </w:pPr>
      <w:r>
        <w:rPr>
          <w:rFonts w:ascii="Arial" w:cs="Arial" w:eastAsia="Arial" w:hAnsi="Arial"/>
          <w:color w:val="374151"/>
          <w:sz w:val="22"/>
          <w:szCs w:val="22"/>
        </w:rPr>
        <w:t xml:space="preserve">On-site training workshops — government IT team, operational administrators, and dealer trainers</w:t>
      </w:r>
    </w:p>
    <w:p>
      <w:pPr>
        <w:spacing w:before="0" w:after="60"/>
      </w:pPr>
      <w:r>
        <w:t xml:space="preserve"/>
      </w:r>
    </w:p>
    <w:p>
      <w:pPr>
        <w:pStyle w:val="Heading2"/>
        <w:pBdr>
          <w:bottom w:val="single" w:color="0D9488" w:sz="4" w:space="4"/>
        </w:pBdr>
        <w:spacing w:before="320" w:after="160"/>
      </w:pPr>
      <w:r>
        <w:rPr>
          <w:rFonts w:ascii="Arial" w:cs="Arial" w:eastAsia="Arial" w:hAnsi="Arial"/>
          <w:b/>
          <w:bCs/>
          <w:color w:val="1E3A8A"/>
          <w:sz w:val="28"/>
          <w:szCs w:val="28"/>
        </w:rPr>
        <w:t xml:space="preserve">6.2 Bangladesh Context Integration</w:t>
      </w:r>
    </w:p>
    <w:p>
      <w:pPr>
        <w:spacing w:before="80" w:after="120" w:line="340"/>
        <w:jc w:val="left"/>
      </w:pPr>
      <w:r>
        <w:rPr>
          <w:rFonts w:ascii="Arial" w:cs="Arial" w:eastAsia="Arial" w:hAnsi="Arial"/>
          <w:b w:val="false"/>
          <w:bCs w:val="false"/>
          <w:i w:val="false"/>
          <w:iCs w:val="false"/>
          <w:color w:val="374151"/>
          <w:sz w:val="22"/>
          <w:szCs w:val="22"/>
        </w:rPr>
        <w:t xml:space="preserve">Effective implementation in Bangladesh requires deep sensitivity to local realities. Our architecture incorporates the following context-specific design decisions:</w:t>
      </w:r>
    </w:p>
    <w:p>
      <w:pPr>
        <w:pStyle w:val="Heading3"/>
        <w:spacing w:before="240" w:after="120"/>
      </w:pPr>
      <w:r>
        <w:rPr>
          <w:rFonts w:ascii="Arial" w:cs="Arial" w:eastAsia="Arial" w:hAnsi="Arial"/>
          <w:b/>
          <w:bCs/>
          <w:color w:val="0D9488"/>
          <w:sz w:val="24"/>
          <w:szCs w:val="24"/>
        </w:rPr>
        <w:t xml:space="preserve">Network Infrastructure</w:t>
      </w:r>
    </w:p>
    <w:p>
      <w:pPr>
        <w:pStyle w:val="ListParagraph"/>
        <w:numPr>
          <w:ilvl w:val="0"/>
          <w:numId w:val="2"/>
        </w:numPr>
        <w:spacing w:before="40" w:after="60" w:line="300"/>
      </w:pPr>
      <w:r>
        <w:rPr>
          <w:rFonts w:ascii="Arial" w:cs="Arial" w:eastAsia="Arial" w:hAnsi="Arial"/>
          <w:color w:val="374151"/>
          <w:sz w:val="22"/>
          <w:szCs w:val="22"/>
        </w:rPr>
        <w:t xml:space="preserve">All mobile operations designed for 2G (EDGE/GPRS) minimum — data per transaction minimized to &lt; 50KB</w:t>
      </w:r>
    </w:p>
    <w:p>
      <w:pPr>
        <w:pStyle w:val="ListParagraph"/>
        <w:numPr>
          <w:ilvl w:val="0"/>
          <w:numId w:val="2"/>
        </w:numPr>
        <w:spacing w:before="40" w:after="60" w:line="300"/>
      </w:pPr>
      <w:r>
        <w:rPr>
          <w:rFonts w:ascii="Arial" w:cs="Arial" w:eastAsia="Arial" w:hAnsi="Arial"/>
          <w:color w:val="374151"/>
          <w:sz w:val="22"/>
          <w:szCs w:val="22"/>
        </w:rPr>
        <w:t xml:space="preserve">Offline-first by default — online connectivity is treated as an enhancement, not a requirement</w:t>
      </w:r>
    </w:p>
    <w:p>
      <w:pPr>
        <w:pStyle w:val="ListParagraph"/>
        <w:numPr>
          <w:ilvl w:val="0"/>
          <w:numId w:val="2"/>
        </w:numPr>
        <w:spacing w:before="40" w:after="60" w:line="300"/>
      </w:pPr>
      <w:r>
        <w:rPr>
          <w:rFonts w:ascii="Arial" w:cs="Arial" w:eastAsia="Arial" w:hAnsi="Arial"/>
          <w:color w:val="374151"/>
          <w:sz w:val="22"/>
          <w:szCs w:val="22"/>
        </w:rPr>
        <w:t xml:space="preserve">SMS fallback notifications — dealer and supervisor alerts via SMS when internet is unavailable</w:t>
      </w:r>
    </w:p>
    <w:p>
      <w:pPr>
        <w:pStyle w:val="Heading3"/>
        <w:spacing w:before="240" w:after="120"/>
      </w:pPr>
      <w:r>
        <w:rPr>
          <w:rFonts w:ascii="Arial" w:cs="Arial" w:eastAsia="Arial" w:hAnsi="Arial"/>
          <w:b/>
          <w:bCs/>
          <w:color w:val="0D9488"/>
          <w:sz w:val="24"/>
          <w:szCs w:val="24"/>
        </w:rPr>
        <w:t xml:space="preserve">Language and Literacy</w:t>
      </w:r>
    </w:p>
    <w:p>
      <w:pPr>
        <w:pStyle w:val="ListParagraph"/>
        <w:numPr>
          <w:ilvl w:val="0"/>
          <w:numId w:val="2"/>
        </w:numPr>
        <w:spacing w:before="40" w:after="60" w:line="300"/>
      </w:pPr>
      <w:r>
        <w:rPr>
          <w:rFonts w:ascii="Arial" w:cs="Arial" w:eastAsia="Arial" w:hAnsi="Arial"/>
          <w:color w:val="374151"/>
          <w:sz w:val="22"/>
          <w:szCs w:val="22"/>
        </w:rPr>
        <w:t xml:space="preserve">Full Bengali language interface for all dealer-facing and beneficiary-facing components</w:t>
      </w:r>
    </w:p>
    <w:p>
      <w:pPr>
        <w:pStyle w:val="ListParagraph"/>
        <w:numPr>
          <w:ilvl w:val="0"/>
          <w:numId w:val="2"/>
        </w:numPr>
        <w:spacing w:before="40" w:after="60" w:line="300"/>
      </w:pPr>
      <w:r>
        <w:rPr>
          <w:rFonts w:ascii="Arial" w:cs="Arial" w:eastAsia="Arial" w:hAnsi="Arial"/>
          <w:color w:val="374151"/>
          <w:sz w:val="22"/>
          <w:szCs w:val="22"/>
        </w:rPr>
        <w:t xml:space="preserve">Icon-primary navigation design — operational flows readable without text literacy</w:t>
      </w:r>
    </w:p>
    <w:p>
      <w:pPr>
        <w:pStyle w:val="ListParagraph"/>
        <w:numPr>
          <w:ilvl w:val="0"/>
          <w:numId w:val="2"/>
        </w:numPr>
        <w:spacing w:before="40" w:after="60" w:line="300"/>
      </w:pPr>
      <w:r>
        <w:rPr>
          <w:rFonts w:ascii="Arial" w:cs="Arial" w:eastAsia="Arial" w:hAnsi="Arial"/>
          <w:color w:val="374151"/>
          <w:sz w:val="22"/>
          <w:szCs w:val="22"/>
        </w:rPr>
        <w:t xml:space="preserve">Audio feedback for critical actions — transaction confirmation, verification result, quota alerts</w:t>
      </w:r>
    </w:p>
    <w:p>
      <w:pPr>
        <w:pStyle w:val="Heading3"/>
        <w:spacing w:before="240" w:after="120"/>
      </w:pPr>
      <w:r>
        <w:rPr>
          <w:rFonts w:ascii="Arial" w:cs="Arial" w:eastAsia="Arial" w:hAnsi="Arial"/>
          <w:b/>
          <w:bCs/>
          <w:color w:val="0D9488"/>
          <w:sz w:val="24"/>
          <w:szCs w:val="24"/>
        </w:rPr>
        <w:t xml:space="preserve">Administrative Structure Alignment</w:t>
      </w:r>
    </w:p>
    <w:p>
      <w:pPr>
        <w:pStyle w:val="ListParagraph"/>
        <w:numPr>
          <w:ilvl w:val="0"/>
          <w:numId w:val="2"/>
        </w:numPr>
        <w:spacing w:before="40" w:after="60" w:line="300"/>
      </w:pPr>
      <w:r>
        <w:rPr>
          <w:rFonts w:ascii="Arial" w:cs="Arial" w:eastAsia="Arial" w:hAnsi="Arial"/>
          <w:color w:val="374151"/>
          <w:sz w:val="22"/>
          <w:szCs w:val="22"/>
        </w:rPr>
        <w:t xml:space="preserve">Hierarchical access control aligned with Bangladesh administrative structure: Division → District → Upazila → OMS Center</w:t>
      </w:r>
    </w:p>
    <w:p>
      <w:pPr>
        <w:pStyle w:val="ListParagraph"/>
        <w:numPr>
          <w:ilvl w:val="0"/>
          <w:numId w:val="2"/>
        </w:numPr>
        <w:spacing w:before="40" w:after="60" w:line="300"/>
      </w:pPr>
      <w:r>
        <w:rPr>
          <w:rFonts w:ascii="Arial" w:cs="Arial" w:eastAsia="Arial" w:hAnsi="Arial"/>
          <w:color w:val="374151"/>
          <w:sz w:val="22"/>
          <w:szCs w:val="22"/>
        </w:rPr>
        <w:t xml:space="preserve">Role-based dashboards — each level of the administrative hierarchy sees data relevant to their scope and authority</w:t>
      </w:r>
    </w:p>
    <w:p>
      <w:pPr>
        <w:pStyle w:val="ListParagraph"/>
        <w:numPr>
          <w:ilvl w:val="0"/>
          <w:numId w:val="2"/>
        </w:numPr>
        <w:spacing w:before="40" w:after="60" w:line="300"/>
      </w:pPr>
      <w:r>
        <w:rPr>
          <w:rFonts w:ascii="Arial" w:cs="Arial" w:eastAsia="Arial" w:hAnsi="Arial"/>
          <w:color w:val="374151"/>
          <w:sz w:val="22"/>
          <w:szCs w:val="22"/>
        </w:rPr>
        <w:t xml:space="preserve">Approval workflows aligned with existing government approval chains — no redesign of administrative process required</w:t>
      </w:r>
    </w:p>
    <w:p>
      <w:pPr>
        <w:pStyle w:val="Heading3"/>
        <w:spacing w:before="240" w:after="120"/>
      </w:pPr>
      <w:r>
        <w:rPr>
          <w:rFonts w:ascii="Arial" w:cs="Arial" w:eastAsia="Arial" w:hAnsi="Arial"/>
          <w:b/>
          <w:bCs/>
          <w:color w:val="0D9488"/>
          <w:sz w:val="24"/>
          <w:szCs w:val="24"/>
        </w:rPr>
        <w:t xml:space="preserve">Cultural and Operational Sensitivity</w:t>
      </w:r>
    </w:p>
    <w:p>
      <w:pPr>
        <w:pStyle w:val="ListParagraph"/>
        <w:numPr>
          <w:ilvl w:val="0"/>
          <w:numId w:val="2"/>
        </w:numPr>
        <w:spacing w:before="40" w:after="60" w:line="300"/>
      </w:pPr>
      <w:r>
        <w:rPr>
          <w:rFonts w:ascii="Arial" w:cs="Arial" w:eastAsia="Arial" w:hAnsi="Arial"/>
          <w:color w:val="374151"/>
          <w:sz w:val="22"/>
          <w:szCs w:val="22"/>
        </w:rPr>
        <w:t xml:space="preserve">Gender-sensitive design — face verification accommodates hijab and other head coverings</w:t>
      </w:r>
    </w:p>
    <w:p>
      <w:pPr>
        <w:pStyle w:val="ListParagraph"/>
        <w:numPr>
          <w:ilvl w:val="0"/>
          <w:numId w:val="2"/>
        </w:numPr>
        <w:spacing w:before="40" w:after="60" w:line="300"/>
      </w:pPr>
      <w:r>
        <w:rPr>
          <w:rFonts w:ascii="Arial" w:cs="Arial" w:eastAsia="Arial" w:hAnsi="Arial"/>
          <w:color w:val="374151"/>
          <w:sz w:val="22"/>
          <w:szCs w:val="22"/>
        </w:rPr>
        <w:t xml:space="preserve">Age consideration — beneficiary verification accommodates elderly population with age-appropriate face model tolerances</w:t>
      </w:r>
    </w:p>
    <w:p>
      <w:pPr>
        <w:pStyle w:val="ListParagraph"/>
        <w:numPr>
          <w:ilvl w:val="0"/>
          <w:numId w:val="2"/>
        </w:numPr>
        <w:spacing w:before="40" w:after="60" w:line="300"/>
      </w:pPr>
      <w:r>
        <w:rPr>
          <w:rFonts w:ascii="Arial" w:cs="Arial" w:eastAsia="Arial" w:hAnsi="Arial"/>
          <w:color w:val="374151"/>
          <w:sz w:val="22"/>
          <w:szCs w:val="22"/>
        </w:rPr>
        <w:t xml:space="preserve">Privacy by design — beneficiary biometric data stored with encryption and access limited to authorized verification processes only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8A" w:val="clear"/>
            <w:tcMar>
              <w:top w:type="dxa" w:w="400"/>
              <w:left w:type="dxa" w:w="400"/>
              <w:bottom w:type="dxa" w:w="400"/>
              <w:right w:type="dxa" w:w="400"/>
            </w:tcMar>
          </w:tcPr>
          <w:p>
            <w:pPr>
              <w:spacing w:before="0" w:after="80"/>
              <w:jc w:val="center"/>
            </w:pPr>
            <w:r>
              <w:rPr>
                <w:rFonts w:ascii="Arial" w:cs="Arial" w:eastAsia="Arial" w:hAnsi="Arial"/>
                <w:b/>
                <w:bCs/>
                <w:color w:val="FFFFFF"/>
                <w:sz w:val="48"/>
                <w:szCs w:val="48"/>
              </w:rPr>
              <w:t xml:space="preserve">SECTION 7</w:t>
            </w:r>
          </w:p>
          <w:p>
            <w:pPr>
              <w:spacing w:before="0" w:after="0"/>
              <w:jc w:val="center"/>
            </w:pPr>
            <w:r>
              <w:rPr>
                <w:rFonts w:ascii="Arial" w:cs="Arial" w:eastAsia="Arial" w:hAnsi="Arial"/>
                <w:i/>
                <w:iCs/>
                <w:color w:val="BFDBFE"/>
                <w:sz w:val="24"/>
                <w:szCs w:val="24"/>
              </w:rPr>
              <w:t xml:space="preserve">Investment &amp; Financial Projections</w:t>
            </w:r>
          </w:p>
        </w:tc>
      </w:tr>
    </w:tbl>
    <w:p>
      <w:pPr>
        <w:spacing w:before="0" w:after="60"/>
      </w:pPr>
      <w:r>
        <w:t xml:space="preserve"/>
      </w:r>
    </w:p>
    <w:p>
      <w:pPr>
        <w:pStyle w:val="Heading2"/>
        <w:pBdr>
          <w:bottom w:val="single" w:color="0D9488" w:sz="4" w:space="4"/>
        </w:pBdr>
        <w:spacing w:before="320" w:after="160"/>
      </w:pPr>
      <w:r>
        <w:rPr>
          <w:rFonts w:ascii="Arial" w:cs="Arial" w:eastAsia="Arial" w:hAnsi="Arial"/>
          <w:b/>
          <w:bCs/>
          <w:color w:val="1E3A8A"/>
          <w:sz w:val="28"/>
          <w:szCs w:val="28"/>
        </w:rPr>
        <w:t xml:space="preserve">7.1 Investment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none" w:color="FFFFFF" w:sz="0"/>
              <w:left w:val="none" w:color="FFFFFF" w:sz="0"/>
              <w:bottom w:val="none" w:color="FFFFFF" w:sz="0"/>
              <w:right w:val="none" w:color="FFFFFF" w:sz="0"/>
            </w:tcBorders>
            <w:shd w:fill="1E3A8A" w:val="clear"/>
            <w:tcMar>
              <w:top w:type="dxa" w:w="80"/>
              <w:left w:type="dxa" w:w="160"/>
              <w:bottom w:type="dxa" w:w="80"/>
              <w:right w:type="dxa" w:w="160"/>
            </w:tcMar>
          </w:tcPr>
          <w:p>
            <w:r>
              <w:rPr>
                <w:rFonts w:ascii="Arial" w:cs="Arial" w:eastAsia="Arial" w:hAnsi="Arial"/>
                <w:b/>
                <w:bCs/>
                <w:color w:val="FFFFFF"/>
                <w:sz w:val="20"/>
                <w:szCs w:val="20"/>
              </w:rPr>
              <w:t xml:space="preserve">Phase</w:t>
            </w:r>
          </w:p>
        </w:tc>
        <w:tc>
          <w:tcPr>
            <w:tcBorders>
              <w:top w:val="none" w:color="FFFFFF" w:sz="0"/>
              <w:left w:val="none" w:color="FFFFFF" w:sz="0"/>
              <w:bottom w:val="none" w:color="FFFFFF" w:sz="0"/>
              <w:right w:val="none" w:color="FFFFFF" w:sz="0"/>
            </w:tcBorders>
            <w:shd w:fill="1E3A8A" w:val="clear"/>
            <w:tcMar>
              <w:top w:type="dxa" w:w="80"/>
              <w:left w:type="dxa" w:w="160"/>
              <w:bottom w:type="dxa" w:w="80"/>
              <w:right w:type="dxa" w:w="160"/>
            </w:tcMar>
          </w:tcPr>
          <w:p>
            <w:r>
              <w:rPr>
                <w:rFonts w:ascii="Arial" w:cs="Arial" w:eastAsia="Arial" w:hAnsi="Arial"/>
                <w:b/>
                <w:bCs/>
                <w:color w:val="FFFFFF"/>
                <w:sz w:val="20"/>
                <w:szCs w:val="20"/>
              </w:rPr>
              <w:t xml:space="preserve">Investment Range</w:t>
            </w:r>
          </w:p>
        </w:tc>
        <w:tc>
          <w:tcPr>
            <w:tcBorders>
              <w:top w:val="none" w:color="FFFFFF" w:sz="0"/>
              <w:left w:val="none" w:color="FFFFFF" w:sz="0"/>
              <w:bottom w:val="none" w:color="FFFFFF" w:sz="0"/>
              <w:right w:val="none" w:color="FFFFFF" w:sz="0"/>
            </w:tcBorders>
            <w:shd w:fill="1E3A8A" w:val="clear"/>
            <w:tcMar>
              <w:top w:type="dxa" w:w="80"/>
              <w:left w:type="dxa" w:w="160"/>
              <w:bottom w:type="dxa" w:w="80"/>
              <w:right w:type="dxa" w:w="160"/>
            </w:tcMar>
          </w:tcPr>
          <w:p>
            <w:r>
              <w:rPr>
                <w:rFonts w:ascii="Arial" w:cs="Arial" w:eastAsia="Arial" w:hAnsi="Arial"/>
                <w:b/>
                <w:bCs/>
                <w:color w:val="FFFFFF"/>
                <w:sz w:val="20"/>
                <w:szCs w:val="20"/>
              </w:rPr>
              <w:t xml:space="preserve">Primary Costs</w:t>
            </w:r>
          </w:p>
        </w:tc>
      </w:tr>
      <w:tr>
        <w:tc>
          <w:tcPr>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60"/>
            </w:tcMar>
          </w:tcPr>
          <w:p>
            <w:r>
              <w:rPr>
                <w:rFonts w:ascii="Arial" w:cs="Arial" w:eastAsia="Arial" w:hAnsi="Arial"/>
                <w:b/>
                <w:bCs/>
                <w:color w:val="1E3A8A"/>
                <w:sz w:val="19"/>
                <w:szCs w:val="19"/>
              </w:rPr>
              <w:t xml:space="preserve">MVP Development (3 months)</w:t>
            </w:r>
          </w:p>
        </w:tc>
        <w:tc>
          <w:tcPr>
            <w:tcBorders>
              <w:top w:val="single" w:color="E5E7EB" w:sz="1"/>
              <w:left w:val="single" w:color="E5E7EB" w:sz="1"/>
              <w:bottom w:val="single" w:color="E5E7EB" w:sz="1"/>
              <w:right w:val="single" w:color="E5E7EB" w:sz="1"/>
            </w:tcBorders>
            <w:shd w:fill="CCFBF1" w:val="clear"/>
            <w:tcMar>
              <w:top w:type="dxa" w:w="80"/>
              <w:left w:type="dxa" w:w="160"/>
              <w:bottom w:type="dxa" w:w="80"/>
              <w:right w:type="dxa" w:w="160"/>
            </w:tcMar>
          </w:tcPr>
          <w:p>
            <w:r>
              <w:rPr>
                <w:rFonts w:ascii="Arial" w:cs="Arial" w:eastAsia="Arial" w:hAnsi="Arial"/>
                <w:b/>
                <w:bCs/>
                <w:color w:val="0D9488"/>
                <w:sz w:val="19"/>
                <w:szCs w:val="19"/>
              </w:rPr>
              <w:t xml:space="preserve">$50,000 – $75,000</w:t>
            </w:r>
          </w:p>
        </w:tc>
        <w:tc>
          <w:tcPr>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19"/>
                <w:szCs w:val="19"/>
              </w:rPr>
              <w:t xml:space="preserve">Developer salaries, infrastructure setup, biometric model licensing, QA</w:t>
            </w:r>
          </w:p>
        </w:tc>
      </w:tr>
      <w:tr>
        <w:tc>
          <w:tcPr>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3A8A"/>
                <w:sz w:val="19"/>
                <w:szCs w:val="19"/>
              </w:rPr>
              <w:t xml:space="preserve">Pilot Deployment (3 months)</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0D9488"/>
                <w:sz w:val="19"/>
                <w:szCs w:val="19"/>
              </w:rPr>
              <w:t xml:space="preserve">$30,000 – $50,000</w:t>
            </w:r>
          </w:p>
        </w:tc>
        <w:tc>
          <w:tcPr>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19"/>
                <w:szCs w:val="19"/>
              </w:rPr>
              <w:t xml:space="preserve">Device procurement support, training delivery, field support, iteration</w:t>
            </w:r>
          </w:p>
        </w:tc>
      </w:tr>
      <w:tr>
        <w:tc>
          <w:tcPr>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60"/>
            </w:tcMar>
          </w:tcPr>
          <w:p>
            <w:r>
              <w:rPr>
                <w:rFonts w:ascii="Arial" w:cs="Arial" w:eastAsia="Arial" w:hAnsi="Arial"/>
                <w:b/>
                <w:bCs/>
                <w:color w:val="1E3A8A"/>
                <w:sz w:val="19"/>
                <w:szCs w:val="19"/>
              </w:rPr>
              <w:t xml:space="preserve">National Scale-Up (12 months)</w:t>
            </w:r>
          </w:p>
        </w:tc>
        <w:tc>
          <w:tcPr>
            <w:tcBorders>
              <w:top w:val="single" w:color="E5E7EB" w:sz="1"/>
              <w:left w:val="single" w:color="E5E7EB" w:sz="1"/>
              <w:bottom w:val="single" w:color="E5E7EB" w:sz="1"/>
              <w:right w:val="single" w:color="E5E7EB" w:sz="1"/>
            </w:tcBorders>
            <w:shd w:fill="CCFBF1" w:val="clear"/>
            <w:tcMar>
              <w:top w:type="dxa" w:w="80"/>
              <w:left w:type="dxa" w:w="160"/>
              <w:bottom w:type="dxa" w:w="80"/>
              <w:right w:type="dxa" w:w="160"/>
            </w:tcMar>
          </w:tcPr>
          <w:p>
            <w:r>
              <w:rPr>
                <w:rFonts w:ascii="Arial" w:cs="Arial" w:eastAsia="Arial" w:hAnsi="Arial"/>
                <w:b/>
                <w:bCs/>
                <w:color w:val="0D9488"/>
                <w:sz w:val="19"/>
                <w:szCs w:val="19"/>
              </w:rPr>
              <w:t xml:space="preserve">$200,000 – $300,000</w:t>
            </w:r>
          </w:p>
        </w:tc>
        <w:tc>
          <w:tcPr>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19"/>
                <w:szCs w:val="19"/>
              </w:rPr>
              <w:t xml:space="preserve">Infrastructure scaling, rollout support, regional training, full documentation</w:t>
            </w:r>
          </w:p>
        </w:tc>
      </w:tr>
      <w:tr>
        <w:tc>
          <w:tcPr>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1E3A8A"/>
                <w:sz w:val="19"/>
                <w:szCs w:val="19"/>
              </w:rPr>
              <w:t xml:space="preserve">Annual Operating Cost</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0D9488"/>
                <w:sz w:val="19"/>
                <w:szCs w:val="19"/>
              </w:rPr>
              <w:t xml:space="preserve">$100,000 – $150,000</w:t>
            </w:r>
          </w:p>
        </w:tc>
        <w:tc>
          <w:tcPr>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374151"/>
                <w:sz w:val="19"/>
                <w:szCs w:val="19"/>
              </w:rPr>
              <w:t xml:space="preserve">Infrastructure, maintenance, support, periodic feature updates</w:t>
            </w:r>
          </w:p>
        </w:tc>
      </w:tr>
    </w:tbl>
    <w:p>
      <w:pPr>
        <w:spacing w:before="0" w:after="60"/>
      </w:pPr>
      <w:r>
        <w:t xml:space="preserve"/>
      </w:r>
    </w:p>
    <w:p>
      <w:pPr>
        <w:pStyle w:val="Heading2"/>
        <w:pBdr>
          <w:bottom w:val="single" w:color="0D9488" w:sz="4" w:space="4"/>
        </w:pBdr>
        <w:spacing w:before="320" w:after="160"/>
      </w:pPr>
      <w:r>
        <w:rPr>
          <w:rFonts w:ascii="Arial" w:cs="Arial" w:eastAsia="Arial" w:hAnsi="Arial"/>
          <w:b/>
          <w:bCs/>
          <w:color w:val="1E3A8A"/>
          <w:sz w:val="28"/>
          <w:szCs w:val="28"/>
        </w:rPr>
        <w:t xml:space="preserve">7.2 Return on Investment</w:t>
      </w:r>
    </w:p>
    <w:p>
      <w:pPr>
        <w:spacing w:before="80" w:after="120" w:line="340"/>
        <w:jc w:val="left"/>
      </w:pPr>
      <w:r>
        <w:rPr>
          <w:rFonts w:ascii="Arial" w:cs="Arial" w:eastAsia="Arial" w:hAnsi="Arial"/>
          <w:b w:val="false"/>
          <w:bCs w:val="false"/>
          <w:i w:val="false"/>
          <w:iCs w:val="false"/>
          <w:color w:val="374151"/>
          <w:sz w:val="22"/>
          <w:szCs w:val="22"/>
        </w:rPr>
        <w:t xml:space="preserve">The financial case for this investment is compelling and conservative. Current estimates suggest that OMS program leakage — primarily from duplicate lifting and quota misuse — represents 40–50% of total distribution in areas without verification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374151"/>
                <w:sz w:val="20"/>
                <w:szCs w:val="20"/>
              </w:rPr>
              <w:t xml:space="preserve">Annual Leakage Value (estimated)</w:t>
            </w:r>
          </w:p>
        </w:tc>
        <w:tc>
          <w:tcPr>
            <w:tcBorders>
              <w:top w:val="single" w:color="E5E7EB" w:sz="1"/>
              <w:left w:val="single" w:color="E5E7EB" w:sz="1"/>
              <w:bottom w:val="single" w:color="E5E7EB" w:sz="1"/>
              <w:right w:val="single" w:color="E5E7EB" w:sz="1"/>
            </w:tcBorders>
            <w:shd w:fill="CCFBF1" w:val="clear"/>
            <w:tcMar>
              <w:top w:type="dxa" w:w="80"/>
              <w:left w:type="dxa" w:w="160"/>
              <w:bottom w:type="dxa" w:w="80"/>
              <w:right w:type="dxa" w:w="160"/>
            </w:tcMar>
          </w:tcPr>
          <w:p>
            <w:r>
              <w:rPr>
                <w:rFonts w:ascii="Arial" w:cs="Arial" w:eastAsia="Arial" w:hAnsi="Arial"/>
                <w:b/>
                <w:bCs/>
                <w:color w:val="0D9488"/>
                <w:sz w:val="20"/>
                <w:szCs w:val="20"/>
              </w:rPr>
              <w:t xml:space="preserve">$120,000,000 – $150,000,000</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374151"/>
                <w:sz w:val="20"/>
                <w:szCs w:val="20"/>
              </w:rPr>
              <w:t xml:space="preserve">Projected Leakage Reduction (40%)</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0D9488"/>
                <w:sz w:val="20"/>
                <w:szCs w:val="20"/>
              </w:rPr>
              <w:t xml:space="preserve">$48,000,000 – $60,000,000/year</w:t>
            </w:r>
          </w:p>
        </w:tc>
      </w:tr>
      <w:tr>
        <w:tc>
          <w:tcPr>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374151"/>
                <w:sz w:val="20"/>
                <w:szCs w:val="20"/>
              </w:rPr>
              <w:t xml:space="preserve">Total Platform Investment (3 years)</w:t>
            </w:r>
          </w:p>
        </w:tc>
        <w:tc>
          <w:tcPr>
            <w:tcBorders>
              <w:top w:val="single" w:color="E5E7EB" w:sz="1"/>
              <w:left w:val="single" w:color="E5E7EB" w:sz="1"/>
              <w:bottom w:val="single" w:color="E5E7EB" w:sz="1"/>
              <w:right w:val="single" w:color="E5E7EB" w:sz="1"/>
            </w:tcBorders>
            <w:shd w:fill="CCFBF1" w:val="clear"/>
            <w:tcMar>
              <w:top w:type="dxa" w:w="80"/>
              <w:left w:type="dxa" w:w="160"/>
              <w:bottom w:type="dxa" w:w="80"/>
              <w:right w:type="dxa" w:w="160"/>
            </w:tcMar>
          </w:tcPr>
          <w:p>
            <w:r>
              <w:rPr>
                <w:rFonts w:ascii="Arial" w:cs="Arial" w:eastAsia="Arial" w:hAnsi="Arial"/>
                <w:b/>
                <w:bCs/>
                <w:color w:val="0D9488"/>
                <w:sz w:val="20"/>
                <w:szCs w:val="20"/>
              </w:rPr>
              <w:t xml:space="preserve">$380,000 – $575,000</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374151"/>
                <w:sz w:val="20"/>
                <w:szCs w:val="20"/>
              </w:rPr>
              <w:t xml:space="preserve">Net 3-Year Benefit</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0D9488"/>
                <w:sz w:val="20"/>
                <w:szCs w:val="20"/>
              </w:rPr>
              <w:t xml:space="preserve">$143,000,000 – $179,000,000</w:t>
            </w:r>
          </w:p>
        </w:tc>
      </w:tr>
      <w:tr>
        <w:tc>
          <w:tcPr>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bCs/>
                <w:color w:val="374151"/>
                <w:sz w:val="20"/>
                <w:szCs w:val="20"/>
              </w:rPr>
              <w:t xml:space="preserve">Return on Investment</w:t>
            </w:r>
          </w:p>
        </w:tc>
        <w:tc>
          <w:tcPr>
            <w:tcBorders>
              <w:top w:val="single" w:color="E5E7EB" w:sz="1"/>
              <w:left w:val="single" w:color="E5E7EB" w:sz="1"/>
              <w:bottom w:val="single" w:color="E5E7EB" w:sz="1"/>
              <w:right w:val="single" w:color="E5E7EB" w:sz="1"/>
            </w:tcBorders>
            <w:shd w:fill="CCFBF1" w:val="clear"/>
            <w:tcMar>
              <w:top w:type="dxa" w:w="80"/>
              <w:left w:type="dxa" w:w="160"/>
              <w:bottom w:type="dxa" w:w="80"/>
              <w:right w:type="dxa" w:w="160"/>
            </w:tcMar>
          </w:tcPr>
          <w:p>
            <w:r>
              <w:rPr>
                <w:rFonts w:ascii="Arial" w:cs="Arial" w:eastAsia="Arial" w:hAnsi="Arial"/>
                <w:b/>
                <w:bCs/>
                <w:color w:val="0D9488"/>
                <w:sz w:val="20"/>
                <w:szCs w:val="20"/>
              </w:rPr>
              <w:t xml:space="preserve">&gt; 300%</w:t>
            </w:r>
          </w:p>
        </w:tc>
      </w:tr>
      <w:tr>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374151"/>
                <w:sz w:val="20"/>
                <w:szCs w:val="20"/>
              </w:rPr>
              <w:t xml:space="preserve">Payback Period</w:t>
            </w:r>
          </w:p>
        </w:tc>
        <w:tc>
          <w:tcPr>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0D9488"/>
                <w:sz w:val="20"/>
                <w:szCs w:val="20"/>
              </w:rPr>
              <w:t xml:space="preserve">&lt; 2 years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8A" w:val="clear"/>
            <w:tcMar>
              <w:top w:type="dxa" w:w="400"/>
              <w:left w:type="dxa" w:w="400"/>
              <w:bottom w:type="dxa" w:w="400"/>
              <w:right w:type="dxa" w:w="400"/>
            </w:tcMar>
          </w:tcPr>
          <w:p>
            <w:pPr>
              <w:spacing w:before="0" w:after="80"/>
              <w:jc w:val="center"/>
            </w:pPr>
            <w:r>
              <w:rPr>
                <w:rFonts w:ascii="Arial" w:cs="Arial" w:eastAsia="Arial" w:hAnsi="Arial"/>
                <w:b/>
                <w:bCs/>
                <w:color w:val="FFFFFF"/>
                <w:sz w:val="48"/>
                <w:szCs w:val="48"/>
              </w:rPr>
              <w:t xml:space="preserve">SECTION 8</w:t>
            </w:r>
          </w:p>
          <w:p>
            <w:pPr>
              <w:spacing w:before="0" w:after="0"/>
              <w:jc w:val="center"/>
            </w:pPr>
            <w:r>
              <w:rPr>
                <w:rFonts w:ascii="Arial" w:cs="Arial" w:eastAsia="Arial" w:hAnsi="Arial"/>
                <w:i/>
                <w:iCs/>
                <w:color w:val="BFDBFE"/>
                <w:sz w:val="24"/>
                <w:szCs w:val="24"/>
              </w:rPr>
              <w:t xml:space="preserve">Why Choose Us</w:t>
            </w:r>
          </w:p>
        </w:tc>
      </w:tr>
    </w:tbl>
    <w:p>
      <w:pPr>
        <w:spacing w:before="0" w:after="60"/>
      </w:pPr>
      <w:r>
        <w:t xml:space="preserve"/>
      </w:r>
    </w:p>
    <w:p>
      <w:pPr>
        <w:pStyle w:val="Heading2"/>
        <w:pBdr>
          <w:bottom w:val="single" w:color="0D9488" w:sz="4" w:space="4"/>
        </w:pBdr>
        <w:spacing w:before="320" w:after="160"/>
      </w:pPr>
      <w:r>
        <w:rPr>
          <w:rFonts w:ascii="Arial" w:cs="Arial" w:eastAsia="Arial" w:hAnsi="Arial"/>
          <w:b/>
          <w:bCs/>
          <w:color w:val="1E3A8A"/>
          <w:sz w:val="28"/>
          <w:szCs w:val="28"/>
        </w:rPr>
        <w:t xml:space="preserve">8.1 Our Competitive Positioning</w:t>
      </w:r>
    </w:p>
    <w:p>
      <w:pPr>
        <w:spacing w:before="80" w:after="120" w:line="340"/>
        <w:jc w:val="left"/>
      </w:pPr>
      <w:r>
        <w:rPr>
          <w:rFonts w:ascii="Arial" w:cs="Arial" w:eastAsia="Arial" w:hAnsi="Arial"/>
          <w:b w:val="false"/>
          <w:bCs w:val="false"/>
          <w:i w:val="false"/>
          <w:iCs w:val="false"/>
          <w:color w:val="374151"/>
          <w:sz w:val="22"/>
          <w:szCs w:val="22"/>
        </w:rPr>
        <w:t xml:space="preserve">Government procurement evaluators assess five dimensions when selecting a vendor for a project of this scale and sensitivity. We address each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E5E7EB" w:sz="1"/>
              <w:left w:val="single" w:color="E5E7EB" w:sz="1"/>
              <w:bottom w:val="single" w:color="E5E7EB" w:sz="1"/>
              <w:right w:val="single" w:color="E5E7EB" w:sz="1"/>
            </w:tcBorders>
            <w:shd w:fill="1E3A8A" w:val="clear"/>
            <w:tcMar>
              <w:top w:type="dxa" w:w="120"/>
              <w:left w:type="dxa" w:w="160"/>
              <w:bottom w:type="dxa" w:w="120"/>
              <w:right w:type="dxa" w:w="160"/>
            </w:tcMar>
            <w:vAlign w:val="center"/>
          </w:tcPr>
          <w:p>
            <w:r>
              <w:rPr>
                <w:rFonts w:ascii="Arial" w:cs="Arial" w:eastAsia="Arial" w:hAnsi="Arial"/>
                <w:b/>
                <w:bCs/>
                <w:color w:val="FFFFFF"/>
                <w:sz w:val="20"/>
                <w:szCs w:val="20"/>
              </w:rPr>
              <w:t xml:space="preserve">Governance Understanding</w:t>
            </w:r>
          </w:p>
        </w:tc>
        <w:tc>
          <w:tcPr>
            <w:tcBorders>
              <w:top w:val="single" w:color="E5E7EB" w:sz="1"/>
              <w:left w:val="single" w:color="E5E7EB" w:sz="1"/>
              <w:bottom w:val="single" w:color="E5E7EB" w:sz="1"/>
              <w:right w:val="single" w:color="E5E7EB" w:sz="1"/>
            </w:tcBorders>
            <w:tcMar>
              <w:top w:type="dxa" w:w="120"/>
              <w:left w:type="dxa" w:w="200"/>
              <w:bottom w:type="dxa" w:w="120"/>
              <w:right w:type="dxa" w:w="160"/>
            </w:tcMar>
          </w:tcPr>
          <w:p>
            <w:r>
              <w:rPr>
                <w:rFonts w:ascii="Arial" w:cs="Arial" w:eastAsia="Arial" w:hAnsi="Arial"/>
                <w:color w:val="374151"/>
                <w:sz w:val="20"/>
                <w:szCs w:val="20"/>
              </w:rPr>
              <w:t xml:space="preserve">We read the SRS not as a feature list but as a governance challenge. Our architecture is designed to make leakage operationally impossible, not just technically difficult. This distinction is the difference between a software vendor and a governance partner.</w:t>
            </w:r>
          </w:p>
        </w:tc>
      </w:tr>
      <w:tr>
        <w:tc>
          <w:tcPr>
            <w:tcBorders>
              <w:top w:val="single" w:color="E5E7EB" w:sz="1"/>
              <w:left w:val="single" w:color="E5E7EB" w:sz="1"/>
              <w:bottom w:val="single" w:color="E5E7EB" w:sz="1"/>
              <w:right w:val="single" w:color="E5E7EB" w:sz="1"/>
            </w:tcBorders>
            <w:shd w:fill="0D9488" w:val="clear"/>
            <w:tcMar>
              <w:top w:type="dxa" w:w="120"/>
              <w:left w:type="dxa" w:w="160"/>
              <w:bottom w:type="dxa" w:w="120"/>
              <w:right w:type="dxa" w:w="160"/>
            </w:tcMar>
            <w:vAlign w:val="center"/>
          </w:tcPr>
          <w:p>
            <w:r>
              <w:rPr>
                <w:rFonts w:ascii="Arial" w:cs="Arial" w:eastAsia="Arial" w:hAnsi="Arial"/>
                <w:b/>
                <w:bCs/>
                <w:color w:val="FFFFFF"/>
                <w:sz w:val="20"/>
                <w:szCs w:val="20"/>
              </w:rPr>
              <w:t xml:space="preserve">Field Realism</w:t>
            </w:r>
          </w:p>
        </w:tc>
        <w:tc>
          <w:tcPr>
            <w:tcBorders>
              <w:top w:val="single" w:color="E5E7EB" w:sz="1"/>
              <w:left w:val="single" w:color="E5E7EB" w:sz="1"/>
              <w:bottom w:val="single" w:color="E5E7EB" w:sz="1"/>
              <w:right w:val="single" w:color="E5E7EB" w:sz="1"/>
            </w:tcBorders>
            <w:tcMar>
              <w:top w:type="dxa" w:w="120"/>
              <w:left w:type="dxa" w:w="200"/>
              <w:bottom w:type="dxa" w:w="120"/>
              <w:right w:type="dxa" w:w="160"/>
            </w:tcMar>
          </w:tcPr>
          <w:p>
            <w:r>
              <w:rPr>
                <w:rFonts w:ascii="Arial" w:cs="Arial" w:eastAsia="Arial" w:hAnsi="Arial"/>
                <w:color w:val="374151"/>
                <w:sz w:val="20"/>
                <w:szCs w:val="20"/>
              </w:rPr>
              <w:t xml:space="preserve">Our solution is designed for Bangladesh's actual connectivity and literacy conditions — not idealized scenarios. Offline-first is not a feature toggle; it is our default operating mode. This is what separates proposals that will work from proposals that sound good.</w:t>
            </w:r>
          </w:p>
        </w:tc>
      </w:tr>
      <w:tr>
        <w:tc>
          <w:tcPr>
            <w:tcBorders>
              <w:top w:val="single" w:color="E5E7EB" w:sz="1"/>
              <w:left w:val="single" w:color="E5E7EB" w:sz="1"/>
              <w:bottom w:val="single" w:color="E5E7EB" w:sz="1"/>
              <w:right w:val="single" w:color="E5E7EB" w:sz="1"/>
            </w:tcBorders>
            <w:shd w:fill="1E3A8A" w:val="clear"/>
            <w:tcMar>
              <w:top w:type="dxa" w:w="120"/>
              <w:left w:type="dxa" w:w="160"/>
              <w:bottom w:type="dxa" w:w="120"/>
              <w:right w:type="dxa" w:w="160"/>
            </w:tcMar>
            <w:vAlign w:val="center"/>
          </w:tcPr>
          <w:p>
            <w:r>
              <w:rPr>
                <w:rFonts w:ascii="Arial" w:cs="Arial" w:eastAsia="Arial" w:hAnsi="Arial"/>
                <w:b/>
                <w:bCs/>
                <w:color w:val="FFFFFF"/>
                <w:sz w:val="20"/>
                <w:szCs w:val="20"/>
              </w:rPr>
              <w:t xml:space="preserve">Technical Maturity</w:t>
            </w:r>
          </w:p>
        </w:tc>
        <w:tc>
          <w:tcPr>
            <w:tcBorders>
              <w:top w:val="single" w:color="E5E7EB" w:sz="1"/>
              <w:left w:val="single" w:color="E5E7EB" w:sz="1"/>
              <w:bottom w:val="single" w:color="E5E7EB" w:sz="1"/>
              <w:right w:val="single" w:color="E5E7EB" w:sz="1"/>
            </w:tcBorders>
            <w:tcMar>
              <w:top w:type="dxa" w:w="120"/>
              <w:left w:type="dxa" w:w="200"/>
              <w:bottom w:type="dxa" w:w="120"/>
              <w:right w:type="dxa" w:w="160"/>
            </w:tcMar>
          </w:tcPr>
          <w:p>
            <w:r>
              <w:rPr>
                <w:rFonts w:ascii="Arial" w:cs="Arial" w:eastAsia="Arial" w:hAnsi="Arial"/>
                <w:color w:val="374151"/>
                <w:sz w:val="20"/>
                <w:szCs w:val="20"/>
              </w:rPr>
              <w:t xml:space="preserve">Our identification and proposed resolution of the biometric contradiction in the SRS demonstrates the kind of careful technical reading that prevents expensive misalignments later. We noticed what most vendors will miss.</w:t>
            </w:r>
          </w:p>
        </w:tc>
      </w:tr>
      <w:tr>
        <w:tc>
          <w:tcPr>
            <w:tcBorders>
              <w:top w:val="single" w:color="E5E7EB" w:sz="1"/>
              <w:left w:val="single" w:color="E5E7EB" w:sz="1"/>
              <w:bottom w:val="single" w:color="E5E7EB" w:sz="1"/>
              <w:right w:val="single" w:color="E5E7EB" w:sz="1"/>
            </w:tcBorders>
            <w:shd w:fill="0D9488" w:val="clear"/>
            <w:tcMar>
              <w:top w:type="dxa" w:w="120"/>
              <w:left w:type="dxa" w:w="160"/>
              <w:bottom w:type="dxa" w:w="120"/>
              <w:right w:type="dxa" w:w="160"/>
            </w:tcMar>
            <w:vAlign w:val="center"/>
          </w:tcPr>
          <w:p>
            <w:r>
              <w:rPr>
                <w:rFonts w:ascii="Arial" w:cs="Arial" w:eastAsia="Arial" w:hAnsi="Arial"/>
                <w:b/>
                <w:bCs/>
                <w:color w:val="FFFFFF"/>
                <w:sz w:val="20"/>
                <w:szCs w:val="20"/>
              </w:rPr>
              <w:t xml:space="preserve">Long-Term Ownership</w:t>
            </w:r>
          </w:p>
        </w:tc>
        <w:tc>
          <w:tcPr>
            <w:tcBorders>
              <w:top w:val="single" w:color="E5E7EB" w:sz="1"/>
              <w:left w:val="single" w:color="E5E7EB" w:sz="1"/>
              <w:bottom w:val="single" w:color="E5E7EB" w:sz="1"/>
              <w:right w:val="single" w:color="E5E7EB" w:sz="1"/>
            </w:tcBorders>
            <w:tcMar>
              <w:top w:type="dxa" w:w="120"/>
              <w:left w:type="dxa" w:w="200"/>
              <w:bottom w:type="dxa" w:w="120"/>
              <w:right w:type="dxa" w:w="160"/>
            </w:tcMar>
          </w:tcPr>
          <w:p>
            <w:r>
              <w:rPr>
                <w:rFonts w:ascii="Arial" w:cs="Arial" w:eastAsia="Arial" w:hAnsi="Arial"/>
                <w:color w:val="374151"/>
                <w:sz w:val="20"/>
                <w:szCs w:val="20"/>
              </w:rPr>
              <w:t xml:space="preserve">The SRS asks for source code handover, comments, and developer manuals for a reason: the government wants to own this system, not rent it. Our complete handover commitment is not a concession — it is our strength.</w:t>
            </w:r>
          </w:p>
        </w:tc>
      </w:tr>
      <w:tr>
        <w:tc>
          <w:tcPr>
            <w:tcBorders>
              <w:top w:val="single" w:color="E5E7EB" w:sz="1"/>
              <w:left w:val="single" w:color="E5E7EB" w:sz="1"/>
              <w:bottom w:val="single" w:color="E5E7EB" w:sz="1"/>
              <w:right w:val="single" w:color="E5E7EB" w:sz="1"/>
            </w:tcBorders>
            <w:shd w:fill="1E3A8A" w:val="clear"/>
            <w:tcMar>
              <w:top w:type="dxa" w:w="120"/>
              <w:left w:type="dxa" w:w="160"/>
              <w:bottom w:type="dxa" w:w="120"/>
              <w:right w:type="dxa" w:w="160"/>
            </w:tcMar>
            <w:vAlign w:val="center"/>
          </w:tcPr>
          <w:p>
            <w:r>
              <w:rPr>
                <w:rFonts w:ascii="Arial" w:cs="Arial" w:eastAsia="Arial" w:hAnsi="Arial"/>
                <w:b/>
                <w:bCs/>
                <w:color w:val="FFFFFF"/>
                <w:sz w:val="20"/>
                <w:szCs w:val="20"/>
              </w:rPr>
              <w:t xml:space="preserve">Risk Mitigation</w:t>
            </w:r>
          </w:p>
        </w:tc>
        <w:tc>
          <w:tcPr>
            <w:tcBorders>
              <w:top w:val="single" w:color="E5E7EB" w:sz="1"/>
              <w:left w:val="single" w:color="E5E7EB" w:sz="1"/>
              <w:bottom w:val="single" w:color="E5E7EB" w:sz="1"/>
              <w:right w:val="single" w:color="E5E7EB" w:sz="1"/>
            </w:tcBorders>
            <w:tcMar>
              <w:top w:type="dxa" w:w="120"/>
              <w:left w:type="dxa" w:w="200"/>
              <w:bottom w:type="dxa" w:w="120"/>
              <w:right w:type="dxa" w:w="160"/>
            </w:tcMar>
          </w:tcPr>
          <w:p>
            <w:r>
              <w:rPr>
                <w:rFonts w:ascii="Arial" w:cs="Arial" w:eastAsia="Arial" w:hAnsi="Arial"/>
                <w:color w:val="374151"/>
                <w:sz w:val="20"/>
                <w:szCs w:val="20"/>
              </w:rPr>
              <w:t xml:space="preserve">Our phased approach — MVP, Pilot, National Scale — is not a standard consulting template. It is a risk management strategy. Each phase validates assumptions before wider commitment, protecting the government's investment.</w:t>
            </w:r>
          </w:p>
        </w:tc>
      </w:tr>
    </w:tbl>
    <w:p>
      <w:pPr>
        <w:spacing w:before="0" w:after="60"/>
      </w:pPr>
      <w:r>
        <w:t xml:space="preserve"/>
      </w:r>
    </w:p>
    <w:p>
      <w:pPr>
        <w:pStyle w:val="Heading2"/>
        <w:pBdr>
          <w:bottom w:val="single" w:color="0D9488" w:sz="4" w:space="4"/>
        </w:pBdr>
        <w:spacing w:before="320" w:after="160"/>
      </w:pPr>
      <w:r>
        <w:rPr>
          <w:rFonts w:ascii="Arial" w:cs="Arial" w:eastAsia="Arial" w:hAnsi="Arial"/>
          <w:b/>
          <w:bCs/>
          <w:color w:val="1E3A8A"/>
          <w:sz w:val="28"/>
          <w:szCs w:val="28"/>
        </w:rPr>
        <w:t xml:space="preserve">8.2 Our Closing Commitment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D9488" w:sz="1"/>
              <w:left w:val="single" w:color="0D9488" w:sz="12"/>
              <w:bottom w:val="single" w:color="0D9488" w:sz="1"/>
              <w:right w:val="none" w:color="FFFFFF" w:sz="0"/>
            </w:tcBorders>
            <w:shd w:fill="DBEAFE" w:val="clear"/>
            <w:tcMar>
              <w:top w:type="dxa" w:w="120"/>
              <w:left w:type="dxa" w:w="200"/>
              <w:bottom w:type="dxa" w:w="120"/>
              <w:right w:type="dxa" w:w="200"/>
            </w:tcMar>
          </w:tcPr>
          <w:p>
            <w:pPr>
              <w:spacing w:before="0" w:after="80"/>
            </w:pPr>
            <w:r>
              <w:rPr>
                <w:rFonts w:ascii="Arial" w:cs="Arial" w:eastAsia="Arial" w:hAnsi="Arial"/>
                <w:b/>
                <w:bCs/>
                <w:color w:val="1E3A8A"/>
                <w:sz w:val="22"/>
                <w:szCs w:val="22"/>
              </w:rPr>
              <w:t xml:space="preserve">What We Are Proposing</w:t>
            </w:r>
          </w:p>
          <w:p>
            <w:pPr>
              <w:spacing w:before="0" w:after="0"/>
            </w:pPr>
            <w:r>
              <w:rPr>
                <w:rFonts w:ascii="Arial" w:cs="Arial" w:eastAsia="Arial" w:hAnsi="Arial"/>
                <w:color w:val="374151"/>
                <w:sz w:val="21"/>
                <w:szCs w:val="21"/>
              </w:rPr>
              <w:t xml:space="preserve">We are not selling you software. We are proposing a national governance infrastructure that will change how food security is administered in Bangladesh. Every transaction will be verified. Every distribution will be recorded. Every quota will be enforced. Every anomaly will surface. And every piece of knowledge we build will be transferred completely to your team. The right beneficiary, the right quota, the right proof, and the right oversight — at national scale.</w:t>
            </w:r>
          </w:p>
        </w:tc>
      </w:tr>
    </w:tbl>
    <w:p>
      <w:pPr>
        <w:spacing w:before="0" w:after="60"/>
      </w:pPr>
      <w:r>
        <w:t xml:space="preserve"/>
      </w:r>
    </w:p>
    <w:p>
      <w:pPr>
        <w:spacing w:before="0" w:after="60"/>
      </w:pPr>
      <w:r>
        <w:t xml:space="preserve"/>
      </w:r>
    </w:p>
    <w:p>
      <w:pPr>
        <w:spacing w:before="400" w:after="0"/>
        <w:jc w:val="center"/>
      </w:pPr>
      <w:r>
        <w:rPr>
          <w:rFonts w:ascii="Arial" w:cs="Arial" w:eastAsia="Arial" w:hAnsi="Arial"/>
          <w:b/>
          <w:bCs/>
          <w:color w:val="374151"/>
          <w:sz w:val="20"/>
          <w:szCs w:val="20"/>
        </w:rPr>
        <w:t xml:space="preserve">— END OF PROPOSAL DOCUMENT —</w:t>
      </w:r>
    </w:p>
    <w:p>
      <w:pPr>
        <w:spacing w:before="80" w:after="0"/>
        <w:jc w:val="center"/>
      </w:pPr>
      <w:r>
        <w:rPr>
          <w:rFonts w:ascii="Arial" w:cs="Arial" w:eastAsia="Arial" w:hAnsi="Arial"/>
          <w:i/>
          <w:iCs/>
          <w:color w:val="374151"/>
          <w:sz w:val="18"/>
          <w:szCs w:val="18"/>
        </w:rPr>
        <w:t xml:space="preserve">OMS National Control Platform | Strategic Proposal v1.0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E5E7EB" w:sz="1"/>
        <w:left w:val="none" w:color="FFFFFF" w:sz="0"/>
        <w:bottom w:val="none" w:color="FFFFFF" w:sz="0"/>
        <w:right w:val="none" w:color="FFFFFF" w:sz="0"/>
        <w:insideH w:val="single" w:color="auto" w:sz="4"/>
        <w:insideV w:val="single" w:color="auto" w:sz="4"/>
      </w:tblBorders>
    </w:tblPr>
    <w:tblGrid>
      <w:gridCol w:w="6000"/>
      <w:gridCol w:w="3360"/>
    </w:tblGrid>
    <w:tr>
      <w:tc>
        <w:tcPr>
          <w:tcBorders>
            <w:top w:val="single" w:color="E5E7EB" w:sz="1"/>
            <w:left w:val="none" w:color="FFFFFF" w:sz="0"/>
            <w:bottom w:val="none" w:color="FFFFFF" w:sz="0"/>
            <w:right w:val="none" w:color="FFFFFF" w:sz="0"/>
          </w:tcBorders>
        </w:tcPr>
        <w:p>
          <w:r>
            <w:rPr>
              <w:rFonts w:ascii="Arial" w:cs="Arial" w:eastAsia="Arial" w:hAnsi="Arial"/>
              <w:color w:val="374151"/>
              <w:sz w:val="16"/>
              <w:szCs w:val="16"/>
            </w:rPr>
            <w:t xml:space="preserve">Ministry of Food, Government of Bangladesh</w:t>
          </w:r>
        </w:p>
      </w:tc>
      <w:tc>
        <w:tcPr>
          <w:tcBorders>
            <w:top w:val="single" w:color="E5E7EB" w:sz="1"/>
            <w:left w:val="none" w:color="FFFFFF" w:sz="0"/>
            <w:bottom w:val="none" w:color="FFFFFF" w:sz="0"/>
            <w:right w:val="none" w:color="FFFFFF" w:sz="0"/>
          </w:tcBorders>
        </w:tcPr>
        <w:p>
          <w:pPr>
            <w:jc w:val="right"/>
          </w:pPr>
          <w:r>
            <w:rPr>
              <w:rFonts w:ascii="Arial" w:cs="Arial" w:eastAsia="Arial" w:hAnsi="Arial"/>
              <w:color w:val="374151"/>
              <w:sz w:val="16"/>
              <w:szCs w:val="16"/>
            </w:rPr>
            <w:t xml:space="preserve">Page </w:t>
          </w:r>
          <w:r>
            <w:rPr>
              <w:rFonts w:ascii="Arial" w:cs="Arial" w:eastAsia="Arial" w:hAnsi="Arial"/>
              <w:color w:val="374151"/>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of </w:t>
          </w:r>
          <w:r>
            <w:rPr>
              <w:rFonts w:ascii="Arial" w:cs="Arial" w:eastAsia="Arial" w:hAnsi="Arial"/>
              <w:color w:val="374151"/>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3A8A" w:sz="1"/>
        <w:right w:val="none" w:color="FFFFFF" w:sz="0"/>
        <w:insideH w:val="single" w:color="auto" w:sz="4"/>
        <w:insideV w:val="single" w:color="auto" w:sz="4"/>
      </w:tblBorders>
    </w:tblPr>
    <w:tblGrid>
      <w:gridCol w:w="6000"/>
      <w:gridCol w:w="3360"/>
    </w:tblGrid>
    <w:tr>
      <w:tc>
        <w:tcPr>
          <w:tcBorders>
            <w:top w:val="none" w:color="FFFFFF" w:sz="0"/>
            <w:left w:val="none" w:color="FFFFFF" w:sz="0"/>
            <w:bottom w:val="single" w:color="1E3A8A" w:sz="2"/>
            <w:right w:val="none" w:color="FFFFFF" w:sz="0"/>
          </w:tcBorders>
        </w:tcPr>
        <w:p>
          <w:r>
            <w:rPr>
              <w:rFonts w:ascii="Arial" w:cs="Arial" w:eastAsia="Arial" w:hAnsi="Arial"/>
              <w:b/>
              <w:bCs/>
              <w:color w:val="1E3A8A"/>
              <w:sz w:val="18"/>
              <w:szCs w:val="18"/>
            </w:rPr>
            <w:t xml:space="preserve">OMS National Control Platform — Strategic Proposal</w:t>
          </w:r>
        </w:p>
      </w:tc>
      <w:tc>
        <w:tcPr>
          <w:tcBorders>
            <w:top w:val="none" w:color="FFFFFF" w:sz="0"/>
            <w:left w:val="none" w:color="FFFFFF" w:sz="0"/>
            <w:bottom w:val="single" w:color="1E3A8A" w:sz="2"/>
            <w:right w:val="none" w:color="FFFFFF" w:sz="0"/>
          </w:tcBorders>
        </w:tcPr>
        <w:p>
          <w:pPr>
            <w:jc w:val="right"/>
          </w:pPr>
          <w:r>
            <w:rPr>
              <w:rFonts w:ascii="Arial" w:cs="Arial" w:eastAsia="Arial" w:hAnsi="Arial"/>
              <w:color w:val="374151"/>
              <w:sz w:val="18"/>
              <w:szCs w:val="18"/>
            </w:rPr>
            <w:t xml:space="preserve">CONFIDENTIAL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3A8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E3A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2026-03-20T05:26:25.378Z</dcterms:created>
  <dcterms:modified xsi:type="dcterms:W3CDTF">2026-03-20T05:26:25.379Z</dcterms:modified>
</cp:coreProperties>
</file>

<file path=docProps/custom.xml><?xml version="1.0" encoding="utf-8"?>
<Properties xmlns="http://schemas.openxmlformats.org/officeDocument/2006/custom-properties" xmlns:vt="http://schemas.openxmlformats.org/officeDocument/2006/docPropsVTypes"/>
</file>