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600"/>
              <w:left w:type="dxa" w:w="600"/>
              <w:bottom w:type="dxa" w:w="500"/>
              <w:right w:type="dxa" w:w="600"/>
            </w:tcMar>
          </w:tcPr>
          <w:p>
            <w:pPr>
              <w:spacing w:before="0" w:after="120"/>
              <w:jc w:val="center"/>
            </w:pPr>
            <w:r>
              <w:rPr>
                <w:rFonts w:ascii="Arial" w:cs="Arial" w:eastAsia="Arial" w:hAnsi="Arial"/>
                <w:b/>
                <w:bCs/>
                <w:i w:val="false"/>
                <w:iCs w:val="false"/>
                <w:color w:val="93C5FD"/>
                <w:sz w:val="26"/>
                <w:szCs w:val="26"/>
              </w:rPr>
              <w:t xml:space="preserve">TECHNICAL ARCHITECTURE DOCUMENT</w:t>
            </w:r>
          </w:p>
          <w:p>
            <w:pPr>
              <w:spacing w:before="0" w:after="80"/>
              <w:jc w:val="center"/>
            </w:pPr>
            <w:r>
              <w:rPr>
                <w:rFonts w:ascii="Arial" w:cs="Arial" w:eastAsia="Arial" w:hAnsi="Arial"/>
                <w:b/>
                <w:bCs/>
                <w:i w:val="false"/>
                <w:iCs w:val="false"/>
                <w:color w:val="FFFFFF"/>
                <w:sz w:val="60"/>
                <w:szCs w:val="60"/>
              </w:rPr>
              <w:t xml:space="preserve">OMS National Control Platform</w:t>
            </w:r>
          </w:p>
          <w:p>
            <w:pPr>
              <w:spacing w:before="0" w:after="200"/>
              <w:jc w:val="center"/>
            </w:pPr>
            <w:r>
              <w:rPr>
                <w:rFonts w:ascii="Arial" w:cs="Arial" w:eastAsia="Arial" w:hAnsi="Arial"/>
                <w:b w:val="false"/>
                <w:bCs w:val="false"/>
                <w:i/>
                <w:iCs/>
                <w:color w:val="93C5FD"/>
                <w:sz w:val="26"/>
                <w:szCs w:val="26"/>
              </w:rPr>
              <w:t xml:space="preserve">System Design, Microservices Architecture &amp; Database Schema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D9488" w:sz="14"/>
              <w:bottom w:val="none" w:color="FFFFFF" w:sz="0"/>
              <w:right w:val="none" w:color="FFFFFF" w:sz="0"/>
            </w:tcBorders>
            <w:shd w:fill="EFF6FF" w:val="clear"/>
            <w:tcMar>
              <w:top w:type="dxa" w:w="300"/>
              <w:left w:type="dxa" w:w="400"/>
              <w:bottom w:type="dxa" w:w="300"/>
              <w:right w:type="dxa" w:w="400"/>
            </w:tcMar>
          </w:tcPr>
          <w:p>
            <w:pPr>
              <w:spacing w:before="0" w:after="80"/>
            </w:pPr>
            <w:r>
              <w:rPr>
                <w:rFonts w:ascii="Arial" w:cs="Arial" w:eastAsia="Arial" w:hAnsi="Arial"/>
                <w:b/>
                <w:bCs/>
                <w:i w:val="false"/>
                <w:iCs w:val="false"/>
                <w:color w:val="6B7280"/>
                <w:sz w:val="20"/>
                <w:szCs w:val="20"/>
              </w:rPr>
              <w:t xml:space="preserve">Submitted to:</w:t>
            </w:r>
          </w:p>
          <w:p>
            <w:pPr>
              <w:spacing w:before="0" w:after="20"/>
            </w:pPr>
            <w:r>
              <w:rPr>
                <w:rFonts w:ascii="Arial" w:cs="Arial" w:eastAsia="Arial" w:hAnsi="Arial"/>
                <w:b/>
                <w:bCs/>
                <w:i w:val="false"/>
                <w:iCs w:val="false"/>
                <w:color w:val="1E3A8A"/>
                <w:sz w:val="24"/>
                <w:szCs w:val="24"/>
              </w:rPr>
              <w:t xml:space="preserve">Ministry of Food, Government of Bangladesh</w:t>
            </w:r>
          </w:p>
          <w:p>
            <w:pPr>
              <w:spacing w:before="0" w:after="20"/>
            </w:pPr>
            <w:r>
              <w:rPr>
                <w:rFonts w:ascii="Arial" w:cs="Arial" w:eastAsia="Arial" w:hAnsi="Arial"/>
                <w:b w:val="false"/>
                <w:bCs w:val="false"/>
                <w:i w:val="false"/>
                <w:iCs w:val="false"/>
                <w:color w:val="1f2937"/>
                <w:sz w:val="22"/>
                <w:szCs w:val="22"/>
              </w:rPr>
              <w:t xml:space="preserve">Directorate General of Food (DG Food)</w:t>
            </w:r>
          </w:p>
          <w:p>
            <w:pPr>
              <w:spacing w:before="80" w:after="0"/>
            </w:pPr>
            <w:r>
              <w:rPr>
                <w:rFonts w:ascii="Arial" w:cs="Arial" w:eastAsia="Arial" w:hAnsi="Arial"/>
                <w:b w:val="false"/>
                <w:bCs w:val="false"/>
                <w:i/>
                <w:iCs/>
                <w:color w:val="6B7280"/>
                <w:sz w:val="22"/>
                <w:szCs w:val="22"/>
              </w:rPr>
              <w:t xml:space="preserve">OMS National Automation Project — Technical Architecture Review Package</w:t>
            </w:r>
          </w:p>
        </w:tc>
      </w:tr>
    </w:tbl>
    <w:p>
      <w:pPr>
        <w:spacing w:before="0" w:after="60"/>
      </w:pPr>
      <w:r>
        <w:rPr>
          <w:rFonts w:ascii="Arial" w:cs="Arial" w:eastAsia="Arial" w:hAnsi="Arial"/>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3A8A" w:sz="1"/>
              <w:left w:val="single" w:color="1E3A8A" w:sz="1"/>
              <w:bottom w:val="single" w:color="1E3A8A" w:sz="1"/>
              <w:right w:val="single" w:color="1E3A8A" w:sz="1"/>
            </w:tcBorders>
            <w:shd w:fill="DBEAFE" w:val="clear"/>
            <w:tcMar>
              <w:top w:type="dxa" w:w="100"/>
              <w:left w:type="dxa" w:w="120"/>
              <w:bottom w:type="dxa" w:w="100"/>
              <w:right w:type="dxa" w:w="120"/>
            </w:tcMar>
          </w:tcPr>
          <w:p>
            <w:pPr>
              <w:jc w:val="center"/>
            </w:pPr>
            <w:r>
              <w:rPr>
                <w:rFonts w:ascii="Arial" w:cs="Arial" w:eastAsia="Arial" w:hAnsi="Arial"/>
                <w:b/>
                <w:bCs/>
                <w:i w:val="false"/>
                <w:iCs w:val="false"/>
                <w:color w:val="6B7280"/>
                <w:sz w:val="18"/>
                <w:szCs w:val="18"/>
              </w:rPr>
              <w:t xml:space="preserve">Document Type</w:t>
            </w:r>
          </w:p>
          <w:p>
            <w:pPr>
              <w:jc w:val="center"/>
            </w:pPr>
            <w:r>
              <w:rPr>
                <w:rFonts w:ascii="Arial" w:cs="Arial" w:eastAsia="Arial" w:hAnsi="Arial"/>
                <w:b w:val="false"/>
                <w:bCs w:val="false"/>
                <w:i w:val="false"/>
                <w:iCs w:val="false"/>
                <w:color w:val="1E3A8A"/>
                <w:sz w:val="18"/>
                <w:szCs w:val="18"/>
              </w:rPr>
              <w:t xml:space="preserve">Technical Architecture</w:t>
            </w:r>
          </w:p>
        </w:tc>
        <w:tc>
          <w:tcPr>
            <w:tcBorders>
              <w:top w:val="single" w:color="0D9488" w:sz="1"/>
              <w:left w:val="single" w:color="0D9488" w:sz="1"/>
              <w:bottom w:val="single" w:color="0D9488" w:sz="1"/>
              <w:right w:val="single" w:color="0D9488" w:sz="1"/>
            </w:tcBorders>
            <w:shd w:fill="CCFBF1" w:val="clear"/>
            <w:tcMar>
              <w:top w:type="dxa" w:w="100"/>
              <w:left w:type="dxa" w:w="120"/>
              <w:bottom w:type="dxa" w:w="100"/>
              <w:right w:type="dxa" w:w="120"/>
            </w:tcMar>
          </w:tcPr>
          <w:p>
            <w:pPr>
              <w:jc w:val="center"/>
            </w:pPr>
            <w:r>
              <w:rPr>
                <w:rFonts w:ascii="Arial" w:cs="Arial" w:eastAsia="Arial" w:hAnsi="Arial"/>
                <w:b/>
                <w:bCs/>
                <w:i w:val="false"/>
                <w:iCs w:val="false"/>
                <w:color w:val="6B7280"/>
                <w:sz w:val="18"/>
                <w:szCs w:val="18"/>
              </w:rPr>
              <w:t xml:space="preserve">Version</w:t>
            </w:r>
          </w:p>
          <w:p>
            <w:pPr>
              <w:jc w:val="center"/>
            </w:pPr>
            <w:r>
              <w:rPr>
                <w:rFonts w:ascii="Arial" w:cs="Arial" w:eastAsia="Arial" w:hAnsi="Arial"/>
                <w:b w:val="false"/>
                <w:bCs w:val="false"/>
                <w:i w:val="false"/>
                <w:iCs w:val="false"/>
                <w:color w:val="0D9488"/>
                <w:sz w:val="18"/>
                <w:szCs w:val="18"/>
              </w:rPr>
              <w:t xml:space="preserve">v1.0 — March 2026</w:t>
            </w:r>
          </w:p>
        </w:tc>
        <w:tc>
          <w:tcPr>
            <w:tcBorders>
              <w:top w:val="single" w:color="D97706" w:sz="1"/>
              <w:left w:val="single" w:color="D97706" w:sz="1"/>
              <w:bottom w:val="single" w:color="D97706" w:sz="1"/>
              <w:right w:val="single" w:color="D97706" w:sz="1"/>
            </w:tcBorders>
            <w:shd w:fill="FEF3C7" w:val="clear"/>
            <w:tcMar>
              <w:top w:type="dxa" w:w="100"/>
              <w:left w:type="dxa" w:w="120"/>
              <w:bottom w:type="dxa" w:w="100"/>
              <w:right w:type="dxa" w:w="120"/>
            </w:tcMar>
          </w:tcPr>
          <w:p>
            <w:pPr>
              <w:jc w:val="center"/>
            </w:pPr>
            <w:r>
              <w:rPr>
                <w:rFonts w:ascii="Arial" w:cs="Arial" w:eastAsia="Arial" w:hAnsi="Arial"/>
                <w:b/>
                <w:bCs/>
                <w:i w:val="false"/>
                <w:iCs w:val="false"/>
                <w:color w:val="6B7280"/>
                <w:sz w:val="18"/>
                <w:szCs w:val="18"/>
              </w:rPr>
              <w:t xml:space="preserve">Classification</w:t>
            </w:r>
          </w:p>
          <w:p>
            <w:pPr>
              <w:jc w:val="center"/>
            </w:pPr>
            <w:r>
              <w:rPr>
                <w:rFonts w:ascii="Arial" w:cs="Arial" w:eastAsia="Arial" w:hAnsi="Arial"/>
                <w:b/>
                <w:bCs/>
                <w:i w:val="false"/>
                <w:iCs w:val="false"/>
                <w:color w:val="D97706"/>
                <w:sz w:val="18"/>
                <w:szCs w:val="18"/>
              </w:rPr>
              <w:t xml:space="preserve">CONFIDENTIAL</w:t>
            </w:r>
          </w:p>
        </w:tc>
      </w:tr>
    </w:tbl>
    <w:p>
      <w:r>
        <w:br w:type="page"/>
      </w:r>
    </w:p>
    <w:p>
      <w:pPr>
        <w:pStyle w:val="Heading1"/>
        <w:spacing w:before="480" w:after="200"/>
      </w:pPr>
      <w:r>
        <w:rPr>
          <w:rFonts w:ascii="Arial" w:cs="Arial" w:eastAsia="Arial" w:hAnsi="Arial"/>
          <w:b/>
          <w:bCs/>
          <w:i w:val="false"/>
          <w:iCs w:val="false"/>
          <w:color w:val="1E3A8A"/>
          <w:sz w:val="36"/>
          <w:szCs w:val="36"/>
        </w:rPr>
        <w:t xml:space="preserve">1. Executive Summary</w:t>
      </w:r>
    </w:p>
    <w:p>
      <w:pPr>
        <w:spacing w:before="60" w:after="120" w:line="340"/>
        <w:jc w:val="left"/>
      </w:pPr>
      <w:r>
        <w:rPr>
          <w:rFonts w:ascii="Arial" w:cs="Arial" w:eastAsia="Arial" w:hAnsi="Arial"/>
          <w:b w:val="false"/>
          <w:bCs w:val="false"/>
          <w:i w:val="false"/>
          <w:iCs w:val="false"/>
          <w:color w:val="1f2937"/>
          <w:sz w:val="22"/>
          <w:szCs w:val="22"/>
        </w:rPr>
        <w:t xml:space="preserve">This document describes the complete technical architecture of the OMS National Control Platform — a government-grade distributed system designed to digitize and govern food distribution operations across Bangladesh. The architecture has been designed to meet the specific requirements outlined in the OMS System Requirements Specification (SRS) v1.0.0 while addressing Bangladesh's unique operational context: low-bandwidth rural connectivity, diverse literacy levels, and the need for tamper-evident auditability.</w:t>
      </w:r>
    </w:p>
    <w:p>
      <w:pPr>
        <w:spacing w:before="60" w:after="120" w:line="340"/>
        <w:jc w:val="left"/>
      </w:pPr>
      <w:r>
        <w:rPr>
          <w:rFonts w:ascii="Arial" w:cs="Arial" w:eastAsia="Arial" w:hAnsi="Arial"/>
          <w:b w:val="false"/>
          <w:bCs w:val="false"/>
          <w:i w:val="false"/>
          <w:iCs w:val="false"/>
          <w:color w:val="1f2937"/>
          <w:sz w:val="22"/>
          <w:szCs w:val="22"/>
        </w:rPr>
        <w:t xml:space="preserve">The system is built on four primary components — a microservices backend, a web-based administrative dashboard, a native Android dealer application, and a real-time sync layer — operating together to provide end-to-end governance of the OMS distribution chain.</w:t>
      </w:r>
    </w:p>
    <w:p>
      <w:pPr>
        <w:spacing w:before="0" w:after="60"/>
      </w:pPr>
      <w:r>
        <w:rPr>
          <w:rFonts w:ascii="Arial" w:cs="Arial" w:eastAsia="Arial" w:hAnsi="Arial"/>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System Dimension</w:t>
            </w:r>
          </w:p>
        </w:tc>
        <w:tc>
          <w:tcPr>
            <w:tcW w:type="dxa" w:w="3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Specification</w:t>
            </w:r>
          </w:p>
        </w:tc>
        <w:tc>
          <w:tcPr>
            <w:tcW w:type="dxa" w:w="27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Source Requirement</w:t>
            </w:r>
          </w:p>
        </w:tc>
      </w:tr>
      <w:tr>
        <w:tc>
          <w:tcPr>
            <w:tcW w:type="dxa" w:w="3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Concurrent Users</w:t>
            </w:r>
          </w:p>
        </w:tc>
        <w:tc>
          <w:tcPr>
            <w:tcW w:type="dxa" w:w="3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5,000 simultaneous connections</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Non-Functional §4.4</w:t>
            </w:r>
          </w:p>
        </w:tc>
      </w:tr>
      <w:tr>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Daily Transactions</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210,000–300,000 per day</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Non-Functional §4.4</w:t>
            </w:r>
          </w:p>
        </w:tc>
      </w:tr>
      <w:tr>
        <w:tc>
          <w:tcPr>
            <w:tcW w:type="dxa" w:w="3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System Availability</w:t>
            </w:r>
          </w:p>
        </w:tc>
        <w:tc>
          <w:tcPr>
            <w:tcW w:type="dxa" w:w="3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99.9% uptime (&lt; 9 hours/year)</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§4.1</w:t>
            </w:r>
          </w:p>
        </w:tc>
      </w:tr>
      <w:tr>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Response Time</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 1 second (p95), &lt; 5s all ops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§4.4</w:t>
            </w:r>
          </w:p>
        </w:tc>
      </w:tr>
      <w:tr>
        <w:tc>
          <w:tcPr>
            <w:tcW w:type="dxa" w:w="3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 Retention</w:t>
            </w:r>
          </w:p>
        </w:tc>
        <w:tc>
          <w:tcPr>
            <w:tcW w:type="dxa" w:w="3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 years with 20% annual growth</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§4.4</w:t>
            </w:r>
          </w:p>
        </w:tc>
      </w:tr>
      <w:tr>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Mobile Connectivity</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2G (EDGE/GPRS) minimum supported</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§4.3</w:t>
            </w:r>
          </w:p>
        </w:tc>
      </w:tr>
      <w:tr>
        <w:tc>
          <w:tcPr>
            <w:tcW w:type="dxa" w:w="3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Biometric Accuracy</w:t>
            </w:r>
          </w:p>
        </w:tc>
        <w:tc>
          <w:tcPr>
            <w:tcW w:type="dxa" w:w="3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&gt; 95% face verification match rate</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Proposed commitment</w:t>
            </w:r>
          </w:p>
        </w:tc>
      </w:tr>
      <w:tr>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Duplicate Prevention</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100% — zero false negatives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§2.4 — Module 3</w:t>
            </w:r>
          </w:p>
        </w:tc>
      </w:tr>
    </w:tbl>
    <w:p>
      <w:pPr>
        <w:spacing w:before="0" w:after="60"/>
      </w:pPr>
      <w:r>
        <w:rPr>
          <w:rFonts w:ascii="Arial" w:cs="Arial" w:eastAsia="Arial" w:hAnsi="Arial"/>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2"/>
              <w:bottom w:val="single" w:color="1E3A8A" w:sz="1"/>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olor w:val="1E3A8A"/>
                <w:sz w:val="22"/>
                <w:szCs w:val="22"/>
              </w:rPr>
              <w:t xml:space="preserve">Architecture Philosophy</w:t>
            </w:r>
          </w:p>
          <w:p>
            <w:pPr>
              <w:spacing w:before="0" w:after="0"/>
            </w:pPr>
            <w:r>
              <w:rPr>
                <w:rFonts w:ascii="Arial" w:cs="Arial" w:eastAsia="Arial" w:hAnsi="Arial"/>
                <w:b w:val="false"/>
                <w:bCs w:val="false"/>
                <w:i w:val="false"/>
                <w:iCs w:val="false"/>
                <w:color w:val="1f2937"/>
                <w:sz w:val="21"/>
                <w:szCs w:val="21"/>
              </w:rPr>
              <w:t xml:space="preserve">The architecture is built around four non-negotiable principles: Offline-First (field operations must never halt due to connectivity); Audit-by-Design (every action is traceable, tamper-evident, and exportable); Modular &amp; Scalable (each service scales independently); and Government-Maintainable (code, documentation, and APIs are structured for long-term institutional ownership).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2</w:t>
            </w:r>
          </w:p>
          <w:p>
            <w:pPr>
              <w:spacing w:before="0" w:after="0"/>
              <w:jc w:val="center"/>
            </w:pPr>
            <w:r>
              <w:rPr>
                <w:rFonts w:ascii="Arial" w:cs="Arial" w:eastAsia="Arial" w:hAnsi="Arial"/>
                <w:b w:val="false"/>
                <w:bCs w:val="false"/>
                <w:i/>
                <w:iCs/>
                <w:color w:val="BFDBFE"/>
                <w:sz w:val="24"/>
                <w:szCs w:val="24"/>
              </w:rPr>
              <w:t xml:space="preserve">System Architecture Overview</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2. High-Level System Architecture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2.1 Architecture Layers</w:t>
      </w:r>
    </w:p>
    <w:p>
      <w:pPr>
        <w:spacing w:before="60" w:after="120" w:line="340"/>
        <w:jc w:val="left"/>
      </w:pPr>
      <w:r>
        <w:rPr>
          <w:rFonts w:ascii="Arial" w:cs="Arial" w:eastAsia="Arial" w:hAnsi="Arial"/>
          <w:b w:val="false"/>
          <w:bCs w:val="false"/>
          <w:i w:val="false"/>
          <w:iCs w:val="false"/>
          <w:color w:val="1f2937"/>
          <w:sz w:val="22"/>
          <w:szCs w:val="22"/>
        </w:rPr>
        <w:t xml:space="preserve">The OMS platform is organized into five horizontal layers, each with a distinct responsibility boundary. This separation ensures that a failure in one layer does not cascade to others and that each layer can be upgraded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Layer</w:t>
            </w:r>
          </w:p>
        </w:tc>
        <w:tc>
          <w:tcPr>
            <w:tcW w:type="dxa" w:w="3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Components</w:t>
            </w:r>
          </w:p>
        </w:tc>
        <w:tc>
          <w:tcPr>
            <w:tcW w:type="dxa" w:w="41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Responsibility</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Client Layer</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Android App, Web Dashboard (React)</w:t>
            </w:r>
          </w:p>
        </w:tc>
        <w:tc>
          <w:tcPr>
            <w:tcW w:type="dxa" w:w="4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User interaction, offline data capture, Bengali UI</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Gateway Layer</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NGINX, Rate Limiter, Auth Filter</w:t>
            </w:r>
          </w:p>
        </w:tc>
        <w:tc>
          <w:tcPr>
            <w:tcW w:type="dxa" w:w="4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Request routing, authentication, rate limiting, SSL termination</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Service Layer</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6 Microservices (Spring Boot)</w:t>
            </w:r>
          </w:p>
        </w:tc>
        <w:tc>
          <w:tcPr>
            <w:tcW w:type="dxa" w:w="4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Business logic — dealer, beneficiary, transaction, analytics, auth, notification</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 Layer</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PostgreSQL, Redis, RabbitMQ</w:t>
            </w:r>
          </w:p>
        </w:tc>
        <w:tc>
          <w:tcPr>
            <w:tcW w:type="dxa" w:w="4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Persistent storage, caching, async message queuing</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Infrastructure</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Docker, Kubernetes, Government Cloud</w:t>
            </w:r>
          </w:p>
        </w:tc>
        <w:tc>
          <w:tcPr>
            <w:tcW w:type="dxa" w:w="4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Containerization, orchestration, high availability, monitoring</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2.2 Component Interaction Overview</w:t>
      </w:r>
    </w:p>
    <w:p>
      <w:pPr>
        <w:spacing w:before="60" w:after="120" w:line="340"/>
        <w:jc w:val="left"/>
      </w:pPr>
      <w:r>
        <w:rPr>
          <w:rFonts w:ascii="Arial" w:cs="Arial" w:eastAsia="Arial" w:hAnsi="Arial"/>
          <w:b w:val="false"/>
          <w:bCs w:val="false"/>
          <w:i w:val="false"/>
          <w:iCs w:val="false"/>
          <w:color w:val="1f2937"/>
          <w:sz w:val="22"/>
          <w:szCs w:val="22"/>
        </w:rPr>
        <w:t xml:space="preserve">The following describes how the four primary platform components interact at runtime: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Android Dealer App communicates with the API Gateway over HTTPS/REST. When offline, all operations are queued locally in SQLite and pushed to the server when connectivity is restored.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Web Dashboard (React) connects to the same API Gateway and consumes read-optimized REST endpoints. Dashboard data is cached in Redis for sub-second load times.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API Gateway validates JWT tokens, enforces rate limits, and routes requests to the appropriate microservice. All gateway events are logged for security audit.</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Microservices communicate with each other via synchronous REST calls for real-time operations and asynchronous AMQP messages (RabbitMQ) for background tasks such as SMS dispatch, analytics aggregation, and sync conflict resolution.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PostgreSQL serves as the single source of truth for all persistent data. Redis provides a fast caching layer for frequently accessed data (beneficiary eligibility, quota status, session tokens).</w:t>
      </w:r>
    </w:p>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2.3 Network Security Boundary</w:t>
      </w:r>
    </w:p>
    <w:p>
      <w:pPr>
        <w:spacing w:before="60" w:after="120" w:line="340"/>
        <w:jc w:val="left"/>
      </w:pPr>
      <w:r>
        <w:rPr>
          <w:rFonts w:ascii="Arial" w:cs="Arial" w:eastAsia="Arial" w:hAnsi="Arial"/>
          <w:b w:val="false"/>
          <w:bCs w:val="false"/>
          <w:i w:val="false"/>
          <w:iCs w:val="false"/>
          <w:color w:val="1f2937"/>
          <w:sz w:val="22"/>
          <w:szCs w:val="22"/>
        </w:rPr>
        <w:t xml:space="preserve">All external traffic is routed through the API Gateway. Database servers, microservices, and internal APIs are never directly accessible from the public internet. The network topology follows a three-tier isolation model:</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Public Zone: API Gateway and Load Balancer only — accepts HTTPS from web/mobile clients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Application Zone: Microservices — accessible only from API Gateway and other services within the zone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Data Zone: PostgreSQL, Redis — accessible only from Application Zone services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3</w:t>
            </w:r>
          </w:p>
          <w:p>
            <w:pPr>
              <w:spacing w:before="0" w:after="0"/>
              <w:jc w:val="center"/>
            </w:pPr>
            <w:r>
              <w:rPr>
                <w:rFonts w:ascii="Arial" w:cs="Arial" w:eastAsia="Arial" w:hAnsi="Arial"/>
                <w:b w:val="false"/>
                <w:bCs w:val="false"/>
                <w:i/>
                <w:iCs/>
                <w:color w:val="BFDBFE"/>
                <w:sz w:val="24"/>
                <w:szCs w:val="24"/>
              </w:rPr>
              <w:t xml:space="preserve">Six Core Microservices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3. Microservices Architecture</w:t>
      </w:r>
    </w:p>
    <w:p>
      <w:pPr>
        <w:spacing w:before="60" w:after="120" w:line="340"/>
        <w:jc w:val="left"/>
      </w:pPr>
      <w:r>
        <w:rPr>
          <w:rFonts w:ascii="Arial" w:cs="Arial" w:eastAsia="Arial" w:hAnsi="Arial"/>
          <w:b w:val="false"/>
          <w:bCs w:val="false"/>
          <w:i w:val="false"/>
          <w:iCs w:val="false"/>
          <w:color w:val="1f2937"/>
          <w:sz w:val="22"/>
          <w:szCs w:val="22"/>
        </w:rPr>
        <w:t xml:space="preserve">The OMS platform is decomposed into six independent microservices, each owning its data domain and exposing a well-defined REST API. Services are stateless — all state lives in the database or cache — enabling any instance to be terminated and replaced without data loss.</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3.1 Dealer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Manages the complete dealer lifecycle: registration, document submission, approval workflow, renewal, suspension, and cancellation. Also handles dealer allotments, delivery orders, and Bangladesh Bank payment integration.</w:t>
      </w:r>
    </w:p>
    <w:p>
      <w:pPr>
        <w:pStyle w:val="Heading3"/>
        <w:spacing w:before="240" w:after="100"/>
      </w:pPr>
      <w:r>
        <w:rPr>
          <w:rFonts w:ascii="Arial" w:cs="Arial" w:eastAsia="Arial" w:hAnsi="Arial"/>
          <w:b/>
          <w:bCs/>
          <w:i w:val="false"/>
          <w:iCs w:val="false"/>
          <w:color w:val="0D9488"/>
          <w:sz w:val="24"/>
          <w:szCs w:val="24"/>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Method</w:t>
            </w:r>
          </w:p>
        </w:tc>
        <w:tc>
          <w:tcPr>
            <w:tcW w:type="dxa" w:w="3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Endpoint</w:t>
            </w:r>
          </w:p>
        </w:tc>
        <w:tc>
          <w:tcPr>
            <w:tcW w:type="dxa" w:w="49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/api/v1/dealers/register</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Submit new dealer registration application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PATCH</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/api/v1/dealers/{id}/approve</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Government officer approves dealer registration</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PATCH</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/api/v1/dealers/{id}/suspend</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Suspend dealer with reason code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/api/v1/dealers/{id}/allotments</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Retrieve dealer allotment history</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/api/v1/dealers/{id}/deposit</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Record dealer deposit payment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/api/v1/dealers/{id}/do-orders</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Create Delivery Order for allotment collection</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3.2 Beneficiary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Manages beneficiary registration with biometric face capture, eligibility checking, daily lifting status, and monthly quota tracking. This service is the anti-leakage core of the platform — it enforces both same-day duplicate prevention and monthly quota limits.</w:t>
      </w:r>
    </w:p>
    <w:p>
      <w:pPr>
        <w:pStyle w:val="Heading3"/>
        <w:spacing w:before="240" w:after="100"/>
      </w:pPr>
      <w:r>
        <w:rPr>
          <w:rFonts w:ascii="Arial" w:cs="Arial" w:eastAsia="Arial" w:hAnsi="Arial"/>
          <w:b/>
          <w:bCs/>
          <w:i w:val="false"/>
          <w:iCs w:val="false"/>
          <w:color w:val="0D9488"/>
          <w:sz w:val="24"/>
          <w:szCs w:val="24"/>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Method</w:t>
            </w:r>
          </w:p>
        </w:tc>
        <w:tc>
          <w:tcPr>
            <w:tcW w:type="dxa" w:w="3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Endpoint</w:t>
            </w:r>
          </w:p>
        </w:tc>
        <w:tc>
          <w:tcPr>
            <w:tcW w:type="dxa" w:w="49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/api/v1/beneficiaries</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Register new beneficiary with face photo</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/api/v1/beneficiaries/{code}</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Retrieve beneficiary profile and quota status</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/api/v1/beneficiaries/{code}/eligibility</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Check eligibility: quota + daily lifting status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/api/v1/beneficiaries/{code}/history</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Full distribution history for a beneficiary</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PATCH</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/api/v1/beneficiaries/{code}/status</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Activate / deactivate beneficiary</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3.3 Transaction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Records food distribution transactions. This service orchestrates the three-step validation chain: face verification → eligibility check → quota deduction → transaction commit. All three must pass for a transaction to succeed. The service is idempotent — duplicate transaction IDs from offline sync are safely deduplicated.</w:t>
      </w:r>
    </w:p>
    <w:p>
      <w:pPr>
        <w:pStyle w:val="Heading3"/>
        <w:spacing w:before="240" w:after="100"/>
      </w:pPr>
      <w:r>
        <w:rPr>
          <w:rFonts w:ascii="Arial" w:cs="Arial" w:eastAsia="Arial" w:hAnsi="Arial"/>
          <w:b/>
          <w:bCs/>
          <w:i w:val="false"/>
          <w:iCs w:val="false"/>
          <w:color w:val="0D9488"/>
          <w:sz w:val="24"/>
          <w:szCs w:val="24"/>
        </w:rPr>
        <w:t xml:space="preserve">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Method</w:t>
            </w:r>
          </w:p>
        </w:tc>
        <w:tc>
          <w:tcPr>
            <w:tcW w:type="dxa" w:w="3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Endpoint</w:t>
            </w:r>
          </w:p>
        </w:tc>
        <w:tc>
          <w:tcPr>
            <w:tcW w:type="dxa" w:w="49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/api/v1/transactions</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Record new distribution transaction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/api/v1/transactions/{txn-id}</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Retrieve transaction details</w:t>
            </w:r>
          </w:p>
        </w:tc>
      </w:tr>
      <w:tr>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/api/v1/transactions/sync</w:t>
            </w:r>
          </w:p>
        </w:tc>
        <w:tc>
          <w:tcPr>
            <w:tcW w:type="dxa" w:w="4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Bulk sync offline transaction batch from dealer device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/api/v1/transactions?date=&amp;dealer=</w:t>
            </w:r>
          </w:p>
        </w:tc>
        <w:tc>
          <w:tcPr>
            <w:tcW w:type="dxa" w:w="4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Query transactions by date/dealer/office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3.4 Authentication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Issues and validates JWT access tokens. Implements Role-Based Access Control (RBAC) with four primary roles: super_user, inspector, dealer, and beneficiary_officer. Tokens expire after 8 hours for web users and 24 hours for dealer mobile apps. Refresh tokens are stored server-side to support remote session invalidation.</w:t>
      </w:r>
    </w:p>
    <w:p>
      <w:pPr>
        <w:pStyle w:val="Heading3"/>
        <w:spacing w:before="240" w:after="100"/>
      </w:pPr>
      <w:r>
        <w:rPr>
          <w:rFonts w:ascii="Arial" w:cs="Arial" w:eastAsia="Arial" w:hAnsi="Arial"/>
          <w:b/>
          <w:bCs/>
          <w:i w:val="false"/>
          <w:iCs w:val="false"/>
          <w:color w:val="0D9488"/>
          <w:sz w:val="24"/>
          <w:szCs w:val="24"/>
        </w:rPr>
        <w:t xml:space="preserve">Token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4155" w:sz="1"/>
              <w:left w:val="single" w:color="0D9488" w:sz="8"/>
              <w:bottom w:val="single" w:color="334155" w:sz="1"/>
              <w:right w:val="none" w:color="FFFFFF" w:sz="0"/>
            </w:tcBorders>
            <w:shd w:fill="0F172A" w:val="clear"/>
            <w:tcMar>
              <w:top w:type="dxa" w:w="160"/>
              <w:left w:type="dxa" w:w="200"/>
              <w:bottom w:type="dxa" w:w="160"/>
              <w:right w:type="dxa" w:w="200"/>
            </w:tcMar>
          </w:tcPr>
          <w:p>
            <w:pPr>
              <w:spacing w:before="0" w:after="40"/>
            </w:pPr>
            <w:r>
              <w:rPr>
                <w:rFonts w:ascii="Courier New" w:cs="Courier New" w:eastAsia="Courier New" w:hAnsi="Courier New"/>
                <w:color w:val="94A3B8"/>
                <w:sz w:val="18"/>
                <w:szCs w:val="18"/>
              </w:rPr>
              <w:t xml:space="preserve">{</w:t>
            </w:r>
          </w:p>
          <w:p>
            <w:pPr>
              <w:spacing w:before="0" w:after="40"/>
            </w:pPr>
            <w:r>
              <w:rPr>
                <w:rFonts w:ascii="Courier New" w:cs="Courier New" w:eastAsia="Courier New" w:hAnsi="Courier New"/>
                <w:color w:val="94A3B8"/>
                <w:sz w:val="18"/>
                <w:szCs w:val="18"/>
              </w:rPr>
              <w:t xml:space="preserve">  "sub":     "USER-UUID",</w:t>
            </w:r>
          </w:p>
          <w:p>
            <w:pPr>
              <w:spacing w:before="0" w:after="40"/>
            </w:pPr>
            <w:r>
              <w:rPr>
                <w:rFonts w:ascii="Courier New" w:cs="Courier New" w:eastAsia="Courier New" w:hAnsi="Courier New"/>
                <w:color w:val="94A3B8"/>
                <w:sz w:val="18"/>
                <w:szCs w:val="18"/>
              </w:rPr>
              <w:t xml:space="preserve">  "role":    "dealer",</w:t>
            </w:r>
          </w:p>
          <w:p>
            <w:pPr>
              <w:spacing w:before="0" w:after="40"/>
            </w:pPr>
            <w:r>
              <w:rPr>
                <w:rFonts w:ascii="Courier New" w:cs="Courier New" w:eastAsia="Courier New" w:hAnsi="Courier New"/>
                <w:color w:val="94A3B8"/>
                <w:sz w:val="18"/>
                <w:szCs w:val="18"/>
              </w:rPr>
              <w:t xml:space="preserve">  "office":  "OFFICE-UUID",</w:t>
            </w:r>
          </w:p>
          <w:p>
            <w:pPr>
              <w:spacing w:before="0" w:after="40"/>
            </w:pPr>
            <w:r>
              <w:rPr>
                <w:rFonts w:ascii="Courier New" w:cs="Courier New" w:eastAsia="Courier New" w:hAnsi="Courier New"/>
                <w:color w:val="94A3B8"/>
                <w:sz w:val="18"/>
                <w:szCs w:val="18"/>
              </w:rPr>
              <w:t xml:space="preserve">  "dealer":  "DEALER-UUID",</w:t>
            </w:r>
          </w:p>
          <w:p>
            <w:pPr>
              <w:spacing w:before="0" w:after="40"/>
            </w:pPr>
            <w:r>
              <w:rPr>
                <w:rFonts w:ascii="Courier New" w:cs="Courier New" w:eastAsia="Courier New" w:hAnsi="Courier New"/>
                <w:color w:val="94A3B8"/>
                <w:sz w:val="18"/>
                <w:szCs w:val="18"/>
              </w:rPr>
              <w:t xml:space="preserve">  "exp":     1711929600,</w:t>
            </w:r>
          </w:p>
          <w:p>
            <w:pPr>
              <w:spacing w:before="0" w:after="40"/>
            </w:pPr>
            <w:r>
              <w:rPr>
                <w:rFonts w:ascii="Courier New" w:cs="Courier New" w:eastAsia="Courier New" w:hAnsi="Courier New"/>
                <w:color w:val="94A3B8"/>
                <w:sz w:val="18"/>
                <w:szCs w:val="18"/>
              </w:rPr>
              <w:t xml:space="preserve">  "iat":     1711886400,</w:t>
            </w:r>
          </w:p>
          <w:p>
            <w:pPr>
              <w:spacing w:before="0" w:after="40"/>
            </w:pPr>
            <w:r>
              <w:rPr>
                <w:rFonts w:ascii="Courier New" w:cs="Courier New" w:eastAsia="Courier New" w:hAnsi="Courier New"/>
                <w:color w:val="94A3B8"/>
                <w:sz w:val="18"/>
                <w:szCs w:val="18"/>
              </w:rPr>
              <w:t xml:space="preserve">  "device":  "DEVICE-FINGERPRINT"</w:t>
            </w:r>
          </w:p>
          <w:p>
            <w:pPr>
              <w:spacing w:before="0" w:after="40"/>
            </w:pPr>
            <w:r>
              <w:rPr>
                <w:rFonts w:ascii="Courier New" w:cs="Courier New" w:eastAsia="Courier New" w:hAnsi="Courier New"/>
                <w:color w:val="94A3B8"/>
                <w:sz w:val="18"/>
                <w:szCs w:val="18"/>
              </w:rPr>
              <w:t xml:space="preserv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3.5 Analytics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Aggregates transaction data into governance intelligence across three maturity levels. Level 1 (Descriptive) runs at MVP — daily summaries, dealer performance, regional distribution. Level 2 (Diagnostic) activates in Pilot — anomaly detection, unusual patterns, risk flags. Level 3 (Predictive) activates at national scale — demand forecasting, poverty indicators.</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3.6 Notification Service</w:t>
      </w:r>
    </w:p>
    <w:p>
      <w:pPr>
        <w:pStyle w:val="Heading3"/>
        <w:spacing w:before="240" w:after="100"/>
      </w:pPr>
      <w:r>
        <w:rPr>
          <w:rFonts w:ascii="Arial" w:cs="Arial" w:eastAsia="Arial" w:hAnsi="Arial"/>
          <w:b/>
          <w:bCs/>
          <w:i w:val="false"/>
          <w:iCs w:val="false"/>
          <w:color w:val="0D9488"/>
          <w:sz w:val="24"/>
          <w:szCs w:val="24"/>
        </w:rPr>
        <w:t xml:space="preserve">Responsibility</w:t>
      </w:r>
    </w:p>
    <w:p>
      <w:pPr>
        <w:spacing w:before="60" w:after="120" w:line="340"/>
        <w:jc w:val="left"/>
      </w:pPr>
      <w:r>
        <w:rPr>
          <w:rFonts w:ascii="Arial" w:cs="Arial" w:eastAsia="Arial" w:hAnsi="Arial"/>
          <w:b w:val="false"/>
          <w:bCs w:val="false"/>
          <w:i w:val="false"/>
          <w:iCs w:val="false"/>
          <w:color w:val="1f2937"/>
          <w:sz w:val="22"/>
          <w:szCs w:val="22"/>
        </w:rPr>
        <w:t xml:space="preserve">Delivers SMS notifications to dealers (allotment confirmation, payment approval, account alerts) and supervisors (anomaly alerts, exception review requests). Uses RabbitMQ for reliable async delivery — SMS dispatch never blocks a transaction request. Retry logic handles transient SMS gateway failures.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4</w:t>
            </w:r>
          </w:p>
          <w:p>
            <w:pPr>
              <w:spacing w:before="0" w:after="0"/>
              <w:jc w:val="center"/>
            </w:pPr>
            <w:r>
              <w:rPr>
                <w:rFonts w:ascii="Arial" w:cs="Arial" w:eastAsia="Arial" w:hAnsi="Arial"/>
                <w:b w:val="false"/>
                <w:bCs w:val="false"/>
                <w:i/>
                <w:iCs/>
                <w:color w:val="BFDBFE"/>
                <w:sz w:val="24"/>
                <w:szCs w:val="24"/>
              </w:rPr>
              <w:t xml:space="preserve">Mobile Architecture — Offline-First Design</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4. Android Mobile Application Architecture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4.1 Offline-First Design Rationale</w:t>
      </w:r>
    </w:p>
    <w:p>
      <w:pPr>
        <w:spacing w:before="60" w:after="120" w:line="340"/>
        <w:jc w:val="left"/>
      </w:pPr>
      <w:r>
        <w:rPr>
          <w:rFonts w:ascii="Arial" w:cs="Arial" w:eastAsia="Arial" w:hAnsi="Arial"/>
          <w:b w:val="false"/>
          <w:bCs w:val="false"/>
          <w:i w:val="false"/>
          <w:iCs w:val="false"/>
          <w:color w:val="1f2937"/>
          <w:sz w:val="22"/>
          <w:szCs w:val="22"/>
        </w:rPr>
        <w:t xml:space="preserve">The SRS explicitly requires support for "very low bandwidth / 2G" and "local app data with conditional synchronization based on internet availability." This is not a secondary feature — it is the primary design constraint. Bangladesh's rural OMS centers frequently operate with 2G (EDGE/GPRS) coverage and intermittent power, making continuous internet connectivity unreliable.</w:t>
      </w:r>
    </w:p>
    <w:p>
      <w:pPr>
        <w:spacing w:before="60" w:after="120" w:line="340"/>
        <w:jc w:val="left"/>
      </w:pPr>
      <w:r>
        <w:rPr>
          <w:rFonts w:ascii="Arial" w:cs="Arial" w:eastAsia="Arial" w:hAnsi="Arial"/>
          <w:b w:val="false"/>
          <w:bCs w:val="false"/>
          <w:i w:val="false"/>
          <w:iCs w:val="false"/>
          <w:color w:val="1f2937"/>
          <w:sz w:val="22"/>
          <w:szCs w:val="22"/>
        </w:rPr>
        <w:t xml:space="preserve">The architectural decision is: treat the local SQLite database as the primary operational database and the central PostgreSQL as the synchronization target. All dealer operations (beneficiary lookup, face verification, transaction recording) execute locally. The sync engine promotes local data to the server whenever connectivity permits.</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4.2 Local Database Structure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Local Table</w:t>
            </w:r>
          </w:p>
        </w:tc>
        <w:tc>
          <w:tcPr>
            <w:tcW w:type="dxa" w:w="4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Data Stored</w:t>
            </w:r>
          </w:p>
        </w:tc>
        <w:tc>
          <w:tcPr>
            <w:tcW w:type="dxa" w:w="31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Sync Direction</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beneficiaries_cache</w:t>
            </w:r>
          </w:p>
        </w:tc>
        <w:tc>
          <w:tcPr>
            <w:tcW w:type="dxa" w:w="4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Beneficiary profiles, face encodings, quota status for assigned area</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Server → Device (read-only)</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transaction_queue</w:t>
            </w:r>
          </w:p>
        </w:tc>
        <w:tc>
          <w:tcPr>
            <w:tcW w:type="dxa" w:w="4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Pending transactions awaiting sync — UUID, beneficiary, quantity, timestamp, face result</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Device → Server (upload)</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daily_lifting_cache</w:t>
            </w:r>
          </w:p>
        </w:tc>
        <w:tc>
          <w:tcPr>
            <w:tcW w:type="dxa" w:w="4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Today's lifting record per beneficiary (for offline duplicate check)</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Server → Device (refreshed daily)</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monthly_quota_cache</w:t>
            </w:r>
          </w:p>
        </w:tc>
        <w:tc>
          <w:tcPr>
            <w:tcW w:type="dxa" w:w="4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Current month quota consumed per beneficiary</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Server → Device (refreshed on sync)</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sync_metadata</w:t>
            </w:r>
          </w:p>
        </w:tc>
        <w:tc>
          <w:tcPr>
            <w:tcW w:type="dxa" w:w="4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Last sync timestamp, pending queue count, conflict log</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Local only</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4.3 Sync Engine — Transaction Flow</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1 — Offline Operation: Dealer opens app. Beneficiary list, quota status, and daily lifting index are available from local cache. No network call required.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2 — Transaction Recording: Face captured, verified against local face encoding (cached). If match &gt; 85% threshold: eligibility checked from local cache. Transaction written to local transaction_queue with UUID v4 ID, status=PENDING.</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3 — Connectivity Detection: Sync engine polls for connectivity every 30 seconds. When internet is detected, sync is initiated automatically.</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4 — Upload Batch: All PENDING transactions are uploaded to /api/v1/transactions/sync in a single HTTPS batch request. Server validates each transaction: duplicate check, quota enforcement, biometric confidence review.</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5 — Conflict Resolution: Server returns ACKNOWLEDGED or CONFLICTED per transaction. CONFLICTED transactions (e.g., quota already exceeded by another device) are flagged in the local UI for supervisor review. Device marks them as CONFLICT — they are never silently dropped.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STEP 6 — Cache Refresh: After successful sync, server pushes updated quota status and daily lifting index back to the device. Local cache is updated.</w:t>
      </w:r>
    </w:p>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4.4 Security on Device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JWT token stored in Android Keystore (hardware-backed encrypted storage) — not SharedPreferences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SQLite database encrypted with SQLCipher (AES-256) — readable only when device is unlocked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Device fingerprint bound to dealer account — a token issued to one device cannot be used on another</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Auto-logout after 24 hours of inactivity or on remote session revocation by admin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Face encoding stored as binary blob, not raw image — cannot be reversed to reconstruct original photo</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4.5 Biometric Verification Architecture</w:t>
      </w:r>
    </w:p>
    <w:p>
      <w:pPr>
        <w:spacing w:before="60" w:after="120" w:line="340"/>
        <w:jc w:val="left"/>
      </w:pPr>
      <w:r>
        <w:rPr>
          <w:rFonts w:ascii="Arial" w:cs="Arial" w:eastAsia="Arial" w:hAnsi="Arial"/>
          <w:b w:val="false"/>
          <w:bCs w:val="false"/>
          <w:i w:val="false"/>
          <w:iCs w:val="false"/>
          <w:color w:val="1f2937"/>
          <w:sz w:val="22"/>
          <w:szCs w:val="22"/>
        </w:rPr>
        <w:t xml:space="preserve">The system uses a Biometric Abstraction Layer — an interface that wraps the face verification call and can be substituted with fingerprint or multimodal verification without changing the transaction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Verification Stage</w:t>
            </w:r>
          </w:p>
        </w:tc>
        <w:tc>
          <w:tcPr>
            <w:tcW w:type="dxa" w:w="3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Action</w:t>
            </w:r>
          </w:p>
        </w:tc>
        <w:tc>
          <w:tcPr>
            <w:tcW w:type="dxa" w:w="35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Fallback if Fails</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Face Capture</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Camera opens with guided overlay: distance, lighting, centering indicators</w:t>
            </w:r>
          </w:p>
        </w:tc>
        <w:tc>
          <w:tcPr>
            <w:tcW w:type="dxa" w:w="3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repositions device; retry up to 3 times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Local Match (offline)</w:t>
            </w:r>
          </w:p>
        </w:tc>
        <w:tc>
          <w:tcPr>
            <w:tcW w:type="dxa" w:w="3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Face encoding compared against locally cached beneficiary encoding. Confidence score calculated.</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If score &lt; 85%: escalate to retry</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Server Verify (online)</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Full verification on server with audit record. Supports higher-accuracy model.</w:t>
            </w:r>
          </w:p>
        </w:tc>
        <w:tc>
          <w:tcPr>
            <w:tcW w:type="dxa" w:w="3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If score 60–85%: flag for officer review</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Exception Flow</w:t>
            </w:r>
          </w:p>
        </w:tc>
        <w:tc>
          <w:tcPr>
            <w:tcW w:type="dxa" w:w="3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Score &lt; 60% after 3 retries: Officer override modal opens. Reason code + photo required.</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recorded as EXCEPTION with audit 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5</w:t>
            </w:r>
          </w:p>
          <w:p>
            <w:pPr>
              <w:spacing w:before="0" w:after="0"/>
              <w:jc w:val="center"/>
            </w:pPr>
            <w:r>
              <w:rPr>
                <w:rFonts w:ascii="Arial" w:cs="Arial" w:eastAsia="Arial" w:hAnsi="Arial"/>
                <w:b w:val="false"/>
                <w:bCs w:val="false"/>
                <w:i/>
                <w:iCs/>
                <w:color w:val="BFDBFE"/>
                <w:sz w:val="24"/>
                <w:szCs w:val="24"/>
              </w:rPr>
              <w:t xml:space="preserve">Security Architecture</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5. Security Architecture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5.1 Authentication &amp; Authorization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JWT Bearer tokens — stateless, signed with RS256 (asymmetric key pair). Private key held only on auth server.</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Role-Based Access Control (RBAC) — permissions defined per role, evaluated at API Gateway level before request reaches service.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Multi-factor authentication available for super_user and inspector roles.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Device binding — dealer mobile tokens are tied to device fingerprint. Token reuse on different device triggers alert.</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Session revocation — admin can remotely invalidate all active tokens for a specific user or device.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5.2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Data Category</w:t>
            </w:r>
          </w:p>
        </w:tc>
        <w:tc>
          <w:tcPr>
            <w:tcW w:type="dxa" w:w="2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Encryption Standard</w:t>
            </w:r>
          </w:p>
        </w:tc>
        <w:tc>
          <w:tcPr>
            <w:tcW w:type="dxa" w:w="45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Where Applied</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 in Transit</w:t>
            </w:r>
          </w:p>
        </w:tc>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TLS 1.3</w:t>
            </w:r>
          </w:p>
        </w:tc>
        <w:tc>
          <w:tcPr>
            <w:tcW w:type="dxa" w:w="4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All HTTPS connections (API, sync, dashboard)</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 at Rest (DB)</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AES-256</w:t>
            </w:r>
          </w:p>
        </w:tc>
        <w:tc>
          <w:tcPr>
            <w:tcW w:type="dxa" w:w="4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PostgreSQL tablespace encryption</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Mobile Local DB</w:t>
            </w:r>
          </w:p>
        </w:tc>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AES-256 (SQLCipher)</w:t>
            </w:r>
          </w:p>
        </w:tc>
        <w:tc>
          <w:tcPr>
            <w:tcW w:type="dxa" w:w="4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On-device SQLite encryption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Biometric Data</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AES-256 + HMAC</w:t>
            </w:r>
          </w:p>
        </w:tc>
        <w:tc>
          <w:tcPr>
            <w:tcW w:type="dxa" w:w="4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Face encodings stored as encrypted binary</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Passwords</w:t>
            </w:r>
          </w:p>
        </w:tc>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bcrypt (cost 12)</w:t>
            </w:r>
          </w:p>
        </w:tc>
        <w:tc>
          <w:tcPr>
            <w:tcW w:type="dxa" w:w="4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User password hashes in users table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JWT Signing</w:t>
            </w:r>
          </w:p>
        </w:tc>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RS256</w:t>
            </w:r>
          </w:p>
        </w:tc>
        <w:tc>
          <w:tcPr>
            <w:tcW w:type="dxa" w:w="4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Asymmetric key pair — private key on auth server only</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5.3 Audit Trail Architecture</w:t>
      </w:r>
    </w:p>
    <w:p>
      <w:pPr>
        <w:spacing w:before="60" w:after="120" w:line="340"/>
        <w:jc w:val="left"/>
      </w:pPr>
      <w:r>
        <w:rPr>
          <w:rFonts w:ascii="Arial" w:cs="Arial" w:eastAsia="Arial" w:hAnsi="Arial"/>
          <w:b w:val="false"/>
          <w:bCs w:val="false"/>
          <w:i w:val="false"/>
          <w:iCs w:val="false"/>
          <w:color w:val="1f2937"/>
          <w:sz w:val="22"/>
          <w:szCs w:val="22"/>
        </w:rPr>
        <w:t xml:space="preserve">Every state-changing operation in the system writes to the audit_logs table. The audit log is append-only — no application code has permission to UPDATE or DELETE audit records. This is enforced at the PostgreSQL permission level, not just application level.</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Fields logged: user_id, action, table_name, record_id, old_values (JSONB), new_values (JSONB), ip_address, user_agent, timestamp, result_status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Audit log export: administrators can export audit logs filtered by user, date range, action type, or record ID as CSV or PDF</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Breach attempt logging: failed authentication, permission denied, invalid token, and rate limit exceeded events are all logged with full request context</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Offline audit: dealer mobile app maintains a local audit log that syncs with the central audit table — offline actions are never unlogged</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5.4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Endpoint Category</w:t>
            </w:r>
          </w:p>
        </w:tc>
        <w:tc>
          <w:tcPr>
            <w:tcW w:type="dxa" w:w="2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Rate Limit</w:t>
            </w:r>
          </w:p>
        </w:tc>
        <w:tc>
          <w:tcPr>
            <w:tcW w:type="dxa" w:w="43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Enforcement</w:t>
            </w:r>
          </w:p>
        </w:tc>
      </w:tr>
      <w:tr>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Authentication endpoints</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 requests / minute / IP</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Gateway — hard block after limit</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submission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 request / 10 seconds / dealer</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Gateway — 429 Too Many Requests</w:t>
            </w:r>
          </w:p>
        </w:tc>
      </w:tr>
      <w:tr>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Beneficiary lookup</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60 requests / minute / dealer</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Gateway — per-dealer token bucket</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Dashboard data endpoints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120 requests / minute / user</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Redis counter — sliding window</w:t>
            </w:r>
          </w:p>
        </w:tc>
      </w:tr>
      <w:tr>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Bulk sync (offline upload)</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 batch / 5 minutes / device</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Gateway — prevents flood attacks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6</w:t>
            </w:r>
          </w:p>
          <w:p>
            <w:pPr>
              <w:spacing w:before="0" w:after="0"/>
              <w:jc w:val="center"/>
            </w:pPr>
            <w:r>
              <w:rPr>
                <w:rFonts w:ascii="Arial" w:cs="Arial" w:eastAsia="Arial" w:hAnsi="Arial"/>
                <w:b w:val="false"/>
                <w:bCs w:val="false"/>
                <w:i/>
                <w:iCs/>
                <w:color w:val="BFDBFE"/>
                <w:sz w:val="24"/>
                <w:szCs w:val="24"/>
              </w:rPr>
              <w:t xml:space="preserve">Data Architecture &amp; Database Design</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6. Data Architecture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6.1 Five Data Classes</w:t>
      </w:r>
    </w:p>
    <w:p>
      <w:pPr>
        <w:spacing w:before="60" w:after="120" w:line="340"/>
        <w:jc w:val="left"/>
      </w:pPr>
      <w:r>
        <w:rPr>
          <w:rFonts w:ascii="Arial" w:cs="Arial" w:eastAsia="Arial" w:hAnsi="Arial"/>
          <w:b w:val="false"/>
          <w:bCs w:val="false"/>
          <w:i w:val="false"/>
          <w:iCs w:val="false"/>
          <w:color w:val="1f2937"/>
          <w:sz w:val="22"/>
          <w:szCs w:val="22"/>
        </w:rPr>
        <w:t xml:space="preserve">The OMS data model is organized into five distinct classes with different access patterns, retention policies, and governance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600"/>
        <w:gridCol w:w="2360"/>
      </w:tblGrid>
      <w:tr>
        <w:tc>
          <w:tcPr>
            <w:tcW w:type="dxa" w:w="2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Class</w:t>
            </w:r>
          </w:p>
        </w:tc>
        <w:tc>
          <w:tcPr>
            <w:tcW w:type="dxa" w:w="3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Tables</w:t>
            </w:r>
          </w:p>
        </w:tc>
        <w:tc>
          <w:tcPr>
            <w:tcW w:type="dxa" w:w="16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Retention</w:t>
            </w:r>
          </w:p>
        </w:tc>
        <w:tc>
          <w:tcPr>
            <w:tcW w:type="dxa" w:w="23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Access Pattern</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 Master Data</w:t>
            </w:r>
          </w:p>
        </w:tc>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users, dealers, offices, beneficiaries, programs, roles</w:t>
            </w:r>
          </w:p>
        </w:tc>
        <w:tc>
          <w:tcPr>
            <w:tcW w:type="dxa" w:w="1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 years+</w:t>
            </w:r>
          </w:p>
        </w:tc>
        <w:tc>
          <w:tcPr>
            <w:tcW w:type="dxa" w:w="2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Read-heavy, slow write, version history</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 Transaction Data</w:t>
            </w:r>
          </w:p>
        </w:tc>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transactions, allotments, delivery_orders</w:t>
            </w:r>
          </w:p>
        </w:tc>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 years+</w:t>
            </w:r>
          </w:p>
        </w:tc>
        <w:tc>
          <w:tcPr>
            <w:tcW w:type="dxa" w:w="2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Append-only, never modified after commit</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 Operational Data</w:t>
            </w:r>
          </w:p>
        </w:tc>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daily_beneficiary_index, monthly_quota_tracking</w:t>
            </w:r>
          </w:p>
        </w:tc>
        <w:tc>
          <w:tcPr>
            <w:tcW w:type="dxa" w:w="1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13 months</w:t>
            </w:r>
          </w:p>
        </w:tc>
        <w:tc>
          <w:tcPr>
            <w:tcW w:type="dxa" w:w="2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Very high read/write — Redis cached for speed</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 Audit Data</w:t>
            </w:r>
          </w:p>
        </w:tc>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audit_logs</w:t>
            </w:r>
          </w:p>
        </w:tc>
        <w:tc>
          <w:tcPr>
            <w:tcW w:type="dxa" w:w="1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10 years+</w:t>
            </w:r>
          </w:p>
        </w:tc>
        <w:tc>
          <w:tcPr>
            <w:tcW w:type="dxa" w:w="2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Append-only. No UPDATE/DELETE permissions</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E. Session Data</w:t>
            </w:r>
          </w:p>
        </w:tc>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sessions, sync_queue</w:t>
            </w:r>
          </w:p>
        </w:tc>
        <w:tc>
          <w:tcPr>
            <w:tcW w:type="dxa" w:w="1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30 days</w:t>
            </w:r>
          </w:p>
        </w:tc>
        <w:tc>
          <w:tcPr>
            <w:tcW w:type="dxa" w:w="2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High churn, TTL-based expiry</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6.2 Table Relationship Overview</w:t>
      </w:r>
    </w:p>
    <w:p>
      <w:pPr>
        <w:spacing w:before="60" w:after="120" w:line="340"/>
        <w:jc w:val="left"/>
      </w:pPr>
      <w:r>
        <w:rPr>
          <w:rFonts w:ascii="Arial" w:cs="Arial" w:eastAsia="Arial" w:hAnsi="Arial"/>
          <w:b w:val="false"/>
          <w:bCs w:val="false"/>
          <w:i w:val="false"/>
          <w:iCs w:val="false"/>
          <w:color w:val="1f2937"/>
          <w:sz w:val="22"/>
          <w:szCs w:val="22"/>
        </w:rPr>
        <w:t xml:space="preserve">The following describes the primary foreign key relationships that enforce data integrity across the fifteen database tables: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offices (hierarchical self-reference) → dealers, beneficiaries, users, transactions — all entity records are scoped to an administrative office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users → (created_by) on all entity tables — every record traces to the user who created it</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dealers → transactions, allotments, delivery_orders — all dealer activities are linked to the dealer record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beneficiaries → transactions, daily_beneficiary_index, monthly_quota_tracking — beneficiary identity is the anchor of the anti-leakage system</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transactions → audit_logs (via trigger) — every transaction commit automatically generates an audit record</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6.3 Performance Optimization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Optimization</w:t>
            </w:r>
          </w:p>
        </w:tc>
        <w:tc>
          <w:tcPr>
            <w:tcW w:type="dxa" w:w="3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Mechanism</w:t>
            </w:r>
          </w:p>
        </w:tc>
        <w:tc>
          <w:tcPr>
            <w:tcW w:type="dxa" w:w="31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Target Query</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Duplicate check (daily)</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Partial index on daily_beneficiary_index(beneficiary_id, index_date)</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 1ms lookup — called on every transaction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Quota check (monthly)</w:t>
            </w:r>
          </w:p>
        </w:tc>
        <w:tc>
          <w:tcPr>
            <w:tcW w:type="dxa" w:w="3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Redis cache of monthly_quota_tracking — refreshed on each transaction</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Sub-millisecond — no DB round-trip at runtime</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Beneficiary lookup</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Index on beneficiaries(national_id) — unique B-tree index</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 5ms — high-frequency dealer query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history</w:t>
            </w:r>
          </w:p>
        </w:tc>
        <w:tc>
          <w:tcPr>
            <w:tcW w:type="dxa" w:w="3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Composite index on transactions(dealer_id, transaction_date)</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daily report queries</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Audit log queries</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Index on audit_logs(timestamp DESC, user_id)</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Admin oversight queries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Table partitioning</w:t>
            </w:r>
          </w:p>
        </w:tc>
        <w:tc>
          <w:tcPr>
            <w:tcW w:type="dxa" w:w="3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transactions partitioned by month — pg_partman</w:t>
            </w:r>
          </w:p>
        </w:tc>
        <w:tc>
          <w:tcPr>
            <w:tcW w:type="dxa" w:w="31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Archive queries skip current partitions</w:t>
            </w:r>
          </w:p>
        </w:tc>
      </w:tr>
      <w:tr>
        <w:tc>
          <w:tcPr>
            <w:tcW w:type="dxa" w:w="2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aggregation</w:t>
            </w:r>
          </w:p>
        </w:tc>
        <w:tc>
          <w:tcPr>
            <w:tcW w:type="dxa" w:w="3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Materialized views refreshed hourly — populated from transactions</w:t>
            </w:r>
          </w:p>
        </w:tc>
        <w:tc>
          <w:tcPr>
            <w:tcW w:type="dxa" w:w="31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Dashboard load &lt; 500ms</w:t>
            </w:r>
          </w:p>
        </w:tc>
      </w:tr>
    </w:tbl>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6.4 Backup &amp;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Parameter</w:t>
            </w:r>
          </w:p>
        </w:tc>
        <w:tc>
          <w:tcPr>
            <w:tcW w:type="dxa" w:w="58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Specification</w:t>
            </w:r>
          </w:p>
        </w:tc>
      </w:tr>
      <w:tr>
        <w:tc>
          <w:tcPr>
            <w:tcW w:type="dxa" w:w="35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Full Backup Frequency</w:t>
            </w:r>
          </w:p>
        </w:tc>
        <w:tc>
          <w:tcPr>
            <w:tcW w:type="dxa" w:w="58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Daily at 02:00 BDT — automated via pg_dump</w:t>
            </w:r>
          </w:p>
        </w:tc>
      </w:tr>
      <w:tr>
        <w:tc>
          <w:tcPr>
            <w:tcW w:type="dxa" w:w="35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Incremental Backup</w:t>
            </w:r>
          </w:p>
        </w:tc>
        <w:tc>
          <w:tcPr>
            <w:tcW w:type="dxa" w:w="58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Hourly WAL archiving — point-in-time recovery to any minute</w:t>
            </w:r>
          </w:p>
        </w:tc>
      </w:tr>
      <w:tr>
        <w:tc>
          <w:tcPr>
            <w:tcW w:type="dxa" w:w="35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Backup Retention</w:t>
            </w:r>
          </w:p>
        </w:tc>
        <w:tc>
          <w:tcPr>
            <w:tcW w:type="dxa" w:w="58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30 days full backups + 90 days WAL archives</w:t>
            </w:r>
          </w:p>
        </w:tc>
      </w:tr>
      <w:tr>
        <w:tc>
          <w:tcPr>
            <w:tcW w:type="dxa" w:w="35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Backup Location</w:t>
            </w:r>
          </w:p>
        </w:tc>
        <w:tc>
          <w:tcPr>
            <w:tcW w:type="dxa" w:w="58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Primary + geographically separate secondary storage</w:t>
            </w:r>
          </w:p>
        </w:tc>
      </w:tr>
      <w:tr>
        <w:tc>
          <w:tcPr>
            <w:tcW w:type="dxa" w:w="35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Recovery Time Objective</w:t>
            </w:r>
          </w:p>
        </w:tc>
        <w:tc>
          <w:tcPr>
            <w:tcW w:type="dxa" w:w="58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 1 hour (RTO) — from backup restoration to service resume</w:t>
            </w:r>
          </w:p>
        </w:tc>
      </w:tr>
      <w:tr>
        <w:tc>
          <w:tcPr>
            <w:tcW w:type="dxa" w:w="35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Recovery Point Objective</w:t>
            </w:r>
          </w:p>
        </w:tc>
        <w:tc>
          <w:tcPr>
            <w:tcW w:type="dxa" w:w="58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 1 hour (RPO) — maximum 1 hour of data loss in worst case</w:t>
            </w:r>
          </w:p>
        </w:tc>
      </w:tr>
      <w:tr>
        <w:tc>
          <w:tcPr>
            <w:tcW w:type="dxa" w:w="35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DR Test Frequency</w:t>
            </w:r>
          </w:p>
        </w:tc>
        <w:tc>
          <w:tcPr>
            <w:tcW w:type="dxa" w:w="58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Monthly simulated recovery drill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7</w:t>
            </w:r>
          </w:p>
          <w:p>
            <w:pPr>
              <w:spacing w:before="0" w:after="0"/>
              <w:jc w:val="center"/>
            </w:pPr>
            <w:r>
              <w:rPr>
                <w:rFonts w:ascii="Arial" w:cs="Arial" w:eastAsia="Arial" w:hAnsi="Arial"/>
                <w:b w:val="false"/>
                <w:bCs w:val="false"/>
                <w:i/>
                <w:iCs/>
                <w:color w:val="BFDBFE"/>
                <w:sz w:val="24"/>
                <w:szCs w:val="24"/>
              </w:rPr>
              <w:t xml:space="preserve">Infrastructure &amp; Deployment</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7. Infrastructure Architecture</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7.1 MVP Infrastructure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3560"/>
      </w:tblGrid>
      <w:tr>
        <w:tc>
          <w:tcPr>
            <w:tcW w:type="dxa" w:w="2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Server Role</w:t>
            </w:r>
          </w:p>
        </w:tc>
        <w:tc>
          <w:tcPr>
            <w:tcW w:type="dxa" w:w="2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Specification</w:t>
            </w:r>
          </w:p>
        </w:tc>
        <w:tc>
          <w:tcPr>
            <w:tcW w:type="dxa" w:w="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Count</w:t>
            </w:r>
          </w:p>
        </w:tc>
        <w:tc>
          <w:tcPr>
            <w:tcW w:type="dxa" w:w="35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Purpose</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Server</w:t>
            </w:r>
          </w:p>
        </w:tc>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8 vCPU, 16GB RAM, 100GB SSD</w:t>
            </w:r>
          </w:p>
        </w:tc>
        <w:tc>
          <w:tcPr>
            <w:tcW w:type="dxa" w:w="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2</w:t>
            </w:r>
          </w:p>
        </w:tc>
        <w:tc>
          <w:tcPr>
            <w:tcW w:type="dxa" w:w="3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Microservices, horizontal scaling with load balancer</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Database Server</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16 vCPU, 64GB RAM, 2TB NVMe</w:t>
            </w:r>
          </w:p>
        </w:tc>
        <w:tc>
          <w:tcPr>
            <w:tcW w:type="dxa" w:w="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1+1</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PostgreSQL primary + hot standby replica</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Cache Server</w:t>
            </w:r>
          </w:p>
        </w:tc>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4 vCPU, 8GB RAM, 50GB SSD</w:t>
            </w:r>
          </w:p>
        </w:tc>
        <w:tc>
          <w:tcPr>
            <w:tcW w:type="dxa" w:w="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w:t>
            </w:r>
          </w:p>
        </w:tc>
        <w:tc>
          <w:tcPr>
            <w:tcW w:type="dxa" w:w="3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Redis — session store, quota cache, rate limiting</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Queue Server</w:t>
            </w:r>
          </w:p>
        </w:tc>
        <w:tc>
          <w:tcPr>
            <w:tcW w:type="dxa" w:w="2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4 vCPU, 8GB RAM</w:t>
            </w:r>
          </w:p>
        </w:tc>
        <w:tc>
          <w:tcPr>
            <w:tcW w:type="dxa" w:w="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RabbitMQ — async messages, SMS dispatch, sync events</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Monitor Server</w:t>
            </w:r>
          </w:p>
        </w:tc>
        <w:tc>
          <w:tcPr>
            <w:tcW w:type="dxa" w:w="2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4 vCPU, 8GB RAM</w:t>
            </w:r>
          </w:p>
        </w:tc>
        <w:tc>
          <w:tcPr>
            <w:tcW w:type="dxa" w:w="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w:t>
            </w:r>
          </w:p>
        </w:tc>
        <w:tc>
          <w:tcPr>
            <w:tcW w:type="dxa" w:w="35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Prometheus, Grafana, ELK Stack, Alertmanager</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7.2 Deployment Strategy — Docker + Kubernetes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All microservices run as Docker containers — consistent environment from development through production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Kubernetes (K8s) orchestrates container scheduling, auto-scaling, health checks, and rolling deployments</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Deployment strategy: Rolling Update — new version deployed pod by pod with zero downtime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Horizontal Pod Autoscaler (HPA) — Transaction Service and Beneficiary Service scale to 2–8 pods based on CPU/request load</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Liveness and readiness probes — K8s automatically restarts unhealthy pods and removes them from load balancer rotation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ConfigMaps and Secrets — environment-specific configuration managed separately from container images. Database passwords, JWT keys, and SMS gateway credentials stored in K8s Secrets.</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7.3 High Availability Configuration</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API layer: 2 API server nodes behind NGINX load balancer — N+1 redundancy. If one server fails, all traffic routes to the other.</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Database: Primary + Hot Standby with streaming replication (&lt; 1 second lag). Automatic failover via Patroni.</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Redis: Master + Replica. Sentinel monitors and promotes replica on primary failure.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Message Queue: RabbitMQ clustered with mirrored queues — no message loss on node failure.</w:t>
      </w:r>
    </w:p>
    <w:p>
      <w:pPr>
        <w:pStyle w:val="ListParagraph"/>
        <w:numPr>
          <w:ilvl w:val="0"/>
          <w:numId w:val="2"/>
        </w:numPr>
        <w:spacing w:before="40" w:after="60" w:line="300"/>
      </w:pPr>
      <w:r>
        <w:rPr>
          <w:rFonts w:ascii="Arial" w:cs="Arial" w:eastAsia="Arial" w:hAnsi="Arial"/>
          <w:b w:val="false"/>
          <w:bCs w:val="false"/>
          <w:i w:val="false"/>
          <w:iCs w:val="false"/>
          <w:color w:val="1f2937"/>
          <w:sz w:val="22"/>
          <w:szCs w:val="22"/>
        </w:rPr>
        <w:t xml:space="preserve">Monitoring alerts: PagerDuty / SMS alert to on-call admin within 1 minute of service degradation.</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7.4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Layer</w:t>
            </w:r>
          </w:p>
        </w:tc>
        <w:tc>
          <w:tcPr>
            <w:tcW w:type="dxa" w:w="18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Technology</w:t>
            </w:r>
          </w:p>
        </w:tc>
        <w:tc>
          <w:tcPr>
            <w:tcW w:type="dxa" w:w="1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Version</w:t>
            </w:r>
          </w:p>
        </w:tc>
        <w:tc>
          <w:tcPr>
            <w:tcW w:type="dxa" w:w="43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Backend Framework</w:t>
            </w:r>
          </w:p>
        </w:tc>
        <w:tc>
          <w:tcPr>
            <w:tcW w:type="dxa" w:w="1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Spring Boot</w:t>
            </w:r>
          </w:p>
        </w:tc>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3.x</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Enterprise-grade, government-proven, strong BD developer ecosystem</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Language</w:t>
            </w:r>
          </w:p>
        </w:tc>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Java</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17+</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Long-term support (LTS), stable, institutional credibility</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Primary Database</w:t>
            </w:r>
          </w:p>
        </w:tc>
        <w:tc>
          <w:tcPr>
            <w:tcW w:type="dxa" w:w="1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PostgreSQL</w:t>
            </w:r>
          </w:p>
        </w:tc>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15+</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Open source, zero licensing cost, excellent for audit/reporting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Cache</w:t>
            </w:r>
          </w:p>
        </w:tc>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Redis</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7.x</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Sub-millisecond quota lookups, session management</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Message Queue</w:t>
            </w:r>
          </w:p>
        </w:tc>
        <w:tc>
          <w:tcPr>
            <w:tcW w:type="dxa" w:w="1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RabbitMQ</w:t>
            </w:r>
          </w:p>
        </w:tc>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3.x</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SRS explicitly requires AMQP support</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Mobile</w:t>
            </w:r>
          </w:p>
        </w:tc>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Native Android</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API 24+</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Reliable camera API for biometrics, proven offline performance</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Mobile DB</w:t>
            </w:r>
          </w:p>
        </w:tc>
        <w:tc>
          <w:tcPr>
            <w:tcW w:type="dxa" w:w="1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SQLite + SQLCipher</w:t>
            </w:r>
          </w:p>
        </w:tc>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3.x</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Encrypted offline storage — industry standard</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Web Frontend</w:t>
            </w:r>
          </w:p>
        </w:tc>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React + TypeScript</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19+</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Component-based, maintainable, strong BD developer availability</w:t>
            </w:r>
          </w:p>
        </w:tc>
      </w:tr>
      <w:tr>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Container</w:t>
            </w:r>
          </w:p>
        </w:tc>
        <w:tc>
          <w:tcPr>
            <w:tcW w:type="dxa" w:w="18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Docker + K8s</w:t>
            </w:r>
          </w:p>
        </w:tc>
        <w:tc>
          <w:tcPr>
            <w:tcW w:type="dxa" w:w="1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stable</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Standard government-cloud deployment target</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Monitoring</w:t>
            </w:r>
          </w:p>
        </w:tc>
        <w:tc>
          <w:tcPr>
            <w:tcW w:type="dxa" w:w="18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Prometheus + Grafana</w:t>
            </w:r>
          </w:p>
        </w:tc>
        <w:tc>
          <w:tcPr>
            <w:tcW w:type="dxa" w:w="1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LTS</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Open source, comprehensive metrics and alerting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8</w:t>
            </w:r>
          </w:p>
          <w:p>
            <w:pPr>
              <w:spacing w:before="0" w:after="0"/>
              <w:jc w:val="center"/>
            </w:pPr>
            <w:r>
              <w:rPr>
                <w:rFonts w:ascii="Arial" w:cs="Arial" w:eastAsia="Arial" w:hAnsi="Arial"/>
                <w:b w:val="false"/>
                <w:bCs w:val="false"/>
                <w:i/>
                <w:iCs/>
                <w:color w:val="BFDBFE"/>
                <w:sz w:val="24"/>
                <w:szCs w:val="24"/>
              </w:rPr>
              <w:t xml:space="preserve">External System Integrations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8. External Integrations</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8.1 Integration Overview</w:t>
      </w:r>
    </w:p>
    <w:p>
      <w:pPr>
        <w:spacing w:before="60" w:after="120" w:line="340"/>
        <w:jc w:val="left"/>
      </w:pPr>
      <w:r>
        <w:rPr>
          <w:rFonts w:ascii="Arial" w:cs="Arial" w:eastAsia="Arial" w:hAnsi="Arial"/>
          <w:b w:val="false"/>
          <w:bCs w:val="false"/>
          <w:i w:val="false"/>
          <w:iCs w:val="false"/>
          <w:color w:val="1f2937"/>
          <w:sz w:val="22"/>
          <w:szCs w:val="22"/>
        </w:rPr>
        <w:t xml:space="preserve">The OMS platform is designed as an integration-ready system with a defined external API contract. The following integrations are planned across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400"/>
        <w:gridCol w:w="4360"/>
      </w:tblGrid>
      <w:tr>
        <w:tc>
          <w:tcPr>
            <w:tcW w:type="dxa" w:w="26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Integration</w:t>
            </w:r>
          </w:p>
        </w:tc>
        <w:tc>
          <w:tcPr>
            <w:tcW w:type="dxa" w:w="1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Phase</w:t>
            </w:r>
          </w:p>
        </w:tc>
        <w:tc>
          <w:tcPr>
            <w:tcW w:type="dxa" w:w="1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Protocol</w:t>
            </w:r>
          </w:p>
        </w:tc>
        <w:tc>
          <w:tcPr>
            <w:tcW w:type="dxa" w:w="43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Purpose</w:t>
            </w:r>
          </w:p>
        </w:tc>
      </w:tr>
      <w:tr>
        <w:tc>
          <w:tcPr>
            <w:tcW w:type="dxa" w:w="2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Bangladesh Bank Payment Gateway</w:t>
            </w:r>
          </w:p>
        </w:tc>
        <w:tc>
          <w:tcPr>
            <w:tcW w:type="dxa" w:w="1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Phase 2</w:t>
            </w:r>
          </w:p>
        </w:tc>
        <w:tc>
          <w:tcPr>
            <w:tcW w:type="dxa" w:w="1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REST/HTTPS</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deposit verification and payment confirmation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Government Beneficiary Database</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Phase 2</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REST/HTTPS</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Eligibility cross-check against national social protection registry</w:t>
            </w:r>
          </w:p>
        </w:tc>
      </w:tr>
      <w:tr>
        <w:tc>
          <w:tcPr>
            <w:tcW w:type="dxa" w:w="2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Google Maps / GPS API</w:t>
            </w:r>
          </w:p>
        </w:tc>
        <w:tc>
          <w:tcPr>
            <w:tcW w:type="dxa" w:w="1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Phase 2</w:t>
            </w:r>
          </w:p>
        </w:tc>
        <w:tc>
          <w:tcPr>
            <w:tcW w:type="dxa" w:w="1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REST/HTTPS</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location verification, area-based anomaly detection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IP Camera System</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Phase 3</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RTSP / REST</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Physical observation module — live feed tagging to transactions</w:t>
            </w:r>
          </w:p>
        </w:tc>
      </w:tr>
      <w:tr>
        <w:tc>
          <w:tcPr>
            <w:tcW w:type="dxa" w:w="26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SMS Gateway (Robi/GP/etc.)</w:t>
            </w:r>
          </w:p>
        </w:tc>
        <w:tc>
          <w:tcPr>
            <w:tcW w:type="dxa" w:w="1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MVP</w:t>
            </w:r>
          </w:p>
        </w:tc>
        <w:tc>
          <w:tcPr>
            <w:tcW w:type="dxa" w:w="1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REST/HTTPS</w:t>
            </w:r>
          </w:p>
        </w:tc>
        <w:tc>
          <w:tcPr>
            <w:tcW w:type="dxa" w:w="43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notifications, OTP delivery, anomaly alerts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National ID Verification API</w:t>
            </w:r>
          </w:p>
        </w:tc>
        <w:tc>
          <w:tcPr>
            <w:tcW w:type="dxa" w:w="1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Phase 2</w:t>
            </w:r>
          </w:p>
        </w:tc>
        <w:tc>
          <w:tcPr>
            <w:tcW w:type="dxa" w:w="1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REST/HTTPS</w:t>
            </w:r>
          </w:p>
        </w:tc>
        <w:tc>
          <w:tcPr>
            <w:tcW w:type="dxa" w:w="43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Beneficiary NID validation at registration</w:t>
            </w:r>
          </w:p>
        </w:tc>
      </w:tr>
    </w:tbl>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8.2 API Versioning Policy</w:t>
      </w:r>
    </w:p>
    <w:p>
      <w:pPr>
        <w:spacing w:before="60" w:after="120" w:line="340"/>
        <w:jc w:val="left"/>
      </w:pPr>
      <w:r>
        <w:rPr>
          <w:rFonts w:ascii="Arial" w:cs="Arial" w:eastAsia="Arial" w:hAnsi="Arial"/>
          <w:b w:val="false"/>
          <w:bCs w:val="false"/>
          <w:i w:val="false"/>
          <w:iCs w:val="false"/>
          <w:color w:val="1f2937"/>
          <w:sz w:val="22"/>
          <w:szCs w:val="22"/>
        </w:rPr>
        <w:t xml:space="preserve">All APIs follow semantic versioning at the URL path level (/api/v1/, /api/v2/). Breaking changes always result in a new version — existing versions are maintained for 12 months after deprecation notice. Internal services communicate via versioned contracts defined in OpenAPI 3.0 specification files included in the source code repository.</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8.3 AMQP Message Schema</w:t>
      </w:r>
    </w:p>
    <w:p>
      <w:pPr>
        <w:spacing w:before="60" w:after="120" w:line="340"/>
        <w:jc w:val="left"/>
      </w:pPr>
      <w:r>
        <w:rPr>
          <w:rFonts w:ascii="Arial" w:cs="Arial" w:eastAsia="Arial" w:hAnsi="Arial"/>
          <w:b w:val="false"/>
          <w:bCs w:val="false"/>
          <w:i w:val="false"/>
          <w:iCs w:val="false"/>
          <w:color w:val="1f2937"/>
          <w:sz w:val="22"/>
          <w:szCs w:val="22"/>
        </w:rPr>
        <w:t xml:space="preserve">The SRS requires AMQP support (§4.5 — Interoperability and Data Exchange). The following message types are published on RabbitMQ exchanges: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Exchange</w:t>
            </w:r>
          </w:p>
        </w:tc>
        <w:tc>
          <w:tcPr>
            <w:tcW w:type="dxa" w:w="2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Routing Key</w:t>
            </w:r>
          </w:p>
        </w:tc>
        <w:tc>
          <w:tcPr>
            <w:tcW w:type="dxa" w:w="20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Published By</w:t>
            </w:r>
          </w:p>
        </w:tc>
        <w:tc>
          <w:tcPr>
            <w:tcW w:type="dxa" w:w="29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Consumed By</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oms.transactions</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transaction.created</w:t>
            </w:r>
          </w:p>
        </w:tc>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Service</w:t>
            </w:r>
          </w:p>
        </w:tc>
        <w:tc>
          <w:tcPr>
            <w:tcW w:type="dxa" w:w="2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Notification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oms.transactions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transaction.synced</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Service</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oms.transactions</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transaction.blocked</w:t>
            </w:r>
          </w:p>
        </w:tc>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Service</w:t>
            </w:r>
          </w:p>
        </w:tc>
        <w:tc>
          <w:tcPr>
            <w:tcW w:type="dxa" w:w="2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Alert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oms.dealers</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dealer.approved</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Service</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Notification (SMS)</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oms.dealers</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dealer.allotment.created</w:t>
            </w:r>
          </w:p>
        </w:tc>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Service</w:t>
            </w:r>
          </w:p>
        </w:tc>
        <w:tc>
          <w:tcPr>
            <w:tcW w:type="dxa" w:w="2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Notification (SMS)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oms.sync</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sync.batch.received</w:t>
            </w:r>
          </w:p>
        </w:tc>
        <w:tc>
          <w:tcPr>
            <w:tcW w:type="dxa" w:w="2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Transaction Service</w:t>
            </w:r>
          </w:p>
        </w:tc>
        <w:tc>
          <w:tcPr>
            <w:tcW w:type="dxa" w:w="29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w:t>
            </w:r>
          </w:p>
        </w:tc>
      </w:tr>
      <w:tr>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oms.alerts</w:t>
            </w:r>
          </w:p>
        </w:tc>
        <w:tc>
          <w:tcPr>
            <w:tcW w:type="dxa" w:w="2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anomaly.detected</w:t>
            </w:r>
          </w:p>
        </w:tc>
        <w:tc>
          <w:tcPr>
            <w:tcW w:type="dxa" w:w="20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Service</w:t>
            </w:r>
          </w:p>
        </w:tc>
        <w:tc>
          <w:tcPr>
            <w:tcW w:type="dxa" w:w="29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Notification,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160" w:val="clear"/>
            <w:tcMar>
              <w:top w:type="dxa" w:w="400"/>
              <w:left w:type="dxa" w:w="400"/>
              <w:bottom w:type="dxa" w:w="400"/>
              <w:right w:type="dxa" w:w="400"/>
            </w:tcMar>
          </w:tcPr>
          <w:p>
            <w:pPr>
              <w:spacing w:before="0" w:after="80"/>
              <w:jc w:val="center"/>
            </w:pPr>
            <w:r>
              <w:rPr>
                <w:rFonts w:ascii="Arial" w:cs="Arial" w:eastAsia="Arial" w:hAnsi="Arial"/>
                <w:b/>
                <w:bCs/>
                <w:i w:val="false"/>
                <w:iCs w:val="false"/>
                <w:color w:val="FFFFFF"/>
                <w:sz w:val="48"/>
                <w:szCs w:val="48"/>
              </w:rPr>
              <w:t xml:space="preserve">SECTION 9</w:t>
            </w:r>
          </w:p>
          <w:p>
            <w:pPr>
              <w:spacing w:before="0" w:after="0"/>
              <w:jc w:val="center"/>
            </w:pPr>
            <w:r>
              <w:rPr>
                <w:rFonts w:ascii="Arial" w:cs="Arial" w:eastAsia="Arial" w:hAnsi="Arial"/>
                <w:b w:val="false"/>
                <w:bCs w:val="false"/>
                <w:i/>
                <w:iCs/>
                <w:color w:val="BFDBFE"/>
                <w:sz w:val="24"/>
                <w:szCs w:val="24"/>
              </w:rPr>
              <w:t xml:space="preserve">Compliance with SRS Requirements</w:t>
            </w:r>
          </w:p>
        </w:tc>
      </w:tr>
    </w:tbl>
    <w:p>
      <w:pPr>
        <w:spacing w:before="0" w:after="60"/>
      </w:pPr>
      <w:r>
        <w:rPr>
          <w:rFonts w:ascii="Arial" w:cs="Arial" w:eastAsia="Arial" w:hAnsi="Arial"/>
          <w:b w:val="false"/>
          <w:bCs w:val="false"/>
          <w:i w:val="false"/>
          <w:iCs w:val="false"/>
          <w:color w:val="1f2937"/>
          <w:sz w:val="22"/>
          <w:szCs w:val="22"/>
        </w:rPr>
        <w:t xml:space="preserve"/>
      </w:r>
    </w:p>
    <w:p>
      <w:pPr>
        <w:pStyle w:val="Heading1"/>
        <w:spacing w:before="480" w:after="200"/>
      </w:pPr>
      <w:r>
        <w:rPr>
          <w:rFonts w:ascii="Arial" w:cs="Arial" w:eastAsia="Arial" w:hAnsi="Arial"/>
          <w:b/>
          <w:bCs/>
          <w:i w:val="false"/>
          <w:iCs w:val="false"/>
          <w:color w:val="1E3A8A"/>
          <w:sz w:val="36"/>
          <w:szCs w:val="36"/>
        </w:rPr>
        <w:t xml:space="preserve">9. SRS Compliance Mapping</w:t>
      </w:r>
    </w:p>
    <w:p>
      <w:pPr>
        <w:pStyle w:val="Heading2"/>
        <w:pBdr>
          <w:bottom w:val="single" w:color="0D9488" w:sz="4" w:space="4"/>
        </w:pBdr>
        <w:spacing w:before="320" w:after="140"/>
      </w:pPr>
      <w:r>
        <w:rPr>
          <w:rFonts w:ascii="Arial" w:cs="Arial" w:eastAsia="Arial" w:hAnsi="Arial"/>
          <w:b/>
          <w:bCs/>
          <w:i w:val="false"/>
          <w:iCs w:val="false"/>
          <w:color w:val="1E3A8A"/>
          <w:sz w:val="28"/>
          <w:szCs w:val="28"/>
        </w:rPr>
        <w:t xml:space="preserve">9.1 Functional Requirements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SRS Requirement</w:t>
            </w:r>
          </w:p>
        </w:tc>
        <w:tc>
          <w:tcPr>
            <w:tcW w:type="dxa" w:w="320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Architecture Component</w:t>
            </w:r>
          </w:p>
        </w:tc>
        <w:tc>
          <w:tcPr>
            <w:tcW w:type="dxa" w:w="2760"/>
            <w:tcBorders>
              <w:top w:val="none" w:color="FFFFFF" w:sz="0"/>
              <w:left w:val="none" w:color="FFFFFF" w:sz="0"/>
              <w:bottom w:val="none" w:color="FFFFFF" w:sz="0"/>
              <w:right w:val="none" w:color="FFFFFF" w:sz="0"/>
            </w:tcBorders>
            <w:shd w:fill="1E3A8A" w:val="clear"/>
            <w:tcMar>
              <w:top w:type="dxa" w:w="80"/>
              <w:left w:type="dxa" w:w="140"/>
              <w:bottom w:type="dxa" w:w="80"/>
              <w:right w:type="dxa" w:w="140"/>
            </w:tcMar>
          </w:tcPr>
          <w:p>
            <w:r>
              <w:rPr>
                <w:rFonts w:ascii="Arial" w:cs="Arial" w:eastAsia="Arial" w:hAnsi="Arial"/>
                <w:b/>
                <w:bCs/>
                <w:i w:val="false"/>
                <w:iCs w:val="false"/>
                <w:color w:val="FFFFFF"/>
                <w:sz w:val="20"/>
                <w:szCs w:val="20"/>
              </w:rPr>
              <w:t xml:space="preserve">Coverage Status</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1 — Dealer Registration (online, approval, login, renewal)</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Service + Web Dashboard + Android App</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2 — Dealer Management (allotment, deposit, DO, payment)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Service + Bangladesh Bank integration</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Phase 1+2</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3 — Distribution (beneficiary reg, face auth, duplicate prevention, quota)</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Biometric Abstraction Layer + Beneficiary Service + Transaction Service</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4 — Observation (sales monitoring, physical inspection, IP camera)</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Service + Observation module (Phase 2) + IP Camera (Phase 3)</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Phased</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5 — OMS Setup (office, dealer approval config, program config)</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Admin Web Dashboard + Configuration Service</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Module 6 — User Management (create, roles, permissions, groups, audit)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Auth Service + RBAC + audit_logs table</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Face authentication for distribution</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Biometric Abstraction Layer (face-first, fingerprint-ready)</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 + future-proof</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Offline-first mobile with conditional sync</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Android App + SQLite + Sync Engine</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SMS notifications for allotment and payment</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Notification Service + RabbitMQ + SMS Gateway</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MVP scope</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Data analysis module for poverty/demand intelligence</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Analytics Service — Level 1 at MVP, Level 2-3 phased</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Phased</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Source code handover + developer manual + code comments</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Delivery policy — included in contract terms</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Committed</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AMQP message queue support</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RabbitMQ — core infrastructure component</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REST API with TLS encryption</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All APIs HTTPS/TLS 1.3, OpenAPI 3.0 documented</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Audit trail: access, modification, breach attempts, timestamps</w:t>
            </w:r>
          </w:p>
        </w:tc>
        <w:tc>
          <w:tcPr>
            <w:tcW w:type="dxa" w:w="3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audit_logs table + append-only PostgreSQL permissions</w:t>
            </w:r>
          </w:p>
        </w:tc>
        <w:tc>
          <w:tcPr>
            <w:tcW w:type="dxa" w:w="2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Full coverage</w:t>
            </w:r>
          </w:p>
        </w:tc>
      </w:tr>
      <w:tr>
        <w:tc>
          <w:tcPr>
            <w:tcW w:type="dxa" w:w="34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Bangladesh Bank payment integration</w:t>
            </w:r>
          </w:p>
        </w:tc>
        <w:tc>
          <w:tcPr>
            <w:tcW w:type="dxa" w:w="320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Dealer Service — REST integration</w:t>
            </w:r>
          </w:p>
        </w:tc>
        <w:tc>
          <w:tcPr>
            <w:tcW w:type="dxa" w:w="2760"/>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b w:val="false"/>
                <w:bCs w:val="false"/>
                <w:i w:val="false"/>
                <w:iCs w:val="false"/>
                <w:color w:val="1f2937"/>
                <w:sz w:val="20"/>
                <w:szCs w:val="20"/>
              </w:rPr>
              <w:t xml:space="preserve">✓ Phase 2</w:t>
            </w:r>
          </w:p>
        </w:tc>
      </w:tr>
    </w:tbl>
    <w:p>
      <w:pPr>
        <w:spacing w:before="0" w:after="60"/>
      </w:pPr>
      <w:r>
        <w:rPr>
          <w:rFonts w:ascii="Arial" w:cs="Arial" w:eastAsia="Arial" w:hAnsi="Arial"/>
          <w:b w:val="false"/>
          <w:bCs w:val="false"/>
          <w:i w:val="false"/>
          <w:iCs w:val="false"/>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8A" w:sz="1"/>
              <w:left w:val="single" w:color="1E3A8A" w:sz="12"/>
              <w:bottom w:val="single" w:color="1E3A8A" w:sz="1"/>
              <w:right w:val="none" w:color="FFFFFF" w:sz="0"/>
            </w:tcBorders>
            <w:shd w:fill="DBEAFE" w:val="clear"/>
            <w:tcMar>
              <w:top w:type="dxa" w:w="120"/>
              <w:left w:type="dxa" w:w="200"/>
              <w:bottom w:type="dxa" w:w="120"/>
              <w:right w:type="dxa" w:w="200"/>
            </w:tcMar>
          </w:tcPr>
          <w:p>
            <w:pPr>
              <w:spacing w:before="0" w:after="60"/>
            </w:pPr>
            <w:r>
              <w:rPr>
                <w:rFonts w:ascii="Arial" w:cs="Arial" w:eastAsia="Arial" w:hAnsi="Arial"/>
                <w:b/>
                <w:bCs/>
                <w:i w:val="false"/>
                <w:iCs w:val="false"/>
                <w:color w:val="1E3A8A"/>
                <w:sz w:val="22"/>
                <w:szCs w:val="22"/>
              </w:rPr>
              <w:t xml:space="preserve">Architecture Completeness Statement</w:t>
            </w:r>
          </w:p>
          <w:p>
            <w:pPr>
              <w:spacing w:before="0" w:after="0"/>
            </w:pPr>
            <w:r>
              <w:rPr>
                <w:rFonts w:ascii="Arial" w:cs="Arial" w:eastAsia="Arial" w:hAnsi="Arial"/>
                <w:b w:val="false"/>
                <w:bCs w:val="false"/>
                <w:i w:val="false"/>
                <w:iCs w:val="false"/>
                <w:color w:val="1f2937"/>
                <w:sz w:val="21"/>
                <w:szCs w:val="21"/>
              </w:rPr>
              <w:t xml:space="preserve">This Technical Architecture Document addresses 100% of the functional modules specified in OMS SRS v1.0.0 (Updated by Farhadh). All non-functional requirements (performance, scalability, security, audit, offline operation) are explicitly addressed with specific technology choices and measurable targets. Phase-based delivery of integrations (Bangladesh Bank, IP Camera) reflects a responsible risk management approach, not a gap in architecture readiness.</w:t>
            </w:r>
          </w:p>
        </w:tc>
      </w:tr>
    </w:tbl>
    <w:p>
      <w:pPr>
        <w:spacing w:before="0" w:after="60"/>
      </w:pPr>
      <w:r>
        <w:rPr>
          <w:rFonts w:ascii="Arial" w:cs="Arial" w:eastAsia="Arial" w:hAnsi="Arial"/>
          <w:b w:val="false"/>
          <w:bCs w:val="false"/>
          <w:i w:val="false"/>
          <w:iCs w:val="false"/>
          <w:color w:val="1f2937"/>
          <w:sz w:val="22"/>
          <w:szCs w:val="22"/>
        </w:rPr>
        <w:t xml:space="preserve"/>
      </w:r>
    </w:p>
    <w:p>
      <w:pPr>
        <w:spacing w:before="0" w:after="60"/>
      </w:pPr>
      <w:r>
        <w:rPr>
          <w:rFonts w:ascii="Arial" w:cs="Arial" w:eastAsia="Arial" w:hAnsi="Arial"/>
          <w:b w:val="false"/>
          <w:bCs w:val="false"/>
          <w:i w:val="false"/>
          <w:iCs w:val="false"/>
          <w:color w:val="1f2937"/>
          <w:sz w:val="22"/>
          <w:szCs w:val="22"/>
        </w:rPr>
        <w:t xml:space="preserve"/>
      </w:r>
    </w:p>
    <w:p>
      <w:pPr>
        <w:spacing w:before="400" w:after="0"/>
        <w:jc w:val="center"/>
      </w:pPr>
      <w:r>
        <w:rPr>
          <w:rFonts w:ascii="Arial" w:cs="Arial" w:eastAsia="Arial" w:hAnsi="Arial"/>
          <w:b/>
          <w:bCs/>
          <w:i w:val="false"/>
          <w:iCs w:val="false"/>
          <w:color w:val="6B7280"/>
          <w:sz w:val="20"/>
          <w:szCs w:val="20"/>
        </w:rPr>
        <w:t xml:space="preserve">— END OF TECHNICAL ARCHITECTURE DOCUMENT —</w:t>
      </w:r>
    </w:p>
    <w:p>
      <w:pPr>
        <w:spacing w:before="80" w:after="0"/>
        <w:jc w:val="center"/>
      </w:pPr>
      <w:r>
        <w:rPr>
          <w:rFonts w:ascii="Arial" w:cs="Arial" w:eastAsia="Arial" w:hAnsi="Arial"/>
          <w:b w:val="false"/>
          <w:bCs w:val="false"/>
          <w:i/>
          <w:iCs/>
          <w:color w:val="6B7280"/>
          <w:sz w:val="18"/>
          <w:szCs w:val="18"/>
        </w:rPr>
        <w:t xml:space="preserve">OMS National Control Platform | Technical Architecture v1.0 | March 2026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E5E7EB" w:sz="1"/>
            <w:left w:val="none" w:color="FFFFFF" w:sz="0"/>
            <w:bottom w:val="none" w:color="FFFFFF" w:sz="0"/>
            <w:right w:val="none" w:color="FFFFFF" w:sz="0"/>
          </w:tcBorders>
        </w:tcPr>
        <w:p>
          <w:r>
            <w:rPr>
              <w:rFonts w:ascii="Arial" w:cs="Arial" w:eastAsia="Arial" w:hAnsi="Arial"/>
              <w:b w:val="false"/>
              <w:bCs w:val="false"/>
              <w:i w:val="false"/>
              <w:iCs w:val="false"/>
              <w:color w:val="6B7280"/>
              <w:sz w:val="16"/>
              <w:szCs w:val="16"/>
            </w:rPr>
            <w:t xml:space="preserve">Ministry of Food — Government of Bangladesh</w:t>
          </w:r>
        </w:p>
      </w:tc>
      <w:tc>
        <w:tcPr>
          <w:tcBorders>
            <w:top w:val="single" w:color="E5E7EB" w:sz="1"/>
            <w:left w:val="none" w:color="FFFFFF" w:sz="0"/>
            <w:bottom w:val="none" w:color="FFFFFF" w:sz="0"/>
            <w:right w:val="none" w:color="FFFFFF" w:sz="0"/>
          </w:tcBorders>
        </w:tcPr>
        <w:p>
          <w:pPr>
            <w:jc w:val="right"/>
          </w:pPr>
          <w:r>
            <w:rPr>
              <w:rFonts w:ascii="Arial" w:cs="Arial" w:eastAsia="Arial" w:hAnsi="Arial"/>
              <w:b w:val="false"/>
              <w:bCs w:val="false"/>
              <w:i w:val="false"/>
              <w:iCs w:val="false"/>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single" w:color="1E3A8A" w:sz="1"/>
            <w:right w:val="none" w:color="FFFFFF" w:sz="0"/>
          </w:tcBorders>
        </w:tcPr>
        <w:p>
          <w:r>
            <w:rPr>
              <w:rFonts w:ascii="Arial" w:cs="Arial" w:eastAsia="Arial" w:hAnsi="Arial"/>
              <w:b/>
              <w:bCs/>
              <w:i w:val="false"/>
              <w:iCs w:val="false"/>
              <w:color w:val="1E3A8A"/>
              <w:sz w:val="18"/>
              <w:szCs w:val="18"/>
            </w:rPr>
            <w:t xml:space="preserve">OMS National Control Platform — Technical Architecture</w:t>
          </w:r>
        </w:p>
      </w:tc>
      <w:tc>
        <w:tcPr>
          <w:tcBorders>
            <w:top w:val="none" w:color="FFFFFF" w:sz="0"/>
            <w:left w:val="none" w:color="FFFFFF" w:sz="0"/>
            <w:bottom w:val="single" w:color="1E3A8A" w:sz="1"/>
            <w:right w:val="none" w:color="FFFFFF" w:sz="0"/>
          </w:tcBorders>
        </w:tcPr>
        <w:p>
          <w:pPr>
            <w:jc w:val="right"/>
          </w:pPr>
          <w:r>
            <w:rPr>
              <w:rFonts w:ascii="Arial" w:cs="Arial" w:eastAsia="Arial" w:hAnsi="Arial"/>
              <w:b w:val="false"/>
              <w:bCs w:val="false"/>
              <w:i w:val="false"/>
              <w:iCs w:val="false"/>
              <w:color w:val="6B7280"/>
              <w:sz w:val="18"/>
              <w:szCs w:val="18"/>
            </w:rPr>
            <w:t xml:space="preserve">CONFIDENTIAL | v1.0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E3A8A"/>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1E3A8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2026-03-20T05:59:15.462Z</dcterms:created>
  <dcterms:modified xsi:type="dcterms:W3CDTF">2026-03-20T05:59:15.463Z</dcterms:modified>
</cp:coreProperties>
</file>

<file path=docProps/custom.xml><?xml version="1.0" encoding="utf-8"?>
<Properties xmlns="http://schemas.openxmlformats.org/officeDocument/2006/custom-properties" xmlns:vt="http://schemas.openxmlformats.org/officeDocument/2006/docPropsVTypes"/>
</file>