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both"/>
        <w:bidi w:val="1"/>
      </w:pPr>
      <w:r>
        <w:rPr>
          <w:rFonts w:ascii="Noto Naskh Arabic" w:hAnsi="Noto Naskh Arabic" w:cs="Noto Naskh Arabic" w:eastAsia="Noto Naskh Arabic"/>
          <w:b w:val="0"/>
          <w:i w:val="0"/>
          <w:color w:val="222222"/>
          <w:sz w:val="24"/>
          <w:rtl/>
          <w:cs/>
        </w:rPr>
      </w:r>
    </w:p>
    <w:p>
      <w:pPr>
        <w:spacing w:after="0" w:before="0" w:line="276" w:lineRule="auto"/>
        <w:jc w:val="both"/>
        <w:bidi w:val="1"/>
      </w:pPr>
      <w:r>
        <w:rPr>
          <w:rFonts w:ascii="Noto Naskh Arabic" w:hAnsi="Noto Naskh Arabic" w:cs="Noto Naskh Arabic" w:eastAsia="Noto Naskh Arabic"/>
          <w:b w:val="0"/>
          <w:i w:val="0"/>
          <w:color w:val="222222"/>
          <w:sz w:val="24"/>
          <w:rtl/>
          <w:cs/>
        </w:rPr>
      </w:r>
    </w:p>
    <w:p>
      <w:pPr>
        <w:spacing w:after="360" w:before="0" w:line="276" w:lineRule="auto"/>
        <w:jc w:val="center"/>
        <w:bidi w:val="1"/>
      </w:pPr>
      <w:r>
        <w:rPr>
          <w:rFonts w:ascii="Noto Naskh Arabic" w:hAnsi="Noto Naskh Arabic" w:cs="Noto Naskh Arabic" w:eastAsia="Noto Naskh Arabic"/>
          <w:b/>
          <w:i w:val="0"/>
          <w:color w:val="1B365D"/>
          <w:sz w:val="28"/>
          <w:rtl/>
          <w:cs/>
        </w:rPr>
        <w:t>بسمه تعالی</w:t>
      </w:r>
    </w:p>
    <w:p>
      <w:pPr>
        <w:spacing w:after="80" w:before="0" w:line="276" w:lineRule="auto"/>
        <w:jc w:val="center"/>
        <w:bidi w:val="1"/>
      </w:pPr>
      <w:r>
        <w:rPr>
          <w:rFonts w:ascii="Noto Kufi Arabic" w:hAnsi="Noto Kufi Arabic" w:cs="Noto Kufi Arabic" w:eastAsia="Noto Kufi Arabic"/>
          <w:b/>
          <w:i w:val="0"/>
          <w:color w:val="1B365D"/>
          <w:sz w:val="40"/>
          <w:rtl/>
          <w:cs/>
        </w:rPr>
        <w:t>شهرداری مشهد</w:t>
      </w:r>
    </w:p>
    <w:p>
      <w:pPr>
        <w:spacing w:after="360" w:before="0" w:line="276" w:lineRule="auto"/>
        <w:jc w:val="center"/>
        <w:bidi w:val="1"/>
      </w:pPr>
      <w:r>
        <w:rPr>
          <w:rFonts w:ascii="Noto Kufi Arabic" w:hAnsi="Noto Kufi Arabic" w:cs="Noto Kufi Arabic" w:eastAsia="Noto Kufi Arabic"/>
          <w:b w:val="0"/>
          <w:i w:val="0"/>
          <w:color w:val="1F6B5A"/>
          <w:sz w:val="26"/>
          <w:rtl/>
          <w:cs/>
        </w:rPr>
        <w:t>معاونت شهرسازی و معماری  /  سامانه سَرا</w:t>
      </w:r>
    </w:p>
    <w:p>
      <w:pPr>
        <w:spacing w:after="120" w:before="0" w:line="276" w:lineRule="auto"/>
        <w:jc w:val="center"/>
        <w:bidi w:val="1"/>
      </w:pPr>
      <w:r>
        <w:rPr>
          <w:rFonts w:ascii="Noto Kufi Arabic" w:hAnsi="Noto Kufi Arabic" w:cs="Noto Kufi Arabic" w:eastAsia="Noto Kufi Arabic"/>
          <w:b/>
          <w:i w:val="0"/>
          <w:color w:val="B88A2E"/>
          <w:sz w:val="32"/>
          <w:rtl/>
          <w:cs/>
        </w:rPr>
        <w:t>گزارش مدیریتی</w:t>
      </w:r>
    </w:p>
    <w:p>
      <w:pPr>
        <w:spacing w:after="200" w:before="0" w:line="288" w:lineRule="auto"/>
        <w:jc w:val="center"/>
        <w:bidi w:val="1"/>
        <w:pBdr>
          <w:bottom w:val="single" w:sz="12" w:space="4" w:color="B88A2E"/>
        </w:pBdr>
      </w:pPr>
      <w:r>
        <w:rPr>
          <w:rFonts w:ascii="Noto Kufi Arabic" w:hAnsi="Noto Kufi Arabic" w:cs="Noto Kufi Arabic" w:eastAsia="Noto Kufi Arabic"/>
          <w:b/>
          <w:i w:val="0"/>
          <w:color w:val="1B365D"/>
          <w:sz w:val="44"/>
          <w:rtl/>
          <w:cs/>
        </w:rPr>
        <w:t>قانون‌نامه اعتبارسنجی فرمول شهرسازی</w:t>
      </w:r>
    </w:p>
    <w:p>
      <w:pPr>
        <w:spacing w:after="440" w:before="0" w:line="276" w:lineRule="auto"/>
        <w:jc w:val="center"/>
        <w:bidi w:val="1"/>
      </w:pPr>
      <w:r>
        <w:rPr>
          <w:rFonts w:ascii="Noto Naskh Arabic" w:hAnsi="Noto Naskh Arabic" w:cs="Noto Naskh Arabic" w:eastAsia="Noto Naskh Arabic"/>
          <w:b w:val="0"/>
          <w:i w:val="0"/>
          <w:color w:val="555555"/>
          <w:sz w:val="25"/>
          <w:rtl/>
          <w:cs/>
        </w:rPr>
        <w:t>شرح ساده آنچه در سامانه هنگام ذخیره پرونده کنترل می‌شود،</w:t>
        <w:br/>
        <w:t>چرا این کنترل‌ها برای درآمد و ضابطه حیاتی‌اند، و تا کجا کار مستند شده است</w:t>
      </w:r>
    </w:p>
    <w:tbl>
      <w:tblPr>
        <w:tblW w:type="auto" w:w="0"/>
        <w:jc w:val="center"/>
        <w:tblLayout w:type="autofit"/>
        <w:tblLook w:firstColumn="1" w:firstRow="1" w:lastColumn="0" w:lastRow="0" w:noHBand="0" w:noVBand="1" w:val="04A0"/>
        <w:bidiVisual w:val="1"/>
        <w:jc w:val="center"/>
      </w:tblPr>
      <w:tblGrid>
        <w:gridCol w:w="4734"/>
        <w:gridCol w:w="4734"/>
      </w:tblGrid>
      <w:tr>
        <w:tc>
          <w:tcPr>
            <w:tcW w:type="dxa" w:w="4734"/>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شرح</w:t>
            </w:r>
          </w:p>
        </w:tc>
        <w:tc>
          <w:tcPr>
            <w:tcW w:type="dxa" w:w="4734"/>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مقدار</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مخاطب</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ریاست / معاونت — بدون نیاز به دانش برنامه‌نویسی</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وضعیت کار</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۱۹ بخش اصلی مستند شد؛ چند فرم هنوز در نوبت است</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حجم قوانین ثبت‌شده</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۳۳۶ قانون شماره‌دار، بر اساس کد واقعی نه حدس</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تغییر سامانه زنده</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هیچ — حتی یک خط از فرمول عملیاتی عوض نشده است</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تاریخ تهیه</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۲۹ شهریور ۱۴۰۵  (۲۰ سپتامبر ۲۰۲۶)</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طبقه‌بندی</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سند داخلی سازمان — برای ارسال به ریاست</w:t>
            </w:r>
          </w:p>
        </w:tc>
      </w:tr>
    </w:tbl>
    <w:p/>
    <w:p>
      <w:pPr>
        <w:spacing w:after="160" w:before="0" w:line="276" w:lineRule="auto"/>
        <w:jc w:val="center"/>
        <w:bidi w:val="1"/>
      </w:pPr>
      <w:r>
        <w:rPr>
          <w:rFonts w:ascii="Noto Naskh Arabic" w:hAnsi="Noto Naskh Arabic" w:cs="Noto Naskh Arabic" w:eastAsia="Noto Naskh Arabic"/>
          <w:b w:val="0"/>
          <w:i w:val="0"/>
          <w:color w:val="555555"/>
          <w:sz w:val="22"/>
          <w:rtl/>
          <w:cs/>
        </w:rPr>
        <w:t>این گزارش برای خواندن در یک نشست مدیریتی نوشته شده است. جزئیات فنی برای برنامه‌نویس در قانون‌نامه جداگانه نگهداری می‌شود.</w:t>
      </w:r>
    </w:p>
    <w:p>
      <w:r>
        <w:br w:type="page"/>
      </w:r>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فهرست مطالب</w:t>
      </w:r>
    </w:p>
    <w:tbl>
      <w:tblPr>
        <w:tblW w:type="auto" w:w="0"/>
        <w:jc w:val="center"/>
        <w:tblLayout w:type="autofit"/>
        <w:tblLook w:firstColumn="1" w:firstRow="1" w:lastColumn="0" w:lastRow="0" w:noHBand="0" w:noVBand="1" w:val="04A0"/>
        <w:bidiVisual w:val="1"/>
        <w:jc w:val="center"/>
      </w:tblPr>
      <w:tblGrid>
        <w:gridCol w:w="4734"/>
        <w:gridCol w:w="4734"/>
      </w:tblGrid>
      <w:tr>
        <w:tc>
          <w:tcPr>
            <w:tcW w:type="dxa" w:w="4734"/>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بخش</w:t>
            </w:r>
          </w:p>
        </w:tc>
        <w:tc>
          <w:tcPr>
            <w:tcW w:type="dxa" w:w="4734"/>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عنوان</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خلاصه یک‌صفحه‌ای برای ریاست</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مسئله‌ای که این کار حل می‌کند</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اعتبارسنجی به زبان اداری چیست؟</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۴</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مسیر یک ملک از ثبت درخواست تا درآمد</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۵</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آنچه تا امروز تحویل شده است</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۶</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یافته‌های مهم برای تصمیم مدیریتی</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۷</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زیرسیستم‌های متصل و خطر تداخل</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۸</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روش کار و تضمین ایمنی</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۹</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کار باقیمانده</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۱۰</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پیشنهاد اقدام به ریاست</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پیوست الف</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پیام‌هایی که کارشناس روی صفحه می‌بیند</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پیوست ب</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واژه‌نامه کوتاه اداری</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پیوست ج</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شمارش بخش‌ها و قوانین</w:t>
            </w:r>
          </w:p>
        </w:tc>
      </w:tr>
    </w:tbl>
    <w:p/>
    <w:p>
      <w:r>
        <w:br w:type="page"/>
      </w:r>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۱. خلاصه یک‌صفحه‌ای برای ریاست</w:t>
      </w:r>
    </w:p>
    <w:p>
      <w:pPr>
        <w:spacing w:after="160" w:before="0" w:line="276" w:lineRule="auto"/>
        <w:jc w:val="both"/>
        <w:bidi w:val="1"/>
      </w:pPr>
      <w:r>
        <w:rPr>
          <w:rFonts w:ascii="Noto Naskh Arabic" w:hAnsi="Noto Naskh Arabic" w:cs="Noto Naskh Arabic" w:eastAsia="Noto Naskh Arabic"/>
          <w:b w:val="0"/>
          <w:i w:val="0"/>
          <w:color w:val="222222"/>
          <w:sz w:val="24"/>
          <w:rtl/>
          <w:cs/>
        </w:rPr>
        <w:t>سامانه شهرسازی مشهد بیش از دو دهه است که اجازه ساخت، تخلف، جریمه، تخفیف و درآمد شهرداری را کنترل می‌کند. بخش بزرگی از این کنترل‌ها داخل یک «فرمول اعتبارسنجی» نوشته شده؛ یعنی وقتی کارشناس دکمه ذخیره را می‌زند، برنامه چند سؤال حقوقی و مالی می‌پرسد و اگر جواب غلط باشد، ذخیره را قطع می‌کند.</w:t>
      </w:r>
    </w:p>
    <w:p>
      <w:pPr>
        <w:spacing w:after="160" w:before="0" w:line="276" w:lineRule="auto"/>
        <w:jc w:val="both"/>
        <w:bidi w:val="1"/>
      </w:pPr>
      <w:r>
        <w:rPr>
          <w:rFonts w:ascii="Noto Naskh Arabic" w:hAnsi="Noto Naskh Arabic" w:cs="Noto Naskh Arabic" w:eastAsia="Noto Naskh Arabic"/>
          <w:b w:val="0"/>
          <w:i w:val="0"/>
          <w:color w:val="222222"/>
          <w:sz w:val="24"/>
          <w:rtl/>
          <w:cs/>
        </w:rPr>
        <w:t>تا پیش از این کار، همان منطق فقط در ذهن همکاران باسابقه و در هزاران خط کد پنهان بود. هر درخواست اداری جدید (سمپا) خطر این را داشت که یک قفل درآمد یا ضابطه، ناخواسته برای کل شهر عوض شود یا خاموش شود.</w:t>
      </w:r>
    </w:p>
    <w:p>
      <w:pPr>
        <w:spacing w:after="160" w:before="0" w:line="276" w:lineRule="auto"/>
        <w:jc w:val="both"/>
        <w:bidi w:val="1"/>
      </w:pPr>
      <w:r>
        <w:rPr>
          <w:rFonts w:ascii="Noto Naskh Arabic" w:hAnsi="Noto Naskh Arabic" w:cs="Noto Naskh Arabic" w:eastAsia="Noto Naskh Arabic"/>
          <w:b w:val="0"/>
          <w:i w:val="0"/>
          <w:color w:val="222222"/>
          <w:sz w:val="24"/>
          <w:rtl/>
          <w:cs/>
        </w:rPr>
        <w:t>اکنون ۱۹ مرحله اصلی کار کارشناس — از ثبت درخواست تا درآمد، موافقت اصولی و شهروندسپاری — به صورت قانون‌نامه شماره‌دار درآمده است. هر قانون می‌گوید: چه کسی، در چه شرایطی، با چه پیامی، از ذخیره منع می‌شود؛ و چه استثنایی دارد.</w:t>
      </w:r>
    </w:p>
    <w:p>
      <w:pPr>
        <w:spacing w:after="160" w:before="240" w:line="288" w:lineRule="auto"/>
        <w:jc w:val="right"/>
        <w:bidi w:val="1"/>
      </w:pPr>
      <w:r>
        <w:rPr>
          <w:rFonts w:ascii="Noto Kufi Arabic" w:hAnsi="Noto Kufi Arabic" w:cs="Noto Kufi Arabic" w:eastAsia="Noto Kufi Arabic"/>
          <w:b/>
          <w:i w:val="0"/>
          <w:color w:val="1F6B5A"/>
          <w:sz w:val="27"/>
          <w:rtl/>
          <w:cs/>
        </w:rPr>
        <w:t>چهار جمله که ریاست باید بداند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هیچ تغییری روی سامانه عملیاتی اعمال نشده است؛ این یک کار مستندسازی و انتقال دانش است، نه بازنویسی سیستم.</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۳۳۶ قانون از روی کد واقعی استخراج شده، نه از روی نیت نانوشته. اگر متن روی صفحه با شرط داخل برنامه فرق داشته باشد، ملاک همان شرط برنامه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قفل فیش تأییدشده، تأیید مدیر، لیست سیاه، تقسیط، تخفیف کمیته، جریمه کمیسیون و ثبت تکراری درخواست، همه به هم وصل‌اند؛ دست زدن به یکی ممکن است درآمد یا پروانه را در کل شهر قفل یا باز کند.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چند فرم هنوز مستند نشده (بازدید مغازه، پروانه، پایانکار و چند فرم وابسته). تا تکمیل آن‌ها، هر سمپای مربوط به آن فرم‌ها باید با احتیاط مضاعف بررسی شود.</w:t>
      </w:r>
    </w:p>
    <w:tbl>
      <w:tblPr>
        <w:tblW w:type="auto" w:w="0"/>
        <w:jc w:val="center"/>
        <w:tblLook w:firstColumn="1" w:firstRow="1" w:lastColumn="0" w:lastRow="0" w:noHBand="0" w:noVBand="1" w:val="04A0"/>
      </w:tblPr>
      <w:tblGrid>
        <w:gridCol w:w="9468"/>
      </w:tblGrid>
      <w:tr>
        <w:tc>
          <w:tcPr>
            <w:tcW w:type="dxa" w:w="9468"/>
            <w:shd w:fill="F7F1E3" w:val="clear"/>
            <w:tcBorders>
              <w:top w:val="single" w:sz="12" w:color="B88A2E" w:space="0"/>
              <w:bottom w:val="single" w:sz="4" w:color="B88A2E" w:space="0"/>
              <w:start w:val="single" w:sz="12" w:color="B88A2E" w:space="0"/>
              <w:end w:val="single" w:sz="4" w:color="B88A2E" w:space="0"/>
            </w:tcBorders>
          </w:tcPr>
          <w:p>
            <w:pPr>
              <w:spacing w:after="80" w:before="80" w:line="276" w:lineRule="auto"/>
              <w:jc w:val="right"/>
              <w:bidi w:val="1"/>
            </w:pPr>
            <w:r/>
            <w:r>
              <w:rPr>
                <w:rFonts w:ascii="Noto Kufi Arabic" w:hAnsi="Noto Kufi Arabic" w:cs="Noto Kufi Arabic" w:eastAsia="Noto Kufi Arabic"/>
                <w:b/>
                <w:i w:val="0"/>
                <w:color w:val="1B365D"/>
                <w:sz w:val="24"/>
                <w:rtl/>
                <w:cs/>
              </w:rPr>
              <w:t>نتیجه عملی برای سازمان</w:t>
            </w:r>
          </w:p>
          <w:p>
            <w:pPr>
              <w:spacing w:after="80" w:before="0" w:line="276" w:lineRule="auto"/>
              <w:jc w:val="both"/>
              <w:bidi w:val="1"/>
            </w:pPr>
            <w:r>
              <w:rPr>
                <w:rFonts w:ascii="Noto Naskh Arabic" w:hAnsi="Noto Naskh Arabic" w:cs="Noto Naskh Arabic" w:eastAsia="Noto Naskh Arabic"/>
                <w:b w:val="0"/>
                <w:i w:val="0"/>
                <w:color w:val="222222"/>
                <w:sz w:val="23"/>
                <w:rtl/>
                <w:cs/>
              </w:rPr>
              <w:t>برنامه‌نویس بعدی و هوش مصنوعی کمکی، دیگر نباید «از صفر حدس بزنند». برای هر سمپای جدید، الگوی موجود همان فرم پیدا می‌شود، فقط همان شاخه لازم تغییر می‌کند، و اثر روی ضابطه، کمیسیون، درآمد، تقسیط و رایورز قبل از اجرا نوشته می‌شود.</w:t>
            </w:r>
          </w:p>
        </w:tc>
      </w:tr>
    </w:tbl>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۲. مسئله‌ای که این کار حل می‌کند</w:t>
      </w:r>
    </w:p>
    <w:p>
      <w:pPr>
        <w:spacing w:after="160" w:before="240" w:line="288" w:lineRule="auto"/>
        <w:jc w:val="right"/>
        <w:bidi w:val="1"/>
      </w:pPr>
      <w:r>
        <w:rPr>
          <w:rFonts w:ascii="Noto Kufi Arabic" w:hAnsi="Noto Kufi Arabic" w:cs="Noto Kufi Arabic" w:eastAsia="Noto Kufi Arabic"/>
          <w:b/>
          <w:i w:val="0"/>
          <w:color w:val="1F6B5A"/>
          <w:sz w:val="27"/>
          <w:rtl/>
          <w:cs/>
        </w:rPr>
        <w:t>دانش سازمانی در یک نقطه شکننده جمع شده بود</w:t>
      </w:r>
    </w:p>
    <w:p>
      <w:pPr>
        <w:spacing w:after="160" w:before="0" w:line="276" w:lineRule="auto"/>
        <w:jc w:val="both"/>
        <w:bidi w:val="1"/>
      </w:pPr>
      <w:r>
        <w:rPr>
          <w:rFonts w:ascii="Noto Naskh Arabic" w:hAnsi="Noto Naskh Arabic" w:cs="Noto Naskh Arabic" w:eastAsia="Noto Naskh Arabic"/>
          <w:b w:val="0"/>
          <w:i w:val="0"/>
          <w:color w:val="222222"/>
          <w:sz w:val="24"/>
          <w:rtl/>
          <w:cs/>
        </w:rPr>
        <w:t>منطق اعتبارسنجی محصول سال‌ها بخشنامه، رأی کمیسیون، استثنای ناحیه‌ای (به‌ویژه ثامن)، و درخواست‌های سمپا است. بسیاری از این قواعد در هیچ آیین‌نامه جداگانه‌ای به زبان ساده نوشته نشده‌اند؛ داخل شرط‌های برنامه نشسته‌اند. با جابه‌جایی نیرو، مرخصی طولانی، یا ورود همکار جدید، سازمان در معرض این خطر بود که:</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یک قفل مالی خاموش شود و پرونده پس از صدور فیش دوباره ویرایش 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یک قفل بیش‌ازحد سخت شود و ثبت درخواست شهروند یا دفتر فنی در کل شهر بایستد.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تخفیف، تقسیط یا جریمه کمیسیون بر اثر کپی اشتباه از فرم دیگر، برای همه انواع درخواست عوض 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تأیید مدیر روی یک منبع (گواهی، لایحه، صلح، موافقت) با منبع دیگر قاطی شود.</w:t>
      </w:r>
    </w:p>
    <w:p>
      <w:pPr>
        <w:spacing w:after="160" w:before="240" w:line="288" w:lineRule="auto"/>
        <w:jc w:val="right"/>
        <w:bidi w:val="1"/>
      </w:pPr>
      <w:r>
        <w:rPr>
          <w:rFonts w:ascii="Noto Kufi Arabic" w:hAnsi="Noto Kufi Arabic" w:cs="Noto Kufi Arabic" w:eastAsia="Noto Kufi Arabic"/>
          <w:b/>
          <w:i w:val="0"/>
          <w:color w:val="1F6B5A"/>
          <w:sz w:val="27"/>
          <w:rtl/>
          <w:cs/>
        </w:rPr>
        <w:t>چرا «حدس زدن» خطرناک است</w:t>
      </w:r>
    </w:p>
    <w:p>
      <w:pPr>
        <w:spacing w:after="160" w:before="0" w:line="276" w:lineRule="auto"/>
        <w:jc w:val="both"/>
        <w:bidi w:val="1"/>
      </w:pPr>
      <w:r>
        <w:rPr>
          <w:rFonts w:ascii="Noto Naskh Arabic" w:hAnsi="Noto Naskh Arabic" w:cs="Noto Naskh Arabic" w:eastAsia="Noto Naskh Arabic"/>
          <w:b w:val="0"/>
          <w:i w:val="0"/>
          <w:color w:val="222222"/>
          <w:sz w:val="24"/>
          <w:rtl/>
          <w:cs/>
        </w:rPr>
        <w:t>در این سامانه نام‌ها مخلوط فارسی، فینگلیش و انگلیسی‌اند. دو تابع با نام شبیه هم کار کاملاً متفاوت می‌کنند. مثلاً «درخواست سرا۸» با «درخواست شهروندسپاری» یکی نیست؛ «فیش» با «فیش تأییدشده مانع ویرایش» یکی نیست؛ «تأیید مدیر» روی فرم مدیران با «خواندن تأیید قبلی روی فرم دیگر» یکی نیست. بدون قانون‌نامه، همکار تازه‌وارد یا ابزار کمکی این‌ها را یکی می‌گیرد.</w:t>
      </w:r>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۳. اعتبارسنجی به زبان اداری چیست؟</w:t>
      </w:r>
    </w:p>
    <w:p>
      <w:pPr>
        <w:spacing w:after="160" w:before="0" w:line="276" w:lineRule="auto"/>
        <w:jc w:val="both"/>
        <w:bidi w:val="1"/>
      </w:pPr>
      <w:r>
        <w:rPr>
          <w:rFonts w:ascii="Noto Naskh Arabic" w:hAnsi="Noto Naskh Arabic" w:cs="Noto Naskh Arabic" w:eastAsia="Noto Naskh Arabic"/>
          <w:b w:val="0"/>
          <w:i w:val="0"/>
          <w:color w:val="222222"/>
          <w:sz w:val="24"/>
          <w:rtl/>
          <w:cs/>
        </w:rPr>
        <w:t>اعتبارسنجی محاسبه کامل ضابطه شهر نیست. ضابطه، تخلف، جریمه و درآمد موتورهای جدا دارند. اعتبارسنجی نگهبان درِ ذخیره است:</w:t>
      </w:r>
    </w:p>
    <w:tbl>
      <w:tblPr>
        <w:tblW w:type="auto" w:w="0"/>
        <w:jc w:val="center"/>
        <w:tblLayout w:type="autofit"/>
        <w:tblLook w:firstColumn="1" w:firstRow="1" w:lastColumn="0" w:lastRow="0" w:noHBand="0" w:noVBand="1" w:val="04A0"/>
        <w:bidiVisual w:val="1"/>
        <w:jc w:val="center"/>
      </w:tblPr>
      <w:tblGrid>
        <w:gridCol w:w="4734"/>
        <w:gridCol w:w="4734"/>
      </w:tblGrid>
      <w:tr>
        <w:tc>
          <w:tcPr>
            <w:tcW w:type="dxa" w:w="4734"/>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کار نگهبان</w:t>
            </w:r>
          </w:p>
        </w:tc>
        <w:tc>
          <w:tcPr>
            <w:tcW w:type="dxa" w:w="4734"/>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مثال آشنا برای کارشناس</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داده فرم کامل و مجاز باشد</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ملی، اضلاع ملک، کاربری، نما، مرحله ساختمان</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این کاربر و این ناحیه اجازه این کار را داشته باشند</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تبلت، پلیس ساختمان، کارگزار، ناحیه ثامن</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بعد از تأیید مدیر یا صدور فیش، ویرایش بی‌حساب باز نشود</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بروکف، تحلیل، توافق، ضابطه، درآمد، موافقت</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درخواست تکراری یا ناسازگار ثبت نشود</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پایانکار جاری روی همان پلاک؛ گواهی انتقال روی غیرآپارتمان</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گاهی عدد یا پیامک یا کارتابل بسازد</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مساحت بعد از مسیر، ارجاع نقشه‌برداری، پیامک فاکتور</w:t>
            </w:r>
          </w:p>
        </w:tc>
      </w:tr>
    </w:tbl>
    <w:p/>
    <w:p>
      <w:pPr>
        <w:spacing w:after="160" w:before="240" w:line="288" w:lineRule="auto"/>
        <w:jc w:val="right"/>
        <w:bidi w:val="1"/>
      </w:pPr>
      <w:r>
        <w:rPr>
          <w:rFonts w:ascii="Noto Kufi Arabic" w:hAnsi="Noto Kufi Arabic" w:cs="Noto Kufi Arabic" w:eastAsia="Noto Kufi Arabic"/>
          <w:b/>
          <w:i w:val="0"/>
          <w:color w:val="1F6B5A"/>
          <w:sz w:val="27"/>
          <w:rtl/>
          <w:cs/>
        </w:rPr>
        <w:t>سه نوع نتیجه که کارشناس می‌بیند</w:t>
      </w:r>
    </w:p>
    <w:tbl>
      <w:tblPr>
        <w:tblW w:type="auto" w:w="0"/>
        <w:jc w:val="center"/>
        <w:tblLayout w:type="autofit"/>
        <w:tblLook w:firstColumn="1" w:firstRow="1" w:lastColumn="0" w:lastRow="0" w:noHBand="0" w:noVBand="1" w:val="04A0"/>
        <w:bidiVisual w:val="1"/>
        <w:jc w:val="center"/>
      </w:tblPr>
      <w:tblGrid>
        <w:gridCol w:w="4734"/>
        <w:gridCol w:w="4734"/>
      </w:tblGrid>
      <w:tr>
        <w:tc>
          <w:tcPr>
            <w:tcW w:type="dxa" w:w="4734"/>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آنچه روی صفحه می‌آید</w:t>
            </w:r>
          </w:p>
        </w:tc>
        <w:tc>
          <w:tcPr>
            <w:tcW w:type="dxa" w:w="4734"/>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اداری</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خطای توقف (قرمز / ذخیره نمی‌شود)</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قانون زنده است؛ تا رفع مانع یا استثنا، پرونده جلو نمی‌رود</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هشدار (ذخیره معمولاً ادامه دارد)</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سازمان اطلاع می‌دهد ولی قفل کامل نیست</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هیچ پیامی، ولی بعداً عدد عوض شده</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برنامه پشت صحنه مساحت یا زیربنا نوشته؛ اثر مالی دارد</w:t>
            </w:r>
          </w:p>
        </w:tc>
      </w:tr>
    </w:tbl>
    <w:p/>
    <w:tbl>
      <w:tblPr>
        <w:tblW w:type="auto" w:w="0"/>
        <w:jc w:val="center"/>
        <w:tblLook w:firstColumn="1" w:firstRow="1" w:lastColumn="0" w:lastRow="0" w:noHBand="0" w:noVBand="1" w:val="04A0"/>
      </w:tblPr>
      <w:tblGrid>
        <w:gridCol w:w="9468"/>
      </w:tblGrid>
      <w:tr>
        <w:tc>
          <w:tcPr>
            <w:tcW w:type="dxa" w:w="9468"/>
            <w:shd w:fill="E6F3EE" w:val="clear"/>
            <w:tcBorders>
              <w:top w:val="single" w:sz="12" w:color="B88A2E" w:space="0"/>
              <w:bottom w:val="single" w:sz="4" w:color="B88A2E" w:space="0"/>
              <w:start w:val="single" w:sz="12" w:color="B88A2E" w:space="0"/>
              <w:end w:val="single" w:sz="4" w:color="B88A2E" w:space="0"/>
            </w:tcBorders>
          </w:tcPr>
          <w:p>
            <w:pPr>
              <w:spacing w:after="80" w:before="80" w:line="276" w:lineRule="auto"/>
              <w:jc w:val="right"/>
              <w:bidi w:val="1"/>
            </w:pPr>
            <w:r/>
            <w:r>
              <w:rPr>
                <w:rFonts w:ascii="Noto Kufi Arabic" w:hAnsi="Noto Kufi Arabic" w:cs="Noto Kufi Arabic" w:eastAsia="Noto Kufi Arabic"/>
                <w:b/>
                <w:i w:val="0"/>
                <w:color w:val="1B365D"/>
                <w:sz w:val="24"/>
                <w:rtl/>
                <w:cs/>
              </w:rPr>
              <w:t>نکته مهم</w:t>
            </w:r>
          </w:p>
          <w:p>
            <w:pPr>
              <w:spacing w:after="80" w:before="0" w:line="276" w:lineRule="auto"/>
              <w:jc w:val="both"/>
              <w:bidi w:val="1"/>
            </w:pPr>
            <w:r>
              <w:rPr>
                <w:rFonts w:ascii="Noto Naskh Arabic" w:hAnsi="Noto Naskh Arabic" w:cs="Noto Naskh Arabic" w:eastAsia="Noto Naskh Arabic"/>
                <w:b w:val="0"/>
                <w:i w:val="0"/>
                <w:color w:val="222222"/>
                <w:sz w:val="23"/>
                <w:rtl/>
                <w:cs/>
              </w:rPr>
              <w:t>بعضی قوانین روی کاغذ در کد هستند ولی الان خاموش‌اند (کامنت یا شرط غیرممکن). خاموش بودن یعنی امروز مانع ذخیره نیستند. روشن کردنشان بدون درخواست رسمی سمپا، رفتار کل شهر را عوض می‌کند. در قانون‌نامه این موارد جدا علامت خورده‌اند.</w:t>
            </w:r>
          </w:p>
        </w:tc>
      </w:tr>
    </w:tbl>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۴. مسیر یک ملک از ثبت درخواست تا درآمد</w:t>
      </w:r>
    </w:p>
    <w:p>
      <w:pPr>
        <w:spacing w:after="160" w:before="0" w:line="276" w:lineRule="auto"/>
        <w:jc w:val="both"/>
        <w:bidi w:val="1"/>
      </w:pPr>
      <w:r>
        <w:rPr>
          <w:rFonts w:ascii="Noto Naskh Arabic" w:hAnsi="Noto Naskh Arabic" w:cs="Noto Naskh Arabic" w:eastAsia="Noto Naskh Arabic"/>
          <w:b w:val="0"/>
          <w:i w:val="0"/>
          <w:color w:val="222222"/>
          <w:sz w:val="24"/>
          <w:rtl/>
          <w:cs/>
        </w:rPr>
        <w:t>از دید کارشناس، پرونده یک خط مستقیم نیست؛ چند باجه پشت‌سرهم است. اعتبارسنجی در هر باجه جداگانه اجرا می‌شود. قفل یک باجه را با باجه دیگر یکی فرض کردن، شایع‌ترین خطای نگهداری است.</w:t>
      </w:r>
    </w:p>
    <w:tbl>
      <w:tblPr>
        <w:tblW w:type="auto" w:w="0"/>
        <w:jc w:val="center"/>
        <w:tblLayout w:type="autofit"/>
        <w:tblLook w:firstColumn="1" w:firstRow="1" w:lastColumn="0" w:lastRow="0" w:noHBand="0" w:noVBand="1" w:val="04A0"/>
        <w:bidiVisual w:val="1"/>
        <w:jc w:val="center"/>
      </w:tblPr>
      <w:tblGrid>
        <w:gridCol w:w="3156"/>
        <w:gridCol w:w="3156"/>
        <w:gridCol w:w="3156"/>
      </w:tblGrid>
      <w:tr>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ترتیب</w:t>
            </w:r>
          </w:p>
        </w:tc>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باجه کارشناس</w:t>
            </w:r>
          </w:p>
        </w:tc>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آنچه معمولاً قفل می‌شود</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ثبت درخواست (سرا۸)</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درخواست، ناحیه، تکراری بودن، لیست سیاه</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اعلام مأمور بازدید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قطعی، جانمایی نقشه، تأیید مدیر</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وضع موجود (ملک / ساختمان / آپارتمان / دستگاه)</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تبلت، مأمور، فیش، عمق و مساحت</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۴</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 و کف و مسیر</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تأیید مدیر، مساحت بعد از مسیر</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۵</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پرونده آپارتمان / ملک</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ملی، جمع زیربنا، کد ممیزی</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۶</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ضابطه</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گواهی مدیر، صلح، سرا۱۰</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۷</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تحلیل تخلف</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تقسیط، کد تخلف، کسری پارکینگ</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۸</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جریمه لایحه کمیسیون</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تأیید لایحه، شاکی، ردیف تکراری، ۳ درصد</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۹</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تأیید مدیر</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لیست سیاه، بدهی نوسازی، آتش‌نشانی، فیش</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۱۰</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صلحنامه و توافق</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تأیید صلح/توافق، اثر روی ضابطه</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۱۱</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تخفیفات</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کمیته، ایثارگری، حد نصاب، کد ملی تکراری</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۱۲</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درآمد و فیش</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تقسیط، انتقال، بازآفرینی، درآمد پایدار، قطار شهری</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۱۳</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موافقت اصولی</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تأیید مدیر منبع موافقت؛ قفل فیش روی خود فرم خاموش است</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۱۴</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شهروندسپاری (ایساپ / UGP)</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درخواست جاری پایانکار، دفتر سیاه، تکرار گروه</w:t>
            </w:r>
          </w:p>
        </w:tc>
      </w:tr>
    </w:tbl>
    <w:p/>
    <w:p>
      <w:pPr>
        <w:spacing w:after="160" w:before="0" w:line="276" w:lineRule="auto"/>
        <w:jc w:val="both"/>
        <w:bidi w:val="1"/>
      </w:pPr>
      <w:r>
        <w:rPr>
          <w:rFonts w:ascii="Noto Naskh Arabic" w:hAnsi="Noto Naskh Arabic" w:cs="Noto Naskh Arabic" w:eastAsia="Noto Naskh Arabic"/>
          <w:b w:val="0"/>
          <w:i w:val="0"/>
          <w:color w:val="222222"/>
          <w:sz w:val="24"/>
          <w:rtl/>
          <w:cs/>
        </w:rPr>
        <w:t>چهار لایه حقوقی که نباید قاطی شوند: ضابطه مجاز ملک  ←  اگر صلح باشد جایگزین می‌شود  ←  وضع موجود با مجاز مقایسه و تخلف می‌سازد  ←  تخلف به جریمه و درآمد می‌رسد. اعتبارسنجی در هر لایه جداگانه جلوی ویرایش بی‌حساب را می‌گیرد.</w:t>
      </w:r>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۵. آنچه تا امروز تحویل شده است</w:t>
      </w:r>
    </w:p>
    <w:p>
      <w:pPr>
        <w:spacing w:after="160" w:before="0" w:line="276" w:lineRule="auto"/>
        <w:jc w:val="both"/>
        <w:bidi w:val="1"/>
      </w:pPr>
      <w:r>
        <w:rPr>
          <w:rFonts w:ascii="Noto Naskh Arabic" w:hAnsi="Noto Naskh Arabic" w:cs="Noto Naskh Arabic" w:eastAsia="Noto Naskh Arabic"/>
          <w:b w:val="0"/>
          <w:i w:val="0"/>
          <w:color w:val="222222"/>
          <w:sz w:val="24"/>
          <w:rtl/>
          <w:cs/>
        </w:rPr>
        <w:t>خروجی اصلی یک «قانون‌نامه» است: فهرست به‌علاوه نوزده پرونده موضوعی. مخاطب پرونده‌های موضوعی برنامه‌نویس و ابزار کمکی است؛ این گزارش همان محتوا را به زبان ریاست ترجمه می‌کند.</w:t>
      </w:r>
    </w:p>
    <w:tbl>
      <w:tblPr>
        <w:tblW w:type="auto" w:w="0"/>
        <w:jc w:val="center"/>
        <w:tblLayout w:type="autofit"/>
        <w:tblLook w:firstColumn="1" w:firstRow="1" w:lastColumn="0" w:lastRow="0" w:noHBand="0" w:noVBand="1" w:val="04A0"/>
        <w:bidiVisual w:val="1"/>
        <w:jc w:val="center"/>
      </w:tblPr>
      <w:tblGrid>
        <w:gridCol w:w="3156"/>
        <w:gridCol w:w="3156"/>
        <w:gridCol w:w="3156"/>
      </w:tblGrid>
      <w:tr>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بخش</w:t>
            </w:r>
          </w:p>
        </w:tc>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موضوع اداری</w:t>
            </w:r>
          </w:p>
        </w:tc>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تعداد قانون</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مسیریاب همه فرم‌ها + معنی تأیید مدیر + فیش و گردش‌کار</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۱۸</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اصلاح بر و کف و مسیر</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۱۹</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آپارتمان</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۱۱</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۴</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پرونده آپارتمان و کنترل کد ملی</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۱۰</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۵</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ثبت درخواست سرا۸، نقشه، گروه بایگانی</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۳۸</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۶</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ملک (زمین / خانه)</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۲۲</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۷</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ساختمان</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۲۴</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۸</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دستگاه / مشاع</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۲۲</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۹</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تحلیل تخلف ساختمان</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۲۲</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۱۰</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فرم تأیید مدیران</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۳۰</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۱۱</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صلحنامه</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۱۲</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۱۲</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توافقنامه</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۱۷</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۱۳</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تخفیفات درآمد</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۱۱</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۱۴</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جریمه لایحه کمیسیون ماده ۱۰۰</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۱۳</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۱۵</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ذخیره ضابطه</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۱۴</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۱۶</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اعلام مأمور بازدید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۱۲</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۱۷</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ذخیره درآمد و فیش</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۱۳</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۱۸</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موافقت اصولی + تعریف مشترک فیش تأییدشده</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۸</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۱۹</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ثبت درخواست شهروندسپاری</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۲۰</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جمع</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۱۹ بخش مستند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۳۳۶</w:t>
            </w:r>
          </w:p>
        </w:tc>
      </w:tr>
    </w:tbl>
    <w:p/>
    <w:p>
      <w:pPr>
        <w:spacing w:after="160" w:before="240" w:line="288" w:lineRule="auto"/>
        <w:jc w:val="right"/>
        <w:bidi w:val="1"/>
      </w:pPr>
      <w:r>
        <w:rPr>
          <w:rFonts w:ascii="Noto Kufi Arabic" w:hAnsi="Noto Kufi Arabic" w:cs="Noto Kufi Arabic" w:eastAsia="Noto Kufi Arabic"/>
          <w:b/>
          <w:i w:val="0"/>
          <w:color w:val="1F6B5A"/>
          <w:sz w:val="27"/>
          <w:rtl/>
          <w:cs/>
        </w:rPr>
        <w:t>هر قانون چه چیزی را برای سازمان ثبت کرده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شماره سمپا یا بخشنامه، اگر در کد آمده باشد.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شدت: توقف، هشدار، محاسبه عدد، یا اثر جانبی (پیامک / کارتابل).</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شرط دقیق روشن شدن قانون، به زبان ساده و با ارجاع به کد.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استثناها — چه کاربر یا چه نوع درخواستی از قفل معاف است. این ستون برای ریاست مهم است؛ چون «همه را قفل کنید» معمولاً همان استثناها را می‌شکند.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اثر روی زیرسیستم: ضابطه، تخلف، کمیسیون، درآمد، رایورز، تقسیط، دسترسی، نقشه.</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الگوی تغییر برای سمپای بعدی: از کجا کپی شود، نه اینکه از صفر نوشته شود.</w:t>
      </w:r>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۶. یافته‌های مهم برای تصمیم مدیریتی</w:t>
      </w:r>
    </w:p>
    <w:p>
      <w:pPr>
        <w:spacing w:after="160" w:before="0" w:line="276" w:lineRule="auto"/>
        <w:jc w:val="both"/>
        <w:bidi w:val="1"/>
      </w:pPr>
      <w:r>
        <w:rPr>
          <w:rFonts w:ascii="Noto Naskh Arabic" w:hAnsi="Noto Naskh Arabic" w:cs="Noto Naskh Arabic" w:eastAsia="Noto Naskh Arabic"/>
          <w:b w:val="0"/>
          <w:i w:val="0"/>
          <w:color w:val="222222"/>
          <w:sz w:val="24"/>
          <w:rtl/>
          <w:cs/>
        </w:rPr>
        <w:t>موارد زیر «باگ برنامه‌نویس» به معنی متعارف نیستند؛ تصمیم‌های سازمانی‌اند که داخل کد رسوب کرده‌اند. ریاست باید بداند کدام قفل زنده است، کدام خاموش است، و کدام دو معنی متضاد دارد.</w:t>
      </w:r>
    </w:p>
    <w:p>
      <w:pPr>
        <w:spacing w:after="160" w:before="240" w:line="288" w:lineRule="auto"/>
        <w:jc w:val="right"/>
        <w:bidi w:val="1"/>
      </w:pPr>
      <w:r>
        <w:rPr>
          <w:rFonts w:ascii="Noto Kufi Arabic" w:hAnsi="Noto Kufi Arabic" w:cs="Noto Kufi Arabic" w:eastAsia="Noto Kufi Arabic"/>
          <w:b/>
          <w:i w:val="0"/>
          <w:color w:val="1F6B5A"/>
          <w:sz w:val="27"/>
          <w:rtl/>
          <w:cs/>
        </w:rPr>
        <w:t>۶.۱ قفل‌هایی که امروز درآمد و پرونده را نگه می‌دارند</w:t>
      </w:r>
    </w:p>
    <w:tbl>
      <w:tblPr>
        <w:tblW w:type="auto" w:w="0"/>
        <w:jc w:val="center"/>
        <w:tblLayout w:type="autofit"/>
        <w:tblLook w:firstColumn="1" w:firstRow="1" w:lastColumn="0" w:lastRow="0" w:noHBand="0" w:noVBand="1" w:val="04A0"/>
        <w:bidiVisual w:val="1"/>
        <w:jc w:val="center"/>
      </w:tblPr>
      <w:tblGrid>
        <w:gridCol w:w="3156"/>
        <w:gridCol w:w="3156"/>
        <w:gridCol w:w="3156"/>
      </w:tblGrid>
      <w:tr>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موضوع</w:t>
            </w:r>
          </w:p>
        </w:tc>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وضعیت زنده</w:t>
            </w:r>
          </w:p>
        </w:tc>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اگر بدون سمپا عوض شود</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تأییدشده شهرداری</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روی بروکف، بازدید ملک، تحلیل نوع ۲/۳، توافق (همیشه)، صلح در بعضی گروه‌ها، و ضابطه (دو بار) مانع ویرایش است</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ممکن است بعد از وصول، پرونده دوباره باز شود یا برعکس همه شهر قفل شود</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تأیید مدیر روی گواهی / لایحه / صلح / موافقت / تقسیط</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زنده است ولی معنی عدد برگشتی در فرم‌ها یکسان نیست</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قفل تأیید با فرم دیگر قاطی می‌شود</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درخواست تکراری یا هم‌گروه بایگانی</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 سرا۸ و شهروندسپاری هر دو هست؛ منطق‌شان یکی نیست</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ثبت موازی پروانه و پایانکار یا ایست کامل دفاتر</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لیست سیاه ملک / مالک / دفتر</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زنده؛ در شهروندسپاری معنی «سیاه نبودن» برعکس چیزی است که از نام تابع برمی‌آید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محرومیت نادرست دفتر یا عبور از محرومیت</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تخفیف کمیته و حد نصاب</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سقف تعداد و مبلغ و کد ملی تکراری زنده است</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تخفیف بی‌ضابطه یا رد همه تخفیف‌های قانونی</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جریمه لایحه و شاکی خصوصی</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قفل فیلدبه‌فیلد و ردیف تکراری زنده است</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تغییر رأی کمیسیون پس از ثبت</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تقسیط</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وجود تأیید تقسیط مانع ردیف درآمد جدید است؛ مدیر درآمد استثنا دارد</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ایجاد بدهی موازی روی پرونده تقسیط‌شده</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درآمد پایدار / سیاهی</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توقف کامل ذخیره درآمد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عوارض قانونی روی پلاک‌های مشمول ثبت می‌شود یا همه درآمد می‌ایستد</w:t>
            </w:r>
          </w:p>
        </w:tc>
      </w:tr>
    </w:tbl>
    <w:p/>
    <w:p>
      <w:pPr>
        <w:spacing w:after="160" w:before="240" w:line="288" w:lineRule="auto"/>
        <w:jc w:val="right"/>
        <w:bidi w:val="1"/>
      </w:pPr>
      <w:r>
        <w:rPr>
          <w:rFonts w:ascii="Noto Kufi Arabic" w:hAnsi="Noto Kufi Arabic" w:cs="Noto Kufi Arabic" w:eastAsia="Noto Kufi Arabic"/>
          <w:b/>
          <w:i w:val="0"/>
          <w:color w:val="1F6B5A"/>
          <w:sz w:val="27"/>
          <w:rtl/>
          <w:cs/>
        </w:rPr>
        <w:t>۶.۲ قوانینی که ظاهرشان زنده است ولی الان خاموش‌اند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قفل فیش روی خودِ فرم موافقت اصولی کامنت است. یعنی داشتن فیش تأییدشده، از همین مسیر، ذخیره نامه موافقت را نمی‌بندد. قفل زنده این فرم تأیید مدیر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قفل ثبت درخواست فقط روی ناحیه‌های ۸، ۱۲، ۱، ۱۱ و ۱۰ در شهروندسپاری کامنت شده است؛ امروز مانع سراسری ناحیه نیست.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پیامک ثبت درخواست شهروندسپاری داخل شرط غیرممکن قرار دارد و ارسال نمی‌شود.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بخشی از کنترل نقشه روی ضابطه بعد از یک خروج بی‌شرط دیگر اجرا نمی‌شود.</w:t>
      </w:r>
    </w:p>
    <w:p>
      <w:pPr>
        <w:spacing w:after="160" w:before="0" w:line="276" w:lineRule="auto"/>
        <w:jc w:val="both"/>
        <w:bidi w:val="1"/>
      </w:pPr>
      <w:r>
        <w:rPr>
          <w:rFonts w:ascii="Noto Naskh Arabic" w:hAnsi="Noto Naskh Arabic" w:cs="Noto Naskh Arabic" w:eastAsia="Noto Naskh Arabic"/>
          <w:b w:val="0"/>
          <w:i w:val="0"/>
          <w:color w:val="222222"/>
          <w:sz w:val="24"/>
          <w:rtl/>
          <w:cs/>
        </w:rPr>
        <w:t>خاموش بودن الزاماً اشتباه نیست؛ غالباً نتیجه سمپای قبلی است. اشتباه این است که همکار جدید آن را «خراب» بداند و بدون حکم اداری روشن کند.</w:t>
      </w:r>
    </w:p>
    <w:p>
      <w:pPr>
        <w:spacing w:after="160" w:before="240" w:line="288" w:lineRule="auto"/>
        <w:jc w:val="right"/>
        <w:bidi w:val="1"/>
      </w:pPr>
      <w:r>
        <w:rPr>
          <w:rFonts w:ascii="Noto Kufi Arabic" w:hAnsi="Noto Kufi Arabic" w:cs="Noto Kufi Arabic" w:eastAsia="Noto Kufi Arabic"/>
          <w:b/>
          <w:i w:val="0"/>
          <w:color w:val="1F6B5A"/>
          <w:sz w:val="27"/>
          <w:rtl/>
          <w:cs/>
        </w:rPr>
        <w:t>۶.۳ دو درگاه ثبت که نباید یکی فرض شوند</w:t>
      </w:r>
    </w:p>
    <w:p>
      <w:pPr>
        <w:spacing w:after="160" w:before="0" w:line="276" w:lineRule="auto"/>
        <w:jc w:val="both"/>
        <w:bidi w:val="1"/>
      </w:pPr>
      <w:r>
        <w:rPr>
          <w:rFonts w:ascii="Noto Naskh Arabic" w:hAnsi="Noto Naskh Arabic" w:cs="Noto Naskh Arabic" w:eastAsia="Noto Naskh Arabic"/>
          <w:b w:val="0"/>
          <w:i w:val="0"/>
          <w:color w:val="222222"/>
          <w:sz w:val="24"/>
          <w:rtl/>
          <w:cs/>
        </w:rPr>
        <w:t>ثبت درخواست داخل سامانه سرا۸ با ثبت از درگاه شهروندسپاری دو مسیر جدا است. در مسیر سرا۸، نتیجه «گروه بایگانی» محاسبه می‌شود ولی در همان فرم دور ریخته می‌شود. در مسیر شهروندسپاری همان نتیجه واقعاً برای جلوگیری از درخواست هم‌گروه مصرف می‌شود. یکی کردن این دو مسیر، یا کپی قفل از یکی به دیگری، رفتار دفاتر و شهروند را عوض می‌کند.</w:t>
      </w:r>
    </w:p>
    <w:p>
      <w:pPr>
        <w:spacing w:after="160" w:before="0" w:line="276" w:lineRule="auto"/>
        <w:jc w:val="both"/>
        <w:bidi w:val="1"/>
      </w:pPr>
      <w:r>
        <w:rPr>
          <w:rFonts w:ascii="Noto Naskh Arabic" w:hAnsi="Noto Naskh Arabic" w:cs="Noto Naskh Arabic" w:eastAsia="Noto Naskh Arabic"/>
          <w:b w:val="0"/>
          <w:i w:val="0"/>
          <w:color w:val="222222"/>
          <w:sz w:val="24"/>
          <w:rtl/>
          <w:cs/>
        </w:rPr>
        <w:t>از تاریخ مشخصی چند نوع درخواست فقط از سامانه ایساپ مجاز است. پیام «از سامانه ایساپ اقدام نمایید» قفل سیاستی است، نه خطای موقت برنامه.</w:t>
      </w:r>
    </w:p>
    <w:p>
      <w:pPr>
        <w:spacing w:after="160" w:before="240" w:line="288" w:lineRule="auto"/>
        <w:jc w:val="right"/>
        <w:bidi w:val="1"/>
      </w:pPr>
      <w:r>
        <w:rPr>
          <w:rFonts w:ascii="Noto Kufi Arabic" w:hAnsi="Noto Kufi Arabic" w:cs="Noto Kufi Arabic" w:eastAsia="Noto Kufi Arabic"/>
          <w:b/>
          <w:i w:val="0"/>
          <w:color w:val="1F6B5A"/>
          <w:sz w:val="27"/>
          <w:rtl/>
          <w:cs/>
        </w:rPr>
        <w:t>۶.۴ یافته امنیتی (بدون ذکر رمز)</w:t>
      </w:r>
    </w:p>
    <w:tbl>
      <w:tblPr>
        <w:tblW w:type="auto" w:w="0"/>
        <w:jc w:val="center"/>
        <w:tblLook w:firstColumn="1" w:firstRow="1" w:lastColumn="0" w:lastRow="0" w:noHBand="0" w:noVBand="1" w:val="04A0"/>
      </w:tblPr>
      <w:tblGrid>
        <w:gridCol w:w="9468"/>
      </w:tblGrid>
      <w:tr>
        <w:tc>
          <w:tcPr>
            <w:tcW w:type="dxa" w:w="9468"/>
            <w:shd w:fill="F7F1E3" w:val="clear"/>
            <w:tcBorders>
              <w:top w:val="single" w:sz="12" w:color="B88A2E" w:space="0"/>
              <w:bottom w:val="single" w:sz="4" w:color="B88A2E" w:space="0"/>
              <w:start w:val="single" w:sz="12" w:color="B88A2E" w:space="0"/>
              <w:end w:val="single" w:sz="4" w:color="B88A2E" w:space="0"/>
            </w:tcBorders>
          </w:tcPr>
          <w:p>
            <w:pPr>
              <w:spacing w:after="80" w:before="80" w:line="276" w:lineRule="auto"/>
              <w:jc w:val="right"/>
              <w:bidi w:val="1"/>
            </w:pPr>
            <w:r/>
            <w:r>
              <w:rPr>
                <w:rFonts w:ascii="Noto Kufi Arabic" w:hAnsi="Noto Kufi Arabic" w:cs="Noto Kufi Arabic" w:eastAsia="Noto Kufi Arabic"/>
                <w:b/>
                <w:i w:val="0"/>
                <w:color w:val="1B365D"/>
                <w:sz w:val="24"/>
                <w:rtl/>
                <w:cs/>
              </w:rPr>
              <w:t>توجه ریاست — دسترسی پایگاه</w:t>
            </w:r>
          </w:p>
          <w:p>
            <w:pPr>
              <w:spacing w:after="80" w:before="0" w:line="276" w:lineRule="auto"/>
              <w:jc w:val="both"/>
              <w:bidi w:val="1"/>
            </w:pPr>
            <w:r>
              <w:rPr>
                <w:rFonts w:ascii="Noto Naskh Arabic" w:hAnsi="Noto Naskh Arabic" w:cs="Noto Naskh Arabic" w:eastAsia="Noto Naskh Arabic"/>
                <w:b w:val="0"/>
                <w:i w:val="0"/>
                <w:color w:val="222222"/>
                <w:sz w:val="23"/>
                <w:rtl/>
                <w:cs/>
              </w:rPr>
              <w:t>در مسیر ثبت شهروندسپاری، اتصال مستقیم به پایگاه داده داخل خود فرمول نوشته شده است. در قانون‌نامه رمز و نشانی کپی نشده است. پیشنهاد مشخص: این اتصال از فرمول خارج و به لایه امن سازمانی منتقل شود. تا آن زمان، هر رونوشت از فرمول باید مانند سند دارای رمز تلقی شود.</w:t>
            </w:r>
          </w:p>
        </w:tc>
      </w:tr>
    </w:tbl>
    <w:p/>
    <w:p>
      <w:pPr>
        <w:spacing w:after="160" w:before="240" w:line="288" w:lineRule="auto"/>
        <w:jc w:val="right"/>
        <w:bidi w:val="1"/>
      </w:pPr>
      <w:r>
        <w:rPr>
          <w:rFonts w:ascii="Noto Kufi Arabic" w:hAnsi="Noto Kufi Arabic" w:cs="Noto Kufi Arabic" w:eastAsia="Noto Kufi Arabic"/>
          <w:b/>
          <w:i w:val="0"/>
          <w:color w:val="1F6B5A"/>
          <w:sz w:val="27"/>
          <w:rtl/>
          <w:cs/>
        </w:rPr>
        <w:t>۶.۵ ناحیه ثامن و استثناهای نقطه‌ای</w:t>
      </w:r>
    </w:p>
    <w:p>
      <w:pPr>
        <w:spacing w:after="160" w:before="0" w:line="276" w:lineRule="auto"/>
        <w:jc w:val="both"/>
        <w:bidi w:val="1"/>
      </w:pPr>
      <w:r>
        <w:rPr>
          <w:rFonts w:ascii="Noto Naskh Arabic" w:hAnsi="Noto Naskh Arabic" w:cs="Noto Naskh Arabic" w:eastAsia="Noto Naskh Arabic"/>
          <w:b w:val="0"/>
          <w:i w:val="0"/>
          <w:color w:val="222222"/>
          <w:sz w:val="24"/>
          <w:rtl/>
          <w:cs/>
        </w:rPr>
        <w:t>ناحیه حرم (ثامن) در فیش، نقشه، تخفیف، درآمد و تخصیص نقشه‌بردار قوانین جدا دارد. علاوه بر آن، چند پلاک مشخص برای تست یا دستور خاص از بعضی قفل‌ها معاف‌اند. تعمیم استثنای یک پلاک به «همه منطقه» یا حذف ثامن از یک قفل، اثر مالی گسترده دارد.</w:t>
      </w:r>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۷. زیرسیستم‌های متصل و خطر تداخل</w:t>
      </w:r>
    </w:p>
    <w:p>
      <w:pPr>
        <w:spacing w:after="160" w:before="0" w:line="276" w:lineRule="auto"/>
        <w:jc w:val="both"/>
        <w:bidi w:val="1"/>
      </w:pPr>
      <w:r>
        <w:rPr>
          <w:rFonts w:ascii="Noto Naskh Arabic" w:hAnsi="Noto Naskh Arabic" w:cs="Noto Naskh Arabic" w:eastAsia="Noto Naskh Arabic"/>
          <w:b w:val="0"/>
          <w:i w:val="0"/>
          <w:color w:val="222222"/>
          <w:sz w:val="24"/>
          <w:rtl/>
          <w:cs/>
        </w:rPr>
        <w:t>اعتبارسنجی یک جزیره نیست. سازمان چند موتور جدا دارد که خوراک همدیگرند. قانون‌نامه برای هر قانون مشخص کرده کدام موتور ممکن است آسیب ببیند.</w:t>
      </w:r>
    </w:p>
    <w:tbl>
      <w:tblPr>
        <w:tblW w:type="auto" w:w="0"/>
        <w:jc w:val="center"/>
        <w:tblLayout w:type="autofit"/>
        <w:tblLook w:firstColumn="1" w:firstRow="1" w:lastColumn="0" w:lastRow="0" w:noHBand="0" w:noVBand="1" w:val="04A0"/>
        <w:bidiVisual w:val="1"/>
        <w:jc w:val="center"/>
      </w:tblPr>
      <w:tblGrid>
        <w:gridCol w:w="3156"/>
        <w:gridCol w:w="3156"/>
        <w:gridCol w:w="3156"/>
      </w:tblGrid>
      <w:tr>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زیرسیستم</w:t>
            </w:r>
          </w:p>
        </w:tc>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نقش در شهر</w:t>
            </w:r>
          </w:p>
        </w:tc>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نمونه قفل اعتبارسنجی</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موتور ضابطه</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تعیین مجاز ساخت</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مساحت بعد از مسیر؛ صلح نوع خاص؛ قفل ذخیره کاربری طرح</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موتور تخلف</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اختلاف وضع موجود با مجاز</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تخلف طرح؛ کسری پارکینگ؛ قفل تغییر کد</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کمیسیون ماده ۱۰۰</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رأی و جریمه</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لایحه تأییدشده؛ شاکی؛ ردیف تکراری</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درآمد و فیش</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بدهی شهروند و شهرداری</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تأیید؛ انتقال؛ بازآفرینی؛ درآمد پایدار</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رایورز</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حسابداری و وصول</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ردیف‌هایی که بعداً به مالی ارسال می‌شوند</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تقسیط</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قسط‌بندی بدهی</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تأیید تقسیط مانع ردیف جدید</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نوسازی سالانه</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عوارض جاری ملک</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بدهی نوسازی/صنفی روی تأیید مدیر — جدا از جریمه ساخت</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نقشه (GIS)</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جانمایی و حریم</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ملک روی نقشه نباشد؛ حریم انتظامی؛ جنوب‌غرب</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ایساپ / شهروندسپاری</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درگاه بیرونی</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پایانکار جاری؛ احراز؛ تخصیص ناحیه</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دسترسی و لیست سیاه</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چه کسی حق ذخیره دارد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تبلت، پلیس، کارگزار، دفتر محروم</w:t>
            </w:r>
          </w:p>
        </w:tc>
      </w:tr>
    </w:tbl>
    <w:p/>
    <w:p>
      <w:pPr>
        <w:spacing w:after="160" w:before="0" w:line="276" w:lineRule="auto"/>
        <w:jc w:val="both"/>
        <w:bidi w:val="1"/>
      </w:pPr>
      <w:r>
        <w:rPr>
          <w:rFonts w:ascii="Noto Naskh Arabic" w:hAnsi="Noto Naskh Arabic" w:cs="Noto Naskh Arabic" w:eastAsia="Noto Naskh Arabic"/>
          <w:b w:val="0"/>
          <w:i w:val="0"/>
          <w:color w:val="222222"/>
          <w:sz w:val="24"/>
          <w:rtl/>
          <w:cs/>
        </w:rPr>
        <w:t>قاعده ایمنی که در قانون‌نامه برای تیم فنی نوشته شده و برای ریاست هم قابل اتکا است: اگر سمپا هم «رفع یک مورد خاص» بخواهد و هم «تغییر رفتار همه گردش‌کارها»، فقط همان مورد خاص پیاده می‌شود. بازنویسی کل تابع ممنوع است.</w:t>
      </w:r>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۸. روش کار و تضمین ایمنی</w:t>
      </w:r>
    </w:p>
    <w:p>
      <w:pPr>
        <w:spacing w:after="160" w:before="240" w:line="288" w:lineRule="auto"/>
        <w:jc w:val="right"/>
        <w:bidi w:val="1"/>
      </w:pPr>
      <w:r>
        <w:rPr>
          <w:rFonts w:ascii="Noto Kufi Arabic" w:hAnsi="Noto Kufi Arabic" w:cs="Noto Kufi Arabic" w:eastAsia="Noto Kufi Arabic"/>
          <w:b/>
          <w:i w:val="0"/>
          <w:color w:val="1F6B5A"/>
          <w:sz w:val="27"/>
          <w:rtl/>
          <w:cs/>
        </w:rPr>
        <w:t>الگوی سمپا، نه معماری تازه</w:t>
      </w:r>
    </w:p>
    <w:p>
      <w:pPr>
        <w:spacing w:after="160" w:before="0" w:line="276" w:lineRule="auto"/>
        <w:jc w:val="both"/>
        <w:bidi w:val="1"/>
      </w:pPr>
      <w:r>
        <w:rPr>
          <w:rFonts w:ascii="Noto Naskh Arabic" w:hAnsi="Noto Naskh Arabic" w:cs="Noto Naskh Arabic" w:eastAsia="Noto Naskh Arabic"/>
          <w:b w:val="0"/>
          <w:i w:val="0"/>
          <w:color w:val="222222"/>
          <w:sz w:val="24"/>
          <w:rtl/>
          <w:cs/>
        </w:rPr>
        <w:t>تقریباً همه درخواست‌های جدید شبیه چیزی هستند که قبلاً در همین فرمول پیاده شده. روش الزامی کار این است: اول جستجوی همان منطق با نام‌های فارسی، فینگلیش و انگلیسی؛ بعد کپی همان الگو؛ فقط شرط یا پارامتر لازم عوض شود. ساخت مسیر تازه فقط وقتی مجاز است که هیچ الگویی پیدا نشود.</w:t>
      </w:r>
    </w:p>
    <w:p>
      <w:pPr>
        <w:spacing w:after="160" w:before="240" w:line="288" w:lineRule="auto"/>
        <w:jc w:val="right"/>
        <w:bidi w:val="1"/>
      </w:pPr>
      <w:r>
        <w:rPr>
          <w:rFonts w:ascii="Noto Kufi Arabic" w:hAnsi="Noto Kufi Arabic" w:cs="Noto Kufi Arabic" w:eastAsia="Noto Kufi Arabic"/>
          <w:b/>
          <w:i w:val="0"/>
          <w:color w:val="1F6B5A"/>
          <w:sz w:val="27"/>
          <w:rtl/>
          <w:cs/>
        </w:rPr>
        <w:t>خروجی اجباری هر پیشنهاد تغییر</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فایل‌ها و توابع مرتبط که واقعاً در کد پیدا شده‌اند.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توضیح منطق فعلی فقط بر اساس کد، نه حدس.</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حداقل تغییر پیشنهادی (یک شرط یا یک پارامتر)، نه بازنویسی تابع.</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تأیید ایمنی اثر جانبی: کدام نوع درخواست یا کدام ناحیه تحت تأثیر است و کدام نیست.</w:t>
      </w:r>
    </w:p>
    <w:p>
      <w:pPr>
        <w:spacing w:after="160" w:before="240" w:line="288" w:lineRule="auto"/>
        <w:jc w:val="right"/>
        <w:bidi w:val="1"/>
      </w:pPr>
      <w:r>
        <w:rPr>
          <w:rFonts w:ascii="Noto Kufi Arabic" w:hAnsi="Noto Kufi Arabic" w:cs="Noto Kufi Arabic" w:eastAsia="Noto Kufi Arabic"/>
          <w:b/>
          <w:i w:val="0"/>
          <w:color w:val="1F6B5A"/>
          <w:sz w:val="27"/>
          <w:rtl/>
          <w:cs/>
        </w:rPr>
        <w:t>آنچه در این مرحله عمداً انجام نشده</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هیچ خطی از فرمول عملیاتی ویرایش نشده است.</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قوانین خاموش روشن نشده‌اند.</w:t>
      </w:r>
    </w:p>
    <w:p>
      <w:pPr>
        <w:spacing w:after="80" w:before="20" w:line="276" w:lineRule="auto"/>
        <w:ind w:right="0" w:left="227"/>
        <w:jc w:val="both"/>
        <w:bidi w:val="1"/>
      </w:pPr>
      <w:r>
        <w:rPr>
          <w:rFonts w:ascii="Noto Naskh Arabic" w:hAnsi="Noto Naskh Arabic" w:cs="Noto Naskh Arabic" w:eastAsia="Noto Naskh Arabic"/>
          <w:b w:val="0"/>
          <w:i w:val="0"/>
          <w:color w:val="222222"/>
          <w:sz w:val="24"/>
          <w:rtl/>
          <w:cs/>
        </w:rPr>
        <w:t>•  رمز پایگاه، کلید خدمات پیامکی و مشخصات احراز املاک در مستند فنی تکرار نشده است.</w:t>
      </w:r>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۹. کار باقیمانده</w:t>
      </w:r>
    </w:p>
    <w:p>
      <w:pPr>
        <w:spacing w:after="160" w:before="0" w:line="276" w:lineRule="auto"/>
        <w:jc w:val="both"/>
        <w:bidi w:val="1"/>
      </w:pPr>
      <w:r>
        <w:rPr>
          <w:rFonts w:ascii="Noto Naskh Arabic" w:hAnsi="Noto Naskh Arabic" w:cs="Noto Naskh Arabic" w:eastAsia="Noto Naskh Arabic"/>
          <w:b w:val="0"/>
          <w:i w:val="0"/>
          <w:color w:val="222222"/>
          <w:sz w:val="24"/>
          <w:rtl/>
          <w:cs/>
        </w:rPr>
        <w:t>قانون‌نامه تا بخش ۱۹ کامل است. فرم‌های زیر هنوز کدشان برای مستندسازی ارسال نشده و در نوبت «بخش ۲۰ به بعد» هستند. تا تکمیل، هر سمپای مربوط به آن‌ها باید جداگانه و با خواندن خود کد بررسی شود؛ نباید از روی بخش‌های موجود قیاس شود.</w:t>
      </w:r>
    </w:p>
    <w:tbl>
      <w:tblPr>
        <w:tblW w:type="auto" w:w="0"/>
        <w:jc w:val="center"/>
        <w:tblLayout w:type="autofit"/>
        <w:tblLook w:firstColumn="1" w:firstRow="1" w:lastColumn="0" w:lastRow="0" w:noHBand="0" w:noVBand="1" w:val="04A0"/>
        <w:bidiVisual w:val="1"/>
        <w:jc w:val="center"/>
      </w:tblPr>
      <w:tblGrid>
        <w:gridCol w:w="4734"/>
        <w:gridCol w:w="4734"/>
      </w:tblGrid>
      <w:tr>
        <w:tc>
          <w:tcPr>
            <w:tcW w:type="dxa" w:w="4734"/>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فرم باقیمانده</w:t>
            </w:r>
          </w:p>
        </w:tc>
        <w:tc>
          <w:tcPr>
            <w:tcW w:type="dxa" w:w="4734"/>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چرا برای ریاست مهم است</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مغازه</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وضع موجود تجاری؛ خوراک تخلف و درآمد صنفی</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پروانه (صدور / اصلاح / تمدید در فرم اختصاصی)</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مجوز ساخت؛ اتصال به ضابطه و درآمد</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پایانکار</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مجوز بهره‌برداری؛ قفل هم‌گروه با پروانه در شهروندسپاری از قبل مستند شده اما خود فرم هنوز نه</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پاسخ استعلام</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تعامل با دفترخانه و ادارات</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کارتابل مأمور بازدید (فرم عامل)</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غیر از «اعلام مأمور» که بخش ۱۶ است</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ویرایش فنی / موافقت اصولی شهروندسپاری / فهرست توافق UGP</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نسخه درگاه بیرونی؛ نباید با فرم داخلی یکی فرض شود</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ویرایش درخواست</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تغییر درخواست ثبت‌شده</w:t>
            </w:r>
          </w:p>
        </w:tc>
      </w:tr>
    </w:tbl>
    <w:p/>
    <w:p>
      <w:pPr>
        <w:spacing w:after="160" w:before="0" w:line="276" w:lineRule="auto"/>
        <w:jc w:val="both"/>
        <w:bidi w:val="1"/>
      </w:pPr>
      <w:r>
        <w:rPr>
          <w:rFonts w:ascii="Noto Naskh Arabic" w:hAnsi="Noto Naskh Arabic" w:cs="Noto Naskh Arabic" w:eastAsia="Noto Naskh Arabic"/>
          <w:b w:val="0"/>
          <w:i w:val="0"/>
          <w:color w:val="222222"/>
          <w:sz w:val="24"/>
          <w:rtl/>
          <w:cs/>
        </w:rPr>
        <w:t>پیشنهاد اجرایی: همان روال فعلی ادامه یابد — هر بخش کد که آماده شد، همان روز به قانون‌نامه اضافه شود تا فاصله دانش دوباره زیاد نشود.</w:t>
      </w:r>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۱۰. پیشنهاد اقدام به ریاست</w:t>
      </w:r>
    </w:p>
    <w:tbl>
      <w:tblPr>
        <w:tblW w:type="auto" w:w="0"/>
        <w:jc w:val="center"/>
        <w:tblLayout w:type="autofit"/>
        <w:tblLook w:firstColumn="1" w:firstRow="1" w:lastColumn="0" w:lastRow="0" w:noHBand="0" w:noVBand="1" w:val="04A0"/>
        <w:bidiVisual w:val="1"/>
        <w:jc w:val="center"/>
      </w:tblPr>
      <w:tblGrid>
        <w:gridCol w:w="3156"/>
        <w:gridCol w:w="3156"/>
        <w:gridCol w:w="3156"/>
      </w:tblGrid>
      <w:tr>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اولویت</w:t>
            </w:r>
          </w:p>
        </w:tc>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پیشنهاد</w:t>
            </w:r>
          </w:p>
        </w:tc>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اثر</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این قانون‌نامه مرجع رسمی پاسخ به سمپاهای اعتبارسنجی شناخته شود</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کاهش تغییر اشتباه و کاهش وابستگی به حافظه افراد</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ادامه مستندسازی بخش ۲۰ به بعد با همان کیفیت</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پوشش کامل چرخه پروانه و پایانکار</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هر تغییر قفل فیش، تأیید مدیر، تخفیف، تقسیط یا جریمه فقط با سمپای مکتوب</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حفاظت از درآمد و آرای کمیسیون</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۴</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خروج اتصال پایگاه از داخل فرمول شهروندسپاری</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کاهش ریسک افشای دسترسی</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۵</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قوانین خاموش بدون حکم اداری روشن نشوند؛ مخصوصاً قفل فیش موافقت و قفل ناحیه</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جلوگیری از شوک عملیاتی در دفاتر و مناطق</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۶</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استثناهای پلاک تست و ناحیه ثامن در سمپا صریحاً ذکر شود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تعمیم ناخواسته معافیت به کل شهر اتفاق نیفتد</w:t>
            </w:r>
          </w:p>
        </w:tc>
      </w:tr>
    </w:tbl>
    <w:p/>
    <w:tbl>
      <w:tblPr>
        <w:tblW w:type="auto" w:w="0"/>
        <w:jc w:val="center"/>
        <w:tblLook w:firstColumn="1" w:firstRow="1" w:lastColumn="0" w:lastRow="0" w:noHBand="0" w:noVBand="1" w:val="04A0"/>
      </w:tblPr>
      <w:tblGrid>
        <w:gridCol w:w="9468"/>
      </w:tblGrid>
      <w:tr>
        <w:tc>
          <w:tcPr>
            <w:tcW w:type="dxa" w:w="9468"/>
            <w:shd w:fill="F7F1E3" w:val="clear"/>
            <w:tcBorders>
              <w:top w:val="single" w:sz="12" w:color="B88A2E" w:space="0"/>
              <w:bottom w:val="single" w:sz="4" w:color="B88A2E" w:space="0"/>
              <w:start w:val="single" w:sz="12" w:color="B88A2E" w:space="0"/>
              <w:end w:val="single" w:sz="4" w:color="B88A2E" w:space="0"/>
            </w:tcBorders>
          </w:tcPr>
          <w:p>
            <w:pPr>
              <w:spacing w:after="80" w:before="80" w:line="276" w:lineRule="auto"/>
              <w:jc w:val="right"/>
              <w:bidi w:val="1"/>
            </w:pPr>
            <w:r/>
            <w:r>
              <w:rPr>
                <w:rFonts w:ascii="Noto Kufi Arabic" w:hAnsi="Noto Kufi Arabic" w:cs="Noto Kufi Arabic" w:eastAsia="Noto Kufi Arabic"/>
                <w:b/>
                <w:i w:val="0"/>
                <w:color w:val="1B365D"/>
                <w:sz w:val="24"/>
                <w:rtl/>
                <w:cs/>
              </w:rPr>
              <w:t>جمع‌بندی برای امضای ریاست</w:t>
            </w:r>
          </w:p>
          <w:p>
            <w:pPr>
              <w:spacing w:after="80" w:before="0" w:line="276" w:lineRule="auto"/>
              <w:jc w:val="both"/>
              <w:bidi w:val="1"/>
            </w:pPr>
            <w:r>
              <w:rPr>
                <w:rFonts w:ascii="Noto Naskh Arabic" w:hAnsi="Noto Naskh Arabic" w:cs="Noto Naskh Arabic" w:eastAsia="Noto Naskh Arabic"/>
                <w:b w:val="0"/>
                <w:i w:val="0"/>
                <w:color w:val="222222"/>
                <w:sz w:val="23"/>
                <w:rtl/>
                <w:cs/>
              </w:rPr>
              <w:t>سازمان اکنون برای نوزده مرحله اصلی ذخیره پرونده، یک نقشه قوانین دارد. سامانه دست نخورده است. ریسک اصلی باقیمانده دو چیز است: فرم‌هایی که هنوز مستند نشده‌اند، و وسوسه «یک تغییر کوچک سراسری» بدون سمپا. با تثبیت همین روش، دانش بیست‌ساله از افراد به سازمان منتقل می‌شود.</w:t>
            </w:r>
          </w:p>
        </w:tc>
      </w:tr>
    </w:tbl>
    <w:p/>
    <w:p>
      <w:pPr>
        <w:spacing w:after="160" w:before="240" w:line="276" w:lineRule="auto"/>
        <w:jc w:val="right"/>
        <w:bidi w:val="1"/>
      </w:pPr>
      <w:r>
        <w:rPr>
          <w:rFonts w:ascii="Noto Naskh Arabic" w:hAnsi="Noto Naskh Arabic" w:cs="Noto Naskh Arabic" w:eastAsia="Noto Naskh Arabic"/>
          <w:b w:val="0"/>
          <w:i w:val="0"/>
          <w:color w:val="222222"/>
          <w:sz w:val="24"/>
          <w:rtl/>
          <w:cs/>
        </w:rPr>
        <w:t>با احترام</w:t>
      </w:r>
    </w:p>
    <w:p>
      <w:pPr>
        <w:spacing w:after="40" w:before="0" w:line="276" w:lineRule="auto"/>
        <w:jc w:val="right"/>
        <w:bidi w:val="1"/>
      </w:pPr>
      <w:r>
        <w:rPr>
          <w:rFonts w:ascii="Noto Naskh Arabic" w:hAnsi="Noto Naskh Arabic" w:cs="Noto Naskh Arabic" w:eastAsia="Noto Naskh Arabic"/>
          <w:b/>
          <w:i w:val="0"/>
          <w:color w:val="222222"/>
          <w:sz w:val="24"/>
          <w:rtl/>
          <w:cs/>
        </w:rPr>
        <w:t>تیم مستندسازی اعتبارسنجی سامانه شهرسازی</w:t>
      </w:r>
    </w:p>
    <w:p>
      <w:pPr>
        <w:spacing w:after="160" w:before="0" w:line="276" w:lineRule="auto"/>
        <w:jc w:val="right"/>
        <w:bidi w:val="1"/>
      </w:pPr>
      <w:r>
        <w:rPr>
          <w:rFonts w:ascii="Noto Naskh Arabic" w:hAnsi="Noto Naskh Arabic" w:cs="Noto Naskh Arabic" w:eastAsia="Noto Naskh Arabic"/>
          <w:b w:val="0"/>
          <w:i w:val="0"/>
          <w:color w:val="555555"/>
          <w:sz w:val="22"/>
          <w:rtl/>
          <w:cs/>
        </w:rPr>
        <w:t>شهریور ۱۴۰۵</w:t>
      </w:r>
    </w:p>
    <w:p>
      <w:r>
        <w:br w:type="page"/>
      </w:r>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پیوست الف — پیام‌هایی که کارشناس روی صفحه می‌بیند</w:t>
      </w:r>
    </w:p>
    <w:p>
      <w:pPr>
        <w:spacing w:after="160" w:before="0" w:line="276" w:lineRule="auto"/>
        <w:jc w:val="both"/>
        <w:bidi w:val="1"/>
      </w:pPr>
      <w:r>
        <w:rPr>
          <w:rFonts w:ascii="Noto Naskh Arabic" w:hAnsi="Noto Naskh Arabic" w:cs="Noto Naskh Arabic" w:eastAsia="Noto Naskh Arabic"/>
          <w:b w:val="0"/>
          <w:i w:val="0"/>
          <w:color w:val="222222"/>
          <w:sz w:val="24"/>
          <w:rtl/>
          <w:cs/>
        </w:rPr>
        <w:t>اگر همکار از منطقه‌ای زنگ زد که «این خطا را می‌دهد»، معمولاً یکی از ردیف‌های زیر است. متن کامل و استثنا در قانون‌نامه فنی آمده؛ اینجا فقط ترجمه مدیریتی است.</w:t>
      </w:r>
    </w:p>
    <w:tbl>
      <w:tblPr>
        <w:tblW w:type="auto" w:w="0"/>
        <w:jc w:val="center"/>
        <w:tblLayout w:type="autofit"/>
        <w:tblLook w:firstColumn="1" w:firstRow="1" w:lastColumn="0" w:lastRow="0" w:noHBand="0" w:noVBand="1" w:val="04A0"/>
        <w:bidiVisual w:val="1"/>
        <w:jc w:val="center"/>
      </w:tblPr>
      <w:tblGrid>
        <w:gridCol w:w="3156"/>
        <w:gridCol w:w="3156"/>
        <w:gridCol w:w="3156"/>
      </w:tblGrid>
      <w:tr>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 تقریبی روی صفحه</w:t>
            </w:r>
          </w:p>
        </w:tc>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یعنی چه</w:t>
            </w:r>
          </w:p>
        </w:tc>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باجه</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به علت داشتن فیش تأییدشده مجاز به تغییر نیستید</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بعد از صدور/تأیید فیش، ویرایش این فرم بسته است</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بروکف، بازدید، تحلیل، توافق، ضابطه</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تأیید مدیر شده است مجاز به تغییر نیستید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مدیر قبلاً تأیید زده؛ کارشناس نباید همان داده را عوض کند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گواهی، لایحه، صلح، موافقت، مأمور</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از سامانه ایساپ اقدام نمایید</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این نوع درخواست دیگر از مسیر داخلی ثبت نمی‌شود</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شهروندسپاری / سیاست ۱۴۰۱ به بعد</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به دلیل داشتن درخواست مشابه مجاز نیستید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روی همین پلاک درخواست باز از همان خانواده وجود دارد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ثبت سرا۸ و شهروندسپاری</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بدلیل داشتن درخواست جاری از گروه پایانکار</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پایانکار یا پروانه باز است؛ پروانه جدید ثبت نمی‌شود</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شهروندسپاری</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امکان انتخاب این دفتر یا کارشناس وجود ندارد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دفتر/کارشناس در محدودیت سازمانی است</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شهروندسپاری</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نوسازی در لیست سیاه است</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پلاک یا مالک محروم از ثبت است</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ثبت و تأیید مدیر</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ملک مورد نظر روی نقشه جانمایی نشده</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بدون جانمایی، مسیر یا مأمور یا بروکف جلو نمی‌رود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نقشه</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وجود تأیید تقسیط / تخلیه تقسیط</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پرونده قسط دارد؛ ردیف درآمد جدید بسته یا مشروط است</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درآمد و تحلیل</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ابلاغ قانون درآمدهای پایدار</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پلاک مشمول قانون است؛ ذخیره درآمد قطع می‌شود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درآمد</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تخلف مشابه و تکراری</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همین تخلف قبلاً روی لایحه آمده</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جریمه کمیسیون</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ملی غلط است / کد ملی تخفیف تکراری</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هویت مالک یا ذی‌نفع تخفیف ایراد دارد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پرونده و تخفیف</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شما مجاز به ثبت این نوع درخواست نیستید</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گردش‌کار برای این درگاه یا این تاریخ بسته است</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ثبت</w:t>
            </w:r>
          </w:p>
        </w:tc>
      </w:tr>
    </w:tbl>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پیوست ب — واژه‌نامه کوتاه اداری</w:t>
      </w:r>
    </w:p>
    <w:tbl>
      <w:tblPr>
        <w:tblW w:type="auto" w:w="0"/>
        <w:jc w:val="center"/>
        <w:tblLayout w:type="autofit"/>
        <w:tblLook w:firstColumn="1" w:firstRow="1" w:lastColumn="0" w:lastRow="0" w:noHBand="0" w:noVBand="1" w:val="04A0"/>
        <w:bidiVisual w:val="1"/>
        <w:jc w:val="center"/>
      </w:tblPr>
      <w:tblGrid>
        <w:gridCol w:w="4734"/>
        <w:gridCol w:w="4734"/>
      </w:tblGrid>
      <w:tr>
        <w:tc>
          <w:tcPr>
            <w:tcW w:type="dxa" w:w="4734"/>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واژه رایج در سازمان</w:t>
            </w:r>
          </w:p>
        </w:tc>
        <w:tc>
          <w:tcPr>
            <w:tcW w:type="dxa" w:w="4734"/>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معنی بدون اصطلاح فنی</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سمپا</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درخواست رسمی تغییر در سامانه؛ بدون آن رفتار شهر عوض نمی‌شود</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گردش‌کار</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پرونده: پروانه، پایانکار، مفاصا، استعلام، گواهی انتقال و مانند آن</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نوسازی</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شناسه پلاک؛ قطعه اول آن معمولاً ناحیه است</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ثامن</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ناحیه حرم؛ خیلی از قواعد فقط برای این ناحیه یا فقط برای غیر آن است</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سرا۸ / سرا۱۰ / ایساپ</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سه درگاه ورود؛ قفل یکی را به دیگری نباید تعمیم داد</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برگ بدهی یا پرداخت شهرداری؛ اگر تأیید شود ویرایش سخت می‌شود</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ضابطه</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آنچه قانوناً اجازه ساخت دارد</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وضع موجود</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آنچه واقعاً سر ملک هست</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تحلیل / تخلف</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اختلاف وضع موجود با ضابطه</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لایحه / جریمه</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تبدیل تخلف به مبلغ کمیسیون ماده ۱۰۰</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صلح و توافق</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قرارداد جایگزین که ممکن است ضابطه را عوض کند</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تقسیط</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قسط‌بندی بدهی؛ جدا از جریمه ساخت</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نوسازی</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عوارض سالانه ملک؛ جدا از درآمد ساخت</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رایورز</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سامانه مالی شهرداری برای حسابداری و وصول</w:t>
            </w:r>
          </w:p>
        </w:tc>
      </w:tr>
      <w:tr>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موافقت اصولی</w:t>
            </w:r>
          </w:p>
        </w:tc>
        <w:tc>
          <w:tcPr>
            <w:tcW w:type="dxa" w:w="4734"/>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نامه موافقت اولیه؛ قفل اصلی‌اش تأیید مدیر است</w:t>
            </w:r>
          </w:p>
        </w:tc>
      </w:tr>
      <w:tr>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شهروندسپاری</w:t>
            </w:r>
          </w:p>
        </w:tc>
        <w:tc>
          <w:tcPr>
            <w:tcW w:type="dxa" w:w="4734"/>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ثبت درخواست از درگاه بیرونی، نه کارتابل داخلی کارشناس</w:t>
            </w:r>
          </w:p>
        </w:tc>
      </w:tr>
    </w:tbl>
    <w:p/>
    <w:p>
      <w:pPr>
        <w:spacing w:after="200" w:before="320" w:line="288" w:lineRule="auto"/>
        <w:jc w:val="right"/>
        <w:bidi w:val="1"/>
        <w:pBdr>
          <w:bottom w:val="single" w:sz="8" w:space="4" w:color="1B365D"/>
        </w:pBdr>
      </w:pPr>
      <w:r>
        <w:rPr>
          <w:rFonts w:ascii="Noto Kufi Arabic" w:hAnsi="Noto Kufi Arabic" w:cs="Noto Kufi Arabic" w:eastAsia="Noto Kufi Arabic"/>
          <w:b/>
          <w:i w:val="0"/>
          <w:color w:val="1B365D"/>
          <w:sz w:val="32"/>
          <w:rtl/>
          <w:cs/>
        </w:rPr>
        <w:t>پیوست ج — شمارش بخش‌ها و قوانین</w:t>
      </w:r>
    </w:p>
    <w:p>
      <w:pPr>
        <w:spacing w:after="160" w:before="0" w:line="276" w:lineRule="auto"/>
        <w:jc w:val="both"/>
        <w:bidi w:val="1"/>
      </w:pPr>
      <w:r>
        <w:rPr>
          <w:rFonts w:ascii="Noto Naskh Arabic" w:hAnsi="Noto Naskh Arabic" w:cs="Noto Naskh Arabic" w:eastAsia="Noto Naskh Arabic"/>
          <w:b w:val="0"/>
          <w:i w:val="0"/>
          <w:color w:val="222222"/>
          <w:sz w:val="24"/>
          <w:rtl/>
          <w:cs/>
        </w:rPr>
        <w:t>شمارش زیر از روی عناوین قانون در پرونده‌های موضوعی انجام شده است. اگر بعداً بخشی اضافه شود، جمع کل باید به‌روز شود.</w:t>
      </w:r>
    </w:p>
    <w:tbl>
      <w:tblPr>
        <w:tblW w:type="auto" w:w="0"/>
        <w:jc w:val="center"/>
        <w:tblLayout w:type="autofit"/>
        <w:tblLook w:firstColumn="1" w:firstRow="1" w:lastColumn="0" w:lastRow="0" w:noHBand="0" w:noVBand="1" w:val="04A0"/>
        <w:bidiVisual w:val="1"/>
        <w:jc w:val="center"/>
      </w:tblPr>
      <w:tblGrid>
        <w:gridCol w:w="3156"/>
        <w:gridCol w:w="3156"/>
        <w:gridCol w:w="3156"/>
      </w:tblGrid>
      <w:tr>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بخش</w:t>
            </w:r>
          </w:p>
        </w:tc>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پیشوند قوانین</w:t>
            </w:r>
          </w:p>
        </w:tc>
        <w:tc>
          <w:tcPr>
            <w:tcW w:type="dxa" w:w="315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تعداد</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 مسیریاب و مشترکات</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E01</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۱۸</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 بروکف</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E02</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۱۹</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 بازدید آپارتمان</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E03</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۱۱</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۴ پرونده آپارتمان</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E04</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۱۰</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۵ درخواست سرا۸</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E05</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۳۸</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۶ بازدید ملک</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E06</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۲۲</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۷ بازدید ساختمان</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E07</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۲۴</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۸ بازدید دستگاه</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E08</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۲۲</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۹ تحلیل تخلف</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E09</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۲۲</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۱۰ تأیید مدیر</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E10</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۳۰</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۱۱ صلحنامه</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E11</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۱۲</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۱۲ توافق</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E12</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۱۷</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۱۳ تخفیفات</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E13</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۱۱</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۱۴ جریمه لایحه</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E14</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۱۳</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۱۵ ضابطه</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E15</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۱۴</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۱۶ مأمور بازدید</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E16</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۱۲</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۱۷ درآمد</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E17</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۱۳</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۱۸ موافقت اصولی</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E18</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۸</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۱۹ شهروندسپاری</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E19</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۲۰</w:t>
            </w:r>
          </w:p>
        </w:tc>
      </w:tr>
      <w:tr>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جمع مستندشده</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w:t>
            </w:r>
          </w:p>
        </w:tc>
        <w:tc>
          <w:tcPr>
            <w:tcW w:type="dxa" w:w="315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۳۳۶</w:t>
            </w:r>
          </w:p>
        </w:tc>
      </w:tr>
      <w:tr>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باقیمانده</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از ۲۰ به بعد</w:t>
            </w:r>
          </w:p>
        </w:tc>
        <w:tc>
          <w:tcPr>
            <w:tcW w:type="dxa" w:w="315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 انتظار ارسال کد</w:t>
            </w:r>
          </w:p>
        </w:tc>
      </w:tr>
    </w:tbl>
    <w:p/>
    <w:p>
      <w:pPr>
        <w:spacing w:after="160" w:before="240" w:line="276" w:lineRule="auto"/>
        <w:jc w:val="both"/>
        <w:bidi w:val="1"/>
      </w:pPr>
      <w:r>
        <w:rPr>
          <w:rFonts w:ascii="Noto Naskh Arabic" w:hAnsi="Noto Naskh Arabic" w:cs="Noto Naskh Arabic" w:eastAsia="Noto Naskh Arabic"/>
          <w:b w:val="0"/>
          <w:i w:val="0"/>
          <w:color w:val="555555"/>
          <w:sz w:val="22"/>
          <w:rtl/>
          <w:cs/>
        </w:rPr>
        <w:t>منبع حقیقت این گزارش، قانون‌نامه اعتبارسنجی سامانه شهرسازی است که از روی فرمول عملیاتی و بدون تغییر آن تهیه شده است. این فایل Word برای ارسال به ریاست آماده شده و جایگزین پرونده‌های فنی برنامه‌نویس نیست.</w:t>
      </w:r>
    </w:p>
    <w:sectPr w:rsidR="00FC693F" w:rsidRPr="0006063C" w:rsidSect="00034616">
      <w:headerReference w:type="default" r:id="rId9"/>
      <w:footerReference w:type="default" r:id="rId10"/>
      <w:pgSz w:w="11906" w:h="16838" w:orient="portrait"/>
      <w:pgMar w:top="1247" w:right="1304" w:bottom="1247" w:left="1134"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76" w:lineRule="auto"/>
      <w:jc w:val="center"/>
      <w:bidi w:val="1"/>
    </w:pPr>
    <w:r>
      <w:rPr>
        <w:rFonts w:ascii="Noto Naskh Arabic" w:hAnsi="Noto Naskh Arabic" w:cs="Noto Naskh Arabic" w:eastAsia="Noto Naskh Arabic"/>
        <w:b w:val="0"/>
        <w:i w:val="0"/>
        <w:color w:val="555555"/>
        <w:sz w:val="18"/>
        <w:rtl/>
        <w:cs/>
      </w:rPr>
      <w:t xml:space="preserve">سند داخلی — محرمانه سازمانی  ·  </w:t>
    </w:r>
    <w:r>
      <w:rPr>
        <w:rFonts w:ascii="Noto Naskh Arabic" w:hAnsi="Noto Naskh Arabic" w:cs="Noto Naskh Arabic" w:eastAsia="Noto Naskh Arabic"/>
        <w:b w:val="0"/>
        <w:i w:val="0"/>
        <w:color w:val="555555"/>
        <w:sz w:val="18"/>
        <w:rtl/>
        <w:cs/>
      </w:rPr>
      <w:t xml:space="preserve">صفحه </w:t>
    </w:r>
    <w:r>
      <w:rPr>
        <w:rFonts w:ascii="Noto Naskh Arabic" w:hAnsi="Noto Naskh Arabic" w:cs="Noto Naskh Arabic" w:eastAsia="Noto Naskh Arabic"/>
        <w:b w:val="0"/>
        <w:i w:val="0"/>
        <w:color w:val="555555"/>
        <w:sz w:val="18"/>
        <w:rtl/>
        <w:cs/>
      </w:rPr>
    </w:r>
    <w:r>
      <w:rPr>
        <w:rFonts w:ascii="Noto Naskh Arabic" w:hAnsi="Noto Naskh Arabic" w:cs="Noto Naskh Arabic" w:eastAsia="Noto Naskh Arabic"/>
        <w:b w:val="0"/>
        <w:i w:val="0"/>
        <w:color w:val="555555"/>
        <w:sz w:val="18"/>
        <w:rtl/>
        <w:cs/>
      </w:rPr>
    </w:r>
    <w:r>
      <w:rPr>
        <w:rFonts w:ascii="Noto Naskh Arabic" w:hAnsi="Noto Naskh Arabic" w:cs="Noto Naskh Arabic" w:eastAsia="Noto Naskh Arabic"/>
        <w:b w:val="0"/>
        <w:i w:val="0"/>
        <w:color w:val="555555"/>
        <w:sz w:val="18"/>
        <w:rtl/>
        <w:cs/>
      </w:rPr>
    </w:r>
    <w:r>
      <w:rPr>
        <w:rFonts w:ascii="Noto Naskh Arabic" w:hAnsi="Noto Naskh Arabic" w:cs="Noto Naskh Arabic" w:eastAsia="Noto Naskh Arabic"/>
        <w:b w:val="0"/>
        <w:i w:val="0"/>
        <w:color w:val="555555"/>
        <w:sz w:val="18"/>
        <w:rtl/>
        <w:cs/>
      </w:rPr>
      <w:t xml:space="preserve"> از </w:t>
    </w:r>
    <w:r>
      <w:rPr>
        <w:rFonts w:ascii="Noto Naskh Arabic" w:hAnsi="Noto Naskh Arabic" w:cs="Noto Naskh Arabic" w:eastAsia="Noto Naskh Arabic"/>
        <w:b w:val="0"/>
        <w:i w:val="0"/>
        <w:color w:val="555555"/>
        <w:sz w:val="18"/>
        <w:rtl/>
        <w:cs/>
      </w:rPr>
    </w:r>
    <w:r>
      <w:rPr>
        <w:rFonts w:ascii="Noto Naskh Arabic" w:hAnsi="Noto Naskh Arabic" w:cs="Noto Naskh Arabic" w:eastAsia="Noto Naskh Arabic"/>
        <w:b w:val="0"/>
        <w:i w:val="0"/>
        <w:color w:val="555555"/>
        <w:sz w:val="18"/>
        <w:rtl/>
        <w:cs/>
      </w:rPr>
    </w:r>
    <w:r>
      <w:rPr>
        <w:rFonts w:ascii="Noto Naskh Arabic" w:hAnsi="Noto Naskh Arabic" w:cs="Noto Naskh Arabic" w:eastAsia="Noto Naskh Arabic"/>
        <w:b w:val="0"/>
        <w:i w:val="0"/>
        <w:color w:val="555555"/>
        <w:sz w:val="18"/>
        <w:rtl/>
        <w:cs/>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before="0" w:line="276" w:lineRule="auto"/>
      <w:jc w:val="center"/>
      <w:bidi w:val="1"/>
    </w:pPr>
    <w:r>
      <w:rPr>
        <w:rFonts w:ascii="Noto Kufi Arabic" w:hAnsi="Noto Kufi Arabic" w:cs="Noto Kufi Arabic" w:eastAsia="Noto Kufi Arabic"/>
        <w:b w:val="0"/>
        <w:i w:val="0"/>
        <w:color w:val="1B365D"/>
        <w:sz w:val="18"/>
        <w:rtl/>
        <w:cs/>
      </w:rPr>
      <w:t>شهرداری مشهد  |  سامانه شهرسازی  |  گزارش مدیریتی قانون‌نامه اعتبارسنجی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eastAsia="Noto Naskh Arab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مدیریتی قانون‌نامه اعتبارسنجی سامانه شهرسازی مشهد</dc:title>
  <dc:subject>خلاصه غیر فنی برای ریاست — بخش‌های ۱ تا ۱۹</dc:subject>
  <dc:creator>تیم مستندسازی اعتبارسنجی شهرسازی</dc:creator>
  <cp:keywords/>
  <dc:description>بدون تغییر کد زنده سامانه؛ فقط مستندسازی منطق اعتبارسنجی</dc:description>
  <cp:lastModifiedBy/>
  <cp:revision>1</cp:revision>
  <dcterms:created xsi:type="dcterms:W3CDTF">2013-12-23T23:15:00Z</dcterms:created>
  <dcterms:modified xsi:type="dcterms:W3CDTF">2013-12-23T23:15:00Z</dcterms:modified>
  <cp:category/>
  <dc:language>fa-IR</dc:language>
</cp:coreProperties>
</file>