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blHeader/>
        </w:trP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کد فضا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نام فضا / مرکز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وضعیت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کاربری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مساحت (مترمربع)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توضیحات کارشناس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امضاء</w:t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استاد عزت الله انتظامی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2268" w:right="1800" w:bottom="1440" w:left="180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Vazirmatn" w:hAnsi="Vazirmatn" w:cs="Vazirmatn"/>
        <w:sz w:val="20"/>
      </w:rPr>
      <w:drawing>
        <wp:inline xmlns:a="http://schemas.openxmlformats.org/drawingml/2006/main" xmlns:pic="http://schemas.openxmlformats.org/drawingml/2006/picture">
          <wp:extent cx="648000" cy="8078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rganizati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80783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Vazirmatn" w:hAnsi="Vazirmatn" w:cs="Vazirmatn"/>
        <w:sz w:val="20"/>
      </w:rPr>
      <w:br/>
      <w:t>سازمان فرهنگی هنری شهرداری تهران</w:t>
      <w:br/>
      <w:t>مدیریت اقتصادی و املاک</w:t>
      <w:br/>
      <w:t>اداره املاک و مستغلات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