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center"/>
      </w:pPr>
      <w:r>
        <w:rPr>
          <w:b/>
          <w:bCs/>
          <w:color w:val="1F5D3A"/>
          <w:sz w:val="40"/>
          <w:szCs w:val="40"/>
        </w:rPr>
        <w:t xml:space="preserve">NoFaceNoCase</w:t>
      </w:r>
    </w:p>
    <w:p>
      <w:pPr>
        <w:spacing w:after="40"/>
        <w:jc w:val="center"/>
      </w:pPr>
      <w:r>
        <w:rPr>
          <w:b/>
          <w:bCs/>
          <w:color w:val="263029"/>
          <w:sz w:val="26"/>
          <w:szCs w:val="26"/>
        </w:rPr>
        <w:t xml:space="preserve">5-Minute Video Demonstration Script</w:t>
      </w:r>
    </w:p>
    <w:p>
      <w:pPr>
        <w:spacing w:after="240"/>
        <w:jc w:val="center"/>
      </w:pPr>
      <w:r>
        <w:rPr>
          <w:i/>
          <w:iCs/>
          <w:color w:val="5C6B60"/>
          <w:sz w:val="18"/>
          <w:szCs w:val="18"/>
        </w:rPr>
        <w:t xml:space="preserve">CAI2C09 Cloud Technologies for AI  ·  Syed Ghazi Bin Syed Muhammad Shafeeq Alsagoff (2504242E)</w:t>
      </w:r>
    </w:p>
    <w:p>
      <w:pPr>
        <w:pStyle w:val="Heading1"/>
        <w:spacing w:after="120" w:before="300"/>
      </w:pPr>
      <w:r>
        <w:rPr>
          <w:b/>
          <w:bCs/>
          <w:color w:val="1F5D3A"/>
          <w:sz w:val="28"/>
          <w:szCs w:val="28"/>
        </w:rPr>
        <w:t xml:space="preserve">How to use this script</w:t>
      </w:r>
    </w:p>
    <w:p>
      <w:pPr>
        <w:spacing w:after="110" w:line="272"/>
      </w:pPr>
      <w:r>
        <w:rPr>
          <w:color w:val="263029"/>
          <w:sz w:val="22"/>
          <w:szCs w:val="22"/>
        </w:rPr>
        <w:t xml:space="preserve">Each block gives you the </w:t>
      </w:r>
      <w:r>
        <w:rPr>
          <w:b/>
          <w:bCs/>
          <w:color w:val="263029"/>
          <w:sz w:val="22"/>
          <w:szCs w:val="22"/>
        </w:rPr>
        <w:t xml:space="preserve">time</w:t>
      </w:r>
      <w:r>
        <w:rPr>
          <w:color w:val="263029"/>
          <w:sz w:val="22"/>
          <w:szCs w:val="22"/>
        </w:rPr>
        <w:t xml:space="preserve">, </w:t>
      </w:r>
      <w:r>
        <w:rPr>
          <w:b/>
          <w:bCs/>
          <w:color w:val="263029"/>
          <w:sz w:val="22"/>
          <w:szCs w:val="22"/>
        </w:rPr>
        <w:t xml:space="preserve">WHERE</w:t>
      </w:r>
      <w:r>
        <w:rPr>
          <w:color w:val="263029"/>
          <w:sz w:val="22"/>
          <w:szCs w:val="22"/>
        </w:rPr>
        <w:t xml:space="preserve"> to be on screen, </w:t>
      </w:r>
      <w:r>
        <w:rPr>
          <w:b/>
          <w:bCs/>
          <w:color w:val="263029"/>
          <w:sz w:val="22"/>
          <w:szCs w:val="22"/>
        </w:rPr>
        <w:t xml:space="preserve">SHOW</w:t>
      </w:r>
      <w:r>
        <w:rPr>
          <w:color w:val="263029"/>
          <w:sz w:val="22"/>
          <w:szCs w:val="22"/>
        </w:rPr>
        <w:t xml:space="preserve"> (the actions to perform), and </w:t>
      </w:r>
      <w:r>
        <w:rPr>
          <w:b/>
          <w:bCs/>
          <w:color w:val="263029"/>
          <w:sz w:val="22"/>
          <w:szCs w:val="22"/>
        </w:rPr>
        <w:t xml:space="preserve">SAY</w:t>
      </w:r>
      <w:r>
        <w:rPr>
          <w:color w:val="263029"/>
          <w:sz w:val="22"/>
          <w:szCs w:val="22"/>
        </w:rPr>
        <w:t xml:space="preserve"> (the words to speak, in quotes). Aim for a natural pace of about 150 words per minute — don’t rush. Record in Microsoft Teams using Presenter mode so your face appears in the corner, then upload to YouTube as </w:t>
      </w:r>
    </w:p>
    <w:p>
      <w:pPr>
        <w:spacing w:after="110" w:line="272"/>
      </w:pPr>
      <w:r>
        <w:rPr>
          <w:b/>
          <w:bCs/>
          <w:color w:val="263029"/>
          <w:sz w:val="22"/>
          <w:szCs w:val="22"/>
        </w:rPr>
        <w:t xml:space="preserve">Unlisted</w:t>
      </w:r>
      <w:r>
        <w:rPr>
          <w:color w:val="263029"/>
          <w:sz w:val="22"/>
          <w:szCs w:val="22"/>
        </w:rPr>
        <w:t xml:space="preserve"> and paste the link into your slides and report.</w:t>
      </w:r>
    </w:p>
    <w:p>
      <w:pPr>
        <w:spacing w:after="110" w:line="272"/>
      </w:pPr>
      <w:r>
        <w:rPr>
          <w:b/>
          <w:bCs/>
          <w:color w:val="263029"/>
          <w:sz w:val="22"/>
          <w:szCs w:val="22"/>
        </w:rPr>
        <w:t xml:space="preserve">Before you hit record: </w:t>
      </w:r>
      <w:r>
        <w:rPr>
          <w:color w:val="263029"/>
          <w:sz w:val="22"/>
          <w:szCs w:val="22"/>
        </w:rPr>
        <w:t xml:space="preserve">start your Rekognition Custom Labels model (it must be RUNNING for the bed check), log in once to confirm everything works, and have two bed photos ready — one occupied, one empty. Stop the model again after recording.</w:t>
      </w:r>
    </w:p>
    <w:p>
      <w:pPr>
        <w:shd w:fill="E7F0E5" w:val="clear"/>
        <w:spacing w:after="80" w:before="280"/>
      </w:pPr>
      <w:r>
        <w:rPr>
          <w:b/>
          <w:bCs/>
          <w:color w:val="9A7B1F"/>
          <w:sz w:val="24"/>
          <w:szCs w:val="24"/>
        </w:rPr>
        <w:t xml:space="preserve">0:00 – 0:30   </w:t>
      </w:r>
      <w:r>
        <w:rPr>
          <w:b/>
          <w:bCs/>
          <w:color w:val="1F5D3A"/>
          <w:sz w:val="24"/>
          <w:szCs w:val="24"/>
        </w:rPr>
        <w:t xml:space="preserve">Introduction</w:t>
      </w:r>
    </w:p>
    <w:p>
      <w:pPr>
        <w:spacing w:after="70" w:line="272"/>
      </w:pPr>
      <w:r>
        <w:rPr>
          <w:b/>
          <w:bCs/>
          <w:color w:val="1F5D3A"/>
          <w:sz w:val="22"/>
          <w:szCs w:val="22"/>
        </w:rPr>
        <w:t xml:space="preserve">WHERE  </w:t>
      </w:r>
      <w:r>
        <w:rPr>
          <w:color w:val="263029"/>
          <w:sz w:val="22"/>
          <w:szCs w:val="22"/>
        </w:rPr>
        <w:t xml:space="preserve">Your live site open in the browser at the login page (https://d37f0pmenarvl2.cloudfront.net).</w:t>
      </w:r>
    </w:p>
    <w:p>
      <w:pPr>
        <w:spacing w:after="70" w:line="272"/>
      </w:pPr>
      <w:r>
        <w:rPr>
          <w:b/>
          <w:bCs/>
          <w:color w:val="1F5D3A"/>
          <w:sz w:val="22"/>
          <w:szCs w:val="22"/>
        </w:rPr>
        <w:t xml:space="preserve">SHOW  </w:t>
      </w:r>
      <w:r>
        <w:rPr>
          <w:color w:val="263029"/>
          <w:sz w:val="22"/>
          <w:szCs w:val="22"/>
        </w:rPr>
        <w:t xml:space="preserve">Just the login page on screen; you talking to camera.</w:t>
      </w:r>
    </w:p>
    <w:p>
      <w:pPr>
        <w:spacing w:after="70" w:line="272"/>
      </w:pPr>
      <w:r>
        <w:rPr>
          <w:b/>
          <w:bCs/>
          <w:color w:val="1F5D3A"/>
          <w:sz w:val="22"/>
          <w:szCs w:val="22"/>
        </w:rPr>
        <w:t xml:space="preserve">SAY  </w:t>
      </w:r>
      <w:r>
        <w:rPr>
          <w:color w:val="263029"/>
          <w:sz w:val="22"/>
          <w:szCs w:val="22"/>
        </w:rPr>
        <w:t xml:space="preserve"/>
      </w:r>
    </w:p>
    <w:p>
      <w:pPr>
        <w:pBdr>
          <w:left w:val="single" w:color="1F5D3A" w:sz="18" w:space="12"/>
        </w:pBdr>
        <w:spacing w:after="60" w:line="276"/>
        <w:ind w:left="360"/>
      </w:pPr>
      <w:r>
        <w:rPr>
          <w:i/>
          <w:iCs/>
          <w:color w:val="1C1C1C"/>
          <w:sz w:val="22"/>
          <w:szCs w:val="22"/>
        </w:rPr>
        <w:t xml:space="preserve">“Hi, I’m Syed Ghazi, and this is NoFaceNoCase — a patient wellness monitoring web app built entirely on AWS. Hospital wards are understaffed, and the most at-risk patients — those who are distressed, disoriented, or prone to falls — can deteriorate quietly between rounds. NoFaceNoCase uses image recognition to give staff an objective second pair of eyes: it reads a patient’s facial emotion, the sentiment of the clinical note, and whether they’re actually in bed, and it alerts the clinician automatically. The whole thing is serverless — hosted on S3 and CloudFront, with Lambda, API Gateway, DynamoDB and Cognito behind it.”</w:t>
      </w:r>
    </w:p>
    <w:p>
      <w:pPr>
        <w:shd w:fill="E7F0E5" w:val="clear"/>
        <w:spacing w:after="80" w:before="280"/>
      </w:pPr>
      <w:r>
        <w:rPr>
          <w:b/>
          <w:bCs/>
          <w:color w:val="9A7B1F"/>
          <w:sz w:val="24"/>
          <w:szCs w:val="24"/>
        </w:rPr>
        <w:t xml:space="preserve">0:30 – 1:20   </w:t>
      </w:r>
      <w:r>
        <w:rPr>
          <w:b/>
          <w:bCs/>
          <w:color w:val="1F5D3A"/>
          <w:sz w:val="24"/>
          <w:szCs w:val="24"/>
        </w:rPr>
        <w:t xml:space="preserve">Login, and full CRUD on the database</w:t>
      </w:r>
    </w:p>
    <w:p>
      <w:pPr>
        <w:spacing w:after="70" w:line="272"/>
      </w:pPr>
      <w:r>
        <w:rPr>
          <w:b/>
          <w:bCs/>
          <w:color w:val="1F5D3A"/>
          <w:sz w:val="22"/>
          <w:szCs w:val="22"/>
        </w:rPr>
        <w:t xml:space="preserve">WHERE  </w:t>
      </w:r>
      <w:r>
        <w:rPr>
          <w:color w:val="263029"/>
          <w:sz w:val="22"/>
          <w:szCs w:val="22"/>
        </w:rPr>
        <w:t xml:space="preserve">The live site.</w:t>
      </w:r>
    </w:p>
    <w:p>
      <w:pPr>
        <w:spacing w:after="70" w:line="272"/>
      </w:pPr>
      <w:r>
        <w:rPr>
          <w:b/>
          <w:bCs/>
          <w:color w:val="1F5D3A"/>
          <w:sz w:val="22"/>
          <w:szCs w:val="22"/>
        </w:rPr>
        <w:t xml:space="preserve">SHOW  </w:t>
      </w:r>
      <w:r>
        <w:rPr>
          <w:color w:val="263029"/>
          <w:sz w:val="22"/>
          <w:szCs w:val="22"/>
        </w:rPr>
        <w:t xml:space="preserve">Log in with your </w:t>
      </w:r>
      <w:r>
        <w:rPr>
          <w:b/>
          <w:bCs/>
          <w:color w:val="263029"/>
          <w:sz w:val="22"/>
          <w:szCs w:val="22"/>
        </w:rPr>
        <w:t xml:space="preserve">clinician</w:t>
      </w:r>
      <w:r>
        <w:rPr>
          <w:color w:val="263029"/>
          <w:sz w:val="22"/>
          <w:szCs w:val="22"/>
        </w:rPr>
        <w:t xml:space="preserve"> account. On the registry, click </w:t>
      </w:r>
      <w:r>
        <w:rPr>
          <w:b/>
          <w:bCs/>
          <w:color w:val="263029"/>
          <w:sz w:val="22"/>
          <w:szCs w:val="22"/>
        </w:rPr>
        <w:t xml:space="preserve">Register patient</w:t>
      </w:r>
      <w:r>
        <w:rPr>
          <w:color w:val="263029"/>
          <w:sz w:val="22"/>
          <w:szCs w:val="22"/>
        </w:rPr>
        <w:t xml:space="preserve"> and add a quick test patient (Create). Open a patient and edit a detail (Update). Then show the </w:t>
      </w:r>
      <w:r>
        <w:rPr>
          <w:b/>
          <w:bCs/>
          <w:color w:val="263029"/>
          <w:sz w:val="22"/>
          <w:szCs w:val="22"/>
        </w:rPr>
        <w:t xml:space="preserve">Delete</w:t>
      </w:r>
      <w:r>
        <w:rPr>
          <w:color w:val="263029"/>
          <w:sz w:val="22"/>
          <w:szCs w:val="22"/>
        </w:rPr>
        <w:t xml:space="preserve"> option on a throwaway patient.</w:t>
      </w:r>
    </w:p>
    <w:p>
      <w:pPr>
        <w:spacing w:after="70" w:line="272"/>
      </w:pPr>
      <w:r>
        <w:rPr>
          <w:b/>
          <w:bCs/>
          <w:color w:val="1F5D3A"/>
          <w:sz w:val="22"/>
          <w:szCs w:val="22"/>
        </w:rPr>
        <w:t xml:space="preserve">SAY  </w:t>
      </w:r>
      <w:r>
        <w:rPr>
          <w:color w:val="263029"/>
          <w:sz w:val="22"/>
          <w:szCs w:val="22"/>
        </w:rPr>
        <w:t xml:space="preserve"/>
      </w:r>
    </w:p>
    <w:p>
      <w:pPr>
        <w:pBdr>
          <w:left w:val="single" w:color="1F5D3A" w:sz="18" w:space="12"/>
        </w:pBdr>
        <w:spacing w:after="60" w:line="276"/>
        <w:ind w:left="360"/>
      </w:pPr>
      <w:r>
        <w:rPr>
          <w:i/>
          <w:iCs/>
          <w:color w:val="1C1C1C"/>
          <w:sz w:val="22"/>
          <w:szCs w:val="22"/>
        </w:rPr>
        <w:t xml:space="preserve">“I’ll log in — authentication is handled by Amazon Cognito. This is the patient registry, sorted by how urgently each patient needs attention. All patient data lives in Amazon DynamoDB, and the app has full CRUD. I can register a new patient here — that’s a Create. I can open a record and edit it — an Update. And because I’m logged in as a clinician, I can delete a record. Deletes are restricted to the clinician role through a Cognito group check — a nurse account gets a permission error. So authentication isn’t just a login gate; it drives real role-based access control.”</w:t>
      </w:r>
    </w:p>
    <w:p>
      <w:pPr>
        <w:shd w:fill="E7F0E5" w:val="clear"/>
        <w:spacing w:after="80" w:before="280"/>
      </w:pPr>
      <w:r>
        <w:rPr>
          <w:b/>
          <w:bCs/>
          <w:color w:val="9A7B1F"/>
          <w:sz w:val="24"/>
          <w:szCs w:val="24"/>
        </w:rPr>
        <w:t xml:space="preserve">1:20 – 2:20   </w:t>
      </w:r>
      <w:r>
        <w:rPr>
          <w:b/>
          <w:bCs/>
          <w:color w:val="1F5D3A"/>
          <w:sz w:val="24"/>
          <w:szCs w:val="24"/>
        </w:rPr>
        <w:t xml:space="preserve">Check-in: Rekognition faces + Comprehend sentiment + SNS</w:t>
      </w:r>
    </w:p>
    <w:p>
      <w:pPr>
        <w:spacing w:after="70" w:line="272"/>
      </w:pPr>
      <w:r>
        <w:rPr>
          <w:b/>
          <w:bCs/>
          <w:color w:val="1F5D3A"/>
          <w:sz w:val="22"/>
          <w:szCs w:val="22"/>
        </w:rPr>
        <w:t xml:space="preserve">WHERE  </w:t>
      </w:r>
      <w:r>
        <w:rPr>
          <w:color w:val="263029"/>
          <w:sz w:val="22"/>
          <w:szCs w:val="22"/>
        </w:rPr>
        <w:t xml:space="preserve">The check-in page for a patient.</w:t>
      </w:r>
    </w:p>
    <w:p>
      <w:pPr>
        <w:spacing w:after="70" w:line="272"/>
      </w:pPr>
      <w:r>
        <w:rPr>
          <w:b/>
          <w:bCs/>
          <w:color w:val="1F5D3A"/>
          <w:sz w:val="22"/>
          <w:szCs w:val="22"/>
        </w:rPr>
        <w:t xml:space="preserve">SHOW  </w:t>
      </w:r>
      <w:r>
        <w:rPr>
          <w:color w:val="263029"/>
          <w:sz w:val="22"/>
          <w:szCs w:val="22"/>
        </w:rPr>
        <w:t xml:space="preserve">Set the mood slider. Type a clearly negative note (e.g. “Patient anxious and tearful, asking to go home”). Upload or capture a face photo. Click </w:t>
      </w:r>
      <w:r>
        <w:rPr>
          <w:b/>
          <w:bCs/>
          <w:color w:val="263029"/>
          <w:sz w:val="22"/>
          <w:szCs w:val="22"/>
        </w:rPr>
        <w:t xml:space="preserve">Save</w:t>
      </w:r>
      <w:r>
        <w:rPr>
          <w:color w:val="263029"/>
          <w:sz w:val="22"/>
          <w:szCs w:val="22"/>
        </w:rPr>
        <w:t xml:space="preserve">. Point to the emotion result and the sentiment chip + scores as they appear.</w:t>
      </w:r>
    </w:p>
    <w:p>
      <w:pPr>
        <w:spacing w:after="70" w:line="272"/>
      </w:pPr>
      <w:r>
        <w:rPr>
          <w:b/>
          <w:bCs/>
          <w:color w:val="1F5D3A"/>
          <w:sz w:val="22"/>
          <w:szCs w:val="22"/>
        </w:rPr>
        <w:t xml:space="preserve">SAY  </w:t>
      </w:r>
      <w:r>
        <w:rPr>
          <w:color w:val="263029"/>
          <w:sz w:val="22"/>
          <w:szCs w:val="22"/>
        </w:rPr>
        <w:t xml:space="preserve"/>
      </w:r>
    </w:p>
    <w:p>
      <w:pPr>
        <w:pBdr>
          <w:left w:val="single" w:color="1F5D3A" w:sz="18" w:space="12"/>
        </w:pBdr>
        <w:spacing w:after="60" w:line="276"/>
        <w:ind w:left="360"/>
      </w:pPr>
      <w:r>
        <w:rPr>
          <w:i/>
          <w:iCs/>
          <w:color w:val="1C1C1C"/>
          <w:sz w:val="22"/>
          <w:szCs w:val="22"/>
        </w:rPr>
        <w:t xml:space="preserve">“Let’s record a check-in. I’ll set a mood score and write a short clinical note. When I save, two AWS AI services run. The photo is sent to Amazon Rekognition’s DetectFaces, which returns the patient’s facial emotion — here it reads the dominant emotion and its confidence. The note is sent to Amazon Comprehend, which returns the sentiment — negative, with these confidence scores. None of this is hardcoded; these are live API results. And because the emotion is strongly negative, the app automatically publishes a distress alert through Amazon SNS, which emails the assigned clinician.”</w:t>
      </w:r>
    </w:p>
    <w:p>
      <w:pPr>
        <w:shd w:fill="E7F0E5" w:val="clear"/>
        <w:spacing w:after="80" w:before="280"/>
      </w:pPr>
      <w:r>
        <w:rPr>
          <w:b/>
          <w:bCs/>
          <w:color w:val="9A7B1F"/>
          <w:sz w:val="24"/>
          <w:szCs w:val="24"/>
        </w:rPr>
        <w:t xml:space="preserve">2:20 – 3:20   </w:t>
      </w:r>
      <w:r>
        <w:rPr>
          <w:b/>
          <w:bCs/>
          <w:color w:val="1F5D3A"/>
          <w:sz w:val="24"/>
          <w:szCs w:val="24"/>
        </w:rPr>
        <w:t xml:space="preserve">Patient trends + the custom-trained bed model</w:t>
      </w:r>
    </w:p>
    <w:p>
      <w:pPr>
        <w:spacing w:after="70" w:line="272"/>
      </w:pPr>
      <w:r>
        <w:rPr>
          <w:b/>
          <w:bCs/>
          <w:color w:val="1F5D3A"/>
          <w:sz w:val="22"/>
          <w:szCs w:val="22"/>
        </w:rPr>
        <w:t xml:space="preserve">WHERE  </w:t>
      </w:r>
      <w:r>
        <w:rPr>
          <w:color w:val="263029"/>
          <w:sz w:val="22"/>
          <w:szCs w:val="22"/>
        </w:rPr>
        <w:t xml:space="preserve">The patient trends page.</w:t>
      </w:r>
    </w:p>
    <w:p>
      <w:pPr>
        <w:spacing w:after="70" w:line="272"/>
      </w:pPr>
      <w:r>
        <w:rPr>
          <w:b/>
          <w:bCs/>
          <w:color w:val="1F5D3A"/>
          <w:sz w:val="22"/>
          <w:szCs w:val="22"/>
        </w:rPr>
        <w:t xml:space="preserve">SHOW  </w:t>
      </w:r>
      <w:r>
        <w:rPr>
          <w:color w:val="263029"/>
          <w:sz w:val="22"/>
          <w:szCs w:val="22"/>
        </w:rPr>
        <w:t xml:space="preserve">Show the triage panel and mood chart. Scroll to </w:t>
      </w:r>
      <w:r>
        <w:rPr>
          <w:b/>
          <w:bCs/>
          <w:color w:val="263029"/>
          <w:sz w:val="22"/>
          <w:szCs w:val="22"/>
        </w:rPr>
        <w:t xml:space="preserve">On-demand bed check</w:t>
      </w:r>
      <w:r>
        <w:rPr>
          <w:color w:val="263029"/>
          <w:sz w:val="22"/>
          <w:szCs w:val="22"/>
        </w:rPr>
        <w:t xml:space="preserve">. Use </w:t>
      </w:r>
      <w:r>
        <w:rPr>
          <w:b/>
          <w:bCs/>
          <w:color w:val="263029"/>
          <w:sz w:val="22"/>
          <w:szCs w:val="22"/>
        </w:rPr>
        <w:t xml:space="preserve">Upload a photo instead</w:t>
      </w:r>
      <w:r>
        <w:rPr>
          <w:color w:val="263029"/>
          <w:sz w:val="22"/>
          <w:szCs w:val="22"/>
        </w:rPr>
        <w:t xml:space="preserve"> with an occupied-bed photo (show the box), then an empty-bed photo (show the exit + alert).</w:t>
      </w:r>
    </w:p>
    <w:p>
      <w:pPr>
        <w:spacing w:after="70" w:line="272"/>
      </w:pPr>
      <w:r>
        <w:rPr>
          <w:b/>
          <w:bCs/>
          <w:color w:val="1F5D3A"/>
          <w:sz w:val="22"/>
          <w:szCs w:val="22"/>
        </w:rPr>
        <w:t xml:space="preserve">SAY  </w:t>
      </w:r>
      <w:r>
        <w:rPr>
          <w:color w:val="263029"/>
          <w:sz w:val="22"/>
          <w:szCs w:val="22"/>
        </w:rPr>
        <w:t xml:space="preserve"/>
      </w:r>
    </w:p>
    <w:p>
      <w:pPr>
        <w:pBdr>
          <w:left w:val="single" w:color="1F5D3A" w:sz="18" w:space="12"/>
        </w:pBdr>
        <w:spacing w:after="60" w:line="276"/>
        <w:ind w:left="360"/>
      </w:pPr>
      <w:r>
        <w:rPr>
          <w:i/>
          <w:iCs/>
          <w:color w:val="1C1C1C"/>
          <w:sz w:val="22"/>
          <w:szCs w:val="22"/>
        </w:rPr>
        <w:t xml:space="preserve">“On the patient page, this triage panel combines all those signals into one urgency score. And here’s the feature I’m proudest of — the on-demand bed check. This runs on an Amazon Rekognition Custom Labels model that I trained myself to detect whether a bed is occupied. I’ll upload a photo: it reads ‘occupied’ and draws a box exactly where it detected the person — those coordinates come straight from my trained model. Now an empty bed: it reads ‘empty’, logs a bed exit, and once overnight exits cross the high-risk line it fires a wandering alert through SNS. Everything you’ve seen is served over HTTPS by Amazon CloudFront.”</w:t>
      </w:r>
    </w:p>
    <w:p>
      <w:pPr>
        <w:shd w:fill="E7F0E5" w:val="clear"/>
        <w:spacing w:after="80" w:before="280"/>
      </w:pPr>
      <w:r>
        <w:rPr>
          <w:b/>
          <w:bCs/>
          <w:color w:val="9A7B1F"/>
          <w:sz w:val="24"/>
          <w:szCs w:val="24"/>
        </w:rPr>
        <w:t xml:space="preserve">3:20 – 4:35   </w:t>
      </w:r>
      <w:r>
        <w:rPr>
          <w:b/>
          <w:bCs/>
          <w:color w:val="1F5D3A"/>
          <w:sz w:val="24"/>
          <w:szCs w:val="24"/>
        </w:rPr>
        <w:t xml:space="preserve">AWS console — the services behind it</w:t>
      </w:r>
    </w:p>
    <w:p>
      <w:pPr>
        <w:spacing w:after="70" w:line="272"/>
      </w:pPr>
      <w:r>
        <w:rPr>
          <w:b/>
          <w:bCs/>
          <w:color w:val="1F5D3A"/>
          <w:sz w:val="22"/>
          <w:szCs w:val="22"/>
        </w:rPr>
        <w:t xml:space="preserve">WHERE  </w:t>
      </w:r>
      <w:r>
        <w:rPr>
          <w:color w:val="263029"/>
          <w:sz w:val="22"/>
          <w:szCs w:val="22"/>
        </w:rPr>
        <w:t xml:space="preserve">The AWS Console (Sydney region). Have these tabs pre-opened to save time.</w:t>
      </w:r>
    </w:p>
    <w:p>
      <w:pPr>
        <w:spacing w:after="70" w:line="272"/>
      </w:pPr>
      <w:r>
        <w:rPr>
          <w:b/>
          <w:bCs/>
          <w:color w:val="1F5D3A"/>
          <w:sz w:val="22"/>
          <w:szCs w:val="22"/>
        </w:rPr>
        <w:t xml:space="preserve">SHOW  </w:t>
      </w:r>
      <w:r>
        <w:rPr>
          <w:color w:val="263029"/>
          <w:sz w:val="22"/>
          <w:szCs w:val="22"/>
        </w:rPr>
        <w:t xml:space="preserve">Move quickly through: (1) </w:t>
      </w:r>
      <w:r>
        <w:rPr>
          <w:b/>
          <w:bCs/>
          <w:color w:val="263029"/>
          <w:sz w:val="22"/>
          <w:szCs w:val="22"/>
        </w:rPr>
        <w:t xml:space="preserve">Rekognition → Custom Labels</w:t>
      </w:r>
      <w:r>
        <w:rPr>
          <w:color w:val="263029"/>
          <w:sz w:val="22"/>
          <w:szCs w:val="22"/>
        </w:rPr>
        <w:t xml:space="preserve"> evaluation page (F1 / recall). (2) </w:t>
      </w:r>
      <w:r>
        <w:rPr>
          <w:b/>
          <w:bCs/>
          <w:color w:val="263029"/>
          <w:sz w:val="22"/>
          <w:szCs w:val="22"/>
        </w:rPr>
        <w:t xml:space="preserve">DynamoDB</w:t>
      </w:r>
      <w:r>
        <w:rPr>
          <w:color w:val="263029"/>
          <w:sz w:val="22"/>
          <w:szCs w:val="22"/>
        </w:rPr>
        <w:t xml:space="preserve"> → patient table items. (3) </w:t>
      </w:r>
      <w:r>
        <w:rPr>
          <w:b/>
          <w:bCs/>
          <w:color w:val="263029"/>
          <w:sz w:val="22"/>
          <w:szCs w:val="22"/>
        </w:rPr>
        <w:t xml:space="preserve">S3</w:t>
      </w:r>
      <w:r>
        <w:rPr>
          <w:color w:val="263029"/>
          <w:sz w:val="22"/>
          <w:szCs w:val="22"/>
        </w:rPr>
        <w:t xml:space="preserve"> → the two buckets. (4) </w:t>
      </w:r>
      <w:r>
        <w:rPr>
          <w:b/>
          <w:bCs/>
          <w:color w:val="263029"/>
          <w:sz w:val="22"/>
          <w:szCs w:val="22"/>
        </w:rPr>
        <w:t xml:space="preserve">IAM</w:t>
      </w:r>
      <w:r>
        <w:rPr>
          <w:color w:val="263029"/>
          <w:sz w:val="22"/>
          <w:szCs w:val="22"/>
        </w:rPr>
        <w:t xml:space="preserve"> → the scoped policy. (5) </w:t>
      </w:r>
      <w:r>
        <w:rPr>
          <w:b/>
          <w:bCs/>
          <w:color w:val="263029"/>
          <w:sz w:val="22"/>
          <w:szCs w:val="22"/>
        </w:rPr>
        <w:t xml:space="preserve">Cognito</w:t>
      </w:r>
      <w:r>
        <w:rPr>
          <w:color w:val="263029"/>
          <w:sz w:val="22"/>
          <w:szCs w:val="22"/>
        </w:rPr>
        <w:t xml:space="preserve"> → nurse/clinician groups. (6) </w:t>
      </w:r>
      <w:r>
        <w:rPr>
          <w:b/>
          <w:bCs/>
          <w:color w:val="263029"/>
          <w:sz w:val="22"/>
          <w:szCs w:val="22"/>
        </w:rPr>
        <w:t xml:space="preserve">API Gateway</w:t>
      </w:r>
      <w:r>
        <w:rPr>
          <w:color w:val="263029"/>
          <w:sz w:val="22"/>
          <w:szCs w:val="22"/>
        </w:rPr>
        <w:t xml:space="preserve"> → routes + authorizer. (7) </w:t>
      </w:r>
      <w:r>
        <w:rPr>
          <w:b/>
          <w:bCs/>
          <w:color w:val="263029"/>
          <w:sz w:val="22"/>
          <w:szCs w:val="22"/>
        </w:rPr>
        <w:t xml:space="preserve">SNS</w:t>
      </w:r>
      <w:r>
        <w:rPr>
          <w:color w:val="263029"/>
          <w:sz w:val="22"/>
          <w:szCs w:val="22"/>
        </w:rPr>
        <w:t xml:space="preserve"> → the topic.</w:t>
      </w:r>
    </w:p>
    <w:p>
      <w:pPr>
        <w:spacing w:after="70" w:line="272"/>
      </w:pPr>
      <w:r>
        <w:rPr>
          <w:b/>
          <w:bCs/>
          <w:color w:val="1F5D3A"/>
          <w:sz w:val="22"/>
          <w:szCs w:val="22"/>
        </w:rPr>
        <w:t xml:space="preserve">SAY  </w:t>
      </w:r>
      <w:r>
        <w:rPr>
          <w:color w:val="263029"/>
          <w:sz w:val="22"/>
          <w:szCs w:val="22"/>
        </w:rPr>
        <w:t xml:space="preserve"/>
      </w:r>
    </w:p>
    <w:p>
      <w:pPr>
        <w:pBdr>
          <w:left w:val="single" w:color="1F5D3A" w:sz="18" w:space="12"/>
        </w:pBdr>
        <w:spacing w:after="60" w:line="276"/>
        <w:ind w:left="360"/>
      </w:pPr>
      <w:r>
        <w:rPr>
          <w:i/>
          <w:iCs/>
          <w:color w:val="1C1C1C"/>
          <w:sz w:val="22"/>
          <w:szCs w:val="22"/>
        </w:rPr>
        <w:t xml:space="preserve">“Let me show the services in the AWS console. This is my Custom Labels model — I trained it on around thirty-five labelled images using bounding boxes, and its evaluation shows an F1 score of 0.78 with perfect recall. This is DynamoDB holding the patient records — when I delete a patient in the app, the row disappears here. Patient photos are stored in this S3 bucket, encrypted, with public access blocked. Security is enforced by a least-privilege IAM role scoped to the exact resources — no wildcards — plus Cognito groups for the nurse and clinician roles, and a Cognito authorizer protecting every API Gateway route. And Amazon SNS is what sends the distress and wandering alert emails.”</w:t>
      </w:r>
    </w:p>
    <w:p>
      <w:pPr>
        <w:shd w:fill="E7F0E5" w:val="clear"/>
        <w:spacing w:after="80" w:before="280"/>
      </w:pPr>
      <w:r>
        <w:rPr>
          <w:b/>
          <w:bCs/>
          <w:color w:val="9A7B1F"/>
          <w:sz w:val="24"/>
          <w:szCs w:val="24"/>
        </w:rPr>
        <w:t xml:space="preserve">4:35 – 5:00   </w:t>
      </w:r>
      <w:r>
        <w:rPr>
          <w:b/>
          <w:bCs/>
          <w:color w:val="1F5D3A"/>
          <w:sz w:val="24"/>
          <w:szCs w:val="24"/>
        </w:rPr>
        <w:t xml:space="preserve">Wrap-up</w:t>
      </w:r>
    </w:p>
    <w:p>
      <w:pPr>
        <w:spacing w:after="70" w:line="272"/>
      </w:pPr>
      <w:r>
        <w:rPr>
          <w:b/>
          <w:bCs/>
          <w:color w:val="1F5D3A"/>
          <w:sz w:val="22"/>
          <w:szCs w:val="22"/>
        </w:rPr>
        <w:t xml:space="preserve">WHERE  </w:t>
      </w:r>
      <w:r>
        <w:rPr>
          <w:color w:val="263029"/>
          <w:sz w:val="22"/>
          <w:szCs w:val="22"/>
        </w:rPr>
        <w:t xml:space="preserve">Back to the live site home, or your title slide.</w:t>
      </w:r>
    </w:p>
    <w:p>
      <w:pPr>
        <w:spacing w:after="70" w:line="272"/>
      </w:pPr>
      <w:r>
        <w:rPr>
          <w:b/>
          <w:bCs/>
          <w:color w:val="1F5D3A"/>
          <w:sz w:val="22"/>
          <w:szCs w:val="22"/>
        </w:rPr>
        <w:t xml:space="preserve">SHOW  </w:t>
      </w:r>
      <w:r>
        <w:rPr>
          <w:color w:val="263029"/>
          <w:sz w:val="22"/>
          <w:szCs w:val="22"/>
        </w:rPr>
        <w:t xml:space="preserve">You, to camera.</w:t>
      </w:r>
    </w:p>
    <w:p>
      <w:pPr>
        <w:spacing w:after="70" w:line="272"/>
      </w:pPr>
      <w:r>
        <w:rPr>
          <w:b/>
          <w:bCs/>
          <w:color w:val="1F5D3A"/>
          <w:sz w:val="22"/>
          <w:szCs w:val="22"/>
        </w:rPr>
        <w:t xml:space="preserve">SAY  </w:t>
      </w:r>
      <w:r>
        <w:rPr>
          <w:color w:val="263029"/>
          <w:sz w:val="22"/>
          <w:szCs w:val="22"/>
        </w:rPr>
        <w:t xml:space="preserve"/>
      </w:r>
    </w:p>
    <w:p>
      <w:pPr>
        <w:pBdr>
          <w:left w:val="single" w:color="1F5D3A" w:sz="18" w:space="12"/>
        </w:pBdr>
        <w:spacing w:after="60" w:line="276"/>
        <w:ind w:left="360"/>
      </w:pPr>
      <w:r>
        <w:rPr>
          <w:i/>
          <w:iCs/>
          <w:color w:val="1C1C1C"/>
          <w:sz w:val="22"/>
          <w:szCs w:val="22"/>
        </w:rPr>
        <w:t xml:space="preserve">“To sum up: NoFaceNoCase is a secure, serverless application built entirely on AWS. It uses two forms of Rekognition — a managed model for facial emotion and a Custom Labels model I trained myself for bed occupancy — alongside Comprehend, Cognito, SNS and CloudFront, each doing a specific job. Thanks very much for watching.”</w:t>
      </w:r>
    </w:p>
    <w:p>
      <w:pPr>
        <w:pStyle w:val="Heading1"/>
        <w:spacing w:after="120" w:before="300"/>
      </w:pPr>
      <w:r>
        <w:rPr>
          <w:b/>
          <w:bCs/>
          <w:color w:val="1F5D3A"/>
          <w:sz w:val="28"/>
          <w:szCs w:val="28"/>
        </w:rPr>
        <w:t xml:space="preserve">Timing &amp; recording tips</w:t>
      </w:r>
    </w:p>
    <w:p>
      <w:pPr>
        <w:spacing w:after="110" w:line="272"/>
      </w:pPr>
      <w:r>
        <w:rPr>
          <w:i/>
          <w:iCs/>
          <w:color w:val="263029"/>
          <w:sz w:val="22"/>
          <w:szCs w:val="22"/>
        </w:rPr>
        <w:t xml:space="preserve">Total narration is about 720 words — comfortably inside 5 minutes at a natural pace.</w:t>
      </w:r>
    </w:p>
    <w:p>
      <w:pPr>
        <w:spacing w:after="110" w:line="272"/>
      </w:pPr>
      <w:r>
        <w:rPr>
          <w:color w:val="263029"/>
          <w:sz w:val="22"/>
          <w:szCs w:val="22"/>
        </w:rPr>
        <w:t xml:space="preserve">• If you run long, trim the AWS console segment first — show Custom Labels, DynamoDB and IAM, and mention the rest verbally.</w:t>
      </w:r>
    </w:p>
    <w:p>
      <w:pPr>
        <w:spacing w:after="110" w:line="272"/>
      </w:pPr>
      <w:r>
        <w:rPr>
          <w:color w:val="263029"/>
          <w:sz w:val="22"/>
          <w:szCs w:val="22"/>
        </w:rPr>
        <w:t xml:space="preserve">• Keep the live-app demo (segments 2–4) as the core — that’s where the marks are; the console tour is supporting evidence.</w:t>
      </w:r>
    </w:p>
    <w:p>
      <w:pPr>
        <w:spacing w:after="110" w:line="272"/>
      </w:pPr>
      <w:r>
        <w:rPr>
          <w:color w:val="263029"/>
          <w:sz w:val="22"/>
          <w:szCs w:val="22"/>
        </w:rPr>
        <w:t xml:space="preserve">• Have everything pre-loaded and logged in before recording so there’s no dead air waiting for pages to load.</w:t>
      </w:r>
    </w:p>
    <w:p>
      <w:pPr>
        <w:spacing w:after="110" w:line="272"/>
      </w:pPr>
      <w:r>
        <w:rPr>
          <w:color w:val="263029"/>
          <w:sz w:val="22"/>
          <w:szCs w:val="22"/>
        </w:rPr>
        <w:t xml:space="preserve">• This video is your backup if the live cloud services fail during the actual presentation — so make sure it clearly shows each service working.</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30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pPr>
    <w:rPr>
      <w:b/>
      <w:bCs/>
      <w:color w:val="1F5D3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2026-08-16T08:49:53.146Z</dcterms:created>
  <dcterms:modified xsi:type="dcterms:W3CDTF">2026-08-16T08:49:53.152Z</dcterms:modified>
</cp:coreProperties>
</file>

<file path=docProps/custom.xml><?xml version="1.0" encoding="utf-8"?>
<Properties xmlns="http://schemas.openxmlformats.org/officeDocument/2006/custom-properties" xmlns:vt="http://schemas.openxmlformats.org/officeDocument/2006/docPropsVTypes"/>
</file>