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21463A"/>
          <w:sz w:val="52"/>
          <w:szCs w:val="52"/>
        </w:rPr>
        <w:t xml:space="preserve">NoFaceNoCase</w:t>
      </w:r>
    </w:p>
    <w:p>
      <w:pPr>
        <w:spacing w:after="40"/>
      </w:pPr>
      <w:r>
        <w:rPr>
          <w:rFonts w:ascii="Georgia" w:cs="Georgia" w:eastAsia="Georgia" w:hAnsi="Georgia"/>
          <w:color w:val="2F5D4C"/>
          <w:sz w:val="28"/>
          <w:szCs w:val="28"/>
        </w:rPr>
        <w:t xml:space="preserve">Part 2 Feature Roadmap — Advanced Monitoring &amp; AI</w:t>
      </w:r>
    </w:p>
    <w:p>
      <w:pPr>
        <w:pBdr>
          <w:bottom w:val="single" w:color="8A6410" w:sz="8" w:space="8"/>
        </w:pBdr>
        <w:spacing w:after="40"/>
      </w:pPr>
      <w:r>
        <w:rPr>
          <w:sz w:val="8"/>
          <w:szCs w:val="8"/>
        </w:rPr>
        <w:t xml:space="preserve"/>
      </w:r>
    </w:p>
    <w:p>
      <w:pPr>
        <w:spacing w:after="260"/>
      </w:pPr>
      <w:r>
        <w:rPr>
          <w:color w:val="6F6A5C"/>
          <w:sz w:val="20"/>
          <w:szCs w:val="20"/>
        </w:rPr>
        <w:t xml:space="preserve">Syed Ghazi  ·  2504242E  ·  CAI2C09  ·  15 July 2026</w:t>
      </w:r>
    </w:p>
    <w:p>
      <w:pPr>
        <w:pStyle w:val="Heading1"/>
        <w:spacing w:after="120" w:before="280"/>
      </w:pPr>
      <w:r>
        <w:rPr>
          <w:rFonts w:ascii="Georgia" w:cs="Georgia" w:eastAsia="Georgia" w:hAnsi="Georgia"/>
          <w:b/>
          <w:bCs/>
          <w:color w:val="21463A"/>
          <w:sz w:val="30"/>
          <w:szCs w:val="30"/>
        </w:rPr>
        <w:t xml:space="preserve">1.  Purpose &amp; scope</w:t>
      </w:r>
    </w:p>
    <w:p>
      <w:pPr>
        <w:spacing w:after="140" w:line="276"/>
      </w:pPr>
      <w:r>
        <w:rPr>
          <w:color w:val="23291F"/>
          <w:sz w:val="21"/>
          <w:szCs w:val="21"/>
        </w:rPr>
        <w:t xml:space="preserve">This roadmap scopes the advanced patient-monitoring and AI features proposed for NoFaceNoCase beyond the Part 1 prototype. Part 1 delivers a working web application in which the AWS services (Cognito, Rekognition, Comprehend, SNS and an RDS-backed API) are called in their real request/response shape but answered by simulated data, together with a mood-reactive interface and a first pass at care-signal analytics.</w:t>
      </w:r>
    </w:p>
    <w:p>
      <w:pPr>
        <w:spacing w:after="140" w:line="276"/>
      </w:pPr>
      <w:r>
        <w:rPr>
          <w:color w:val="23291F"/>
          <w:sz w:val="21"/>
          <w:szCs w:val="21"/>
        </w:rPr>
        <w:t xml:space="preserve">The features below extend that foundation toward continuous, sensor- and video-driven monitoring with predictive and custom-trained models. Each entry states how it would be built with real AWS services, what data it depends on, and the privacy, validation and cost considerations it raises. The aim is a realistic build order — not every idea is equal in effort or risk, and several require clinical data, hardware, or governance that must be secured before development starts.</w:t>
      </w:r>
    </w:p>
    <w:p>
      <w:pPr>
        <w:pStyle w:val="Heading1"/>
        <w:spacing w:after="120" w:before="280"/>
      </w:pPr>
      <w:r>
        <w:rPr>
          <w:rFonts w:ascii="Georgia" w:cs="Georgia" w:eastAsia="Georgia" w:hAnsi="Georgia"/>
          <w:b/>
          <w:bCs/>
          <w:color w:val="21463A"/>
          <w:sz w:val="30"/>
          <w:szCs w:val="30"/>
        </w:rPr>
        <w:t xml:space="preserve">2.  Feature summary</w:t>
      </w:r>
    </w:p>
    <w:p>
      <w:pPr>
        <w:spacing w:after="140" w:line="276"/>
      </w:pPr>
      <w:r>
        <w:rPr>
          <w:color w:val="23291F"/>
          <w:sz w:val="21"/>
          <w:szCs w:val="21"/>
        </w:rPr>
        <w:t xml:space="preserve">The table summarises where each requested feature stands today and how it would be realised in Part 2. Detailed treatments follow in Section 4.</w:t>
      </w:r>
    </w:p>
    <w:tbl>
      <w:tblPr>
        <w:tblW w:type="dxa" w:w="9500"/>
        <w:tblBorders>
          <w:top w:val="single" w:color="D9CFB8" w:sz="4"/>
          <w:left w:val="single" w:color="D9CFB8" w:sz="4"/>
          <w:bottom w:val="single" w:color="D9CFB8" w:sz="4"/>
          <w:right w:val="single" w:color="D9CFB8" w:sz="4"/>
          <w:insideH w:val="single" w:color="D9CFB8" w:sz="4"/>
          <w:insideV w:val="single" w:color="D9CFB8" w:sz="4"/>
        </w:tblBorders>
      </w:tblPr>
      <w:tblGrid>
        <w:gridCol w:w="1900"/>
        <w:gridCol w:w="1500"/>
        <w:gridCol w:w="3300"/>
        <w:gridCol w:w="1050"/>
        <w:gridCol w:w="1750"/>
      </w:tblGrid>
      <w:tr>
        <w:trPr>
          <w:tblHeader/>
        </w:trPr>
        <w:tc>
          <w:tcPr>
            <w:tcW w:type="dxa" w:w="1900"/>
            <w:shd w:fill="EFE8D8" w:color="auto" w:val="clear"/>
            <w:tcMar>
              <w:top w:type="dxa" w:w="70"/>
              <w:left w:type="dxa" w:w="90"/>
              <w:bottom w:type="dxa" w:w="70"/>
              <w:right w:type="dxa" w:w="90"/>
            </w:tcMar>
          </w:tcPr>
          <w:p>
            <w:r>
              <w:rPr>
                <w:b/>
                <w:bCs/>
                <w:color w:val="21463A"/>
                <w:sz w:val="18"/>
                <w:szCs w:val="18"/>
              </w:rPr>
              <w:t xml:space="preserve">Feature</w:t>
            </w:r>
          </w:p>
        </w:tc>
        <w:tc>
          <w:tcPr>
            <w:tcW w:type="dxa" w:w="1500"/>
            <w:shd w:fill="EFE8D8" w:color="auto" w:val="clear"/>
            <w:tcMar>
              <w:top w:type="dxa" w:w="70"/>
              <w:left w:type="dxa" w:w="90"/>
              <w:bottom w:type="dxa" w:w="70"/>
              <w:right w:type="dxa" w:w="90"/>
            </w:tcMar>
          </w:tcPr>
          <w:p>
            <w:r>
              <w:rPr>
                <w:b/>
                <w:bCs/>
                <w:color w:val="21463A"/>
                <w:sz w:val="18"/>
                <w:szCs w:val="18"/>
              </w:rPr>
              <w:t xml:space="preserve">Part 1 status</w:t>
            </w:r>
          </w:p>
        </w:tc>
        <w:tc>
          <w:tcPr>
            <w:tcW w:type="dxa" w:w="3300"/>
            <w:shd w:fill="EFE8D8" w:color="auto" w:val="clear"/>
            <w:tcMar>
              <w:top w:type="dxa" w:w="70"/>
              <w:left w:type="dxa" w:w="90"/>
              <w:bottom w:type="dxa" w:w="70"/>
              <w:right w:type="dxa" w:w="90"/>
            </w:tcMar>
          </w:tcPr>
          <w:p>
            <w:r>
              <w:rPr>
                <w:b/>
                <w:bCs/>
                <w:color w:val="21463A"/>
                <w:sz w:val="18"/>
                <w:szCs w:val="18"/>
              </w:rPr>
              <w:t xml:space="preserve">Part 2 approach (AWS)</w:t>
            </w:r>
          </w:p>
        </w:tc>
        <w:tc>
          <w:tcPr>
            <w:tcW w:type="dxa" w:w="1050"/>
            <w:shd w:fill="EFE8D8" w:color="auto" w:val="clear"/>
            <w:tcMar>
              <w:top w:type="dxa" w:w="70"/>
              <w:left w:type="dxa" w:w="90"/>
              <w:bottom w:type="dxa" w:w="70"/>
              <w:right w:type="dxa" w:w="90"/>
            </w:tcMar>
          </w:tcPr>
          <w:p>
            <w:r>
              <w:rPr>
                <w:b/>
                <w:bCs/>
                <w:color w:val="21463A"/>
                <w:sz w:val="18"/>
                <w:szCs w:val="18"/>
              </w:rPr>
              <w:t xml:space="preserve">Effort</w:t>
            </w:r>
          </w:p>
        </w:tc>
        <w:tc>
          <w:tcPr>
            <w:tcW w:type="dxa" w:w="1750"/>
            <w:shd w:fill="EFE8D8" w:color="auto" w:val="clear"/>
            <w:tcMar>
              <w:top w:type="dxa" w:w="70"/>
              <w:left w:type="dxa" w:w="90"/>
              <w:bottom w:type="dxa" w:w="70"/>
              <w:right w:type="dxa" w:w="90"/>
            </w:tcMar>
          </w:tcPr>
          <w:p>
            <w:r>
              <w:rPr>
                <w:b/>
                <w:bCs/>
                <w:color w:val="21463A"/>
                <w:sz w:val="18"/>
                <w:szCs w:val="18"/>
              </w:rPr>
              <w:t xml:space="preserve">Key risk</w:t>
            </w:r>
          </w:p>
        </w:tc>
      </w:tr>
      <w:tr>
        <w:tc>
          <w:tcPr>
            <w:tcW w:type="dxa" w:w="1900"/>
            <w:tcMar>
              <w:top w:type="dxa" w:w="70"/>
              <w:left w:type="dxa" w:w="90"/>
              <w:bottom w:type="dxa" w:w="70"/>
              <w:right w:type="dxa" w:w="90"/>
            </w:tcMar>
          </w:tcPr>
          <w:p>
            <w:r>
              <w:rPr>
                <w:b w:val="false"/>
                <w:bCs w:val="false"/>
                <w:color w:val="23291F"/>
                <w:sz w:val="18"/>
                <w:szCs w:val="18"/>
              </w:rPr>
              <w:t xml:space="preserve">Facial keypoint tracking</w:t>
            </w:r>
          </w:p>
        </w:tc>
        <w:tc>
          <w:tcPr>
            <w:tcW w:type="dxa" w:w="1500"/>
            <w:tcMar>
              <w:top w:type="dxa" w:w="70"/>
              <w:left w:type="dxa" w:w="90"/>
              <w:bottom w:type="dxa" w:w="70"/>
              <w:right w:type="dxa" w:w="90"/>
            </w:tcMar>
          </w:tcPr>
          <w:p>
            <w:r>
              <w:rPr>
                <w:b w:val="false"/>
                <w:bCs w:val="false"/>
                <w:color w:val="23291F"/>
                <w:sz w:val="18"/>
                <w:szCs w:val="18"/>
              </w:rPr>
              <w:t xml:space="preserve">Simulated emotions only</w:t>
            </w:r>
          </w:p>
        </w:tc>
        <w:tc>
          <w:tcPr>
            <w:tcW w:type="dxa" w:w="3300"/>
            <w:tcMar>
              <w:top w:type="dxa" w:w="70"/>
              <w:left w:type="dxa" w:w="90"/>
              <w:bottom w:type="dxa" w:w="70"/>
              <w:right w:type="dxa" w:w="90"/>
            </w:tcMar>
          </w:tcPr>
          <w:p>
            <w:r>
              <w:rPr>
                <w:b w:val="false"/>
                <w:bCs w:val="false"/>
                <w:color w:val="23291F"/>
                <w:sz w:val="18"/>
                <w:szCs w:val="18"/>
              </w:rPr>
              <w:t xml:space="preserve">Rekognition DetectFaces returns 30 facial landmarks; visualise &amp; feed models</w:t>
            </w:r>
          </w:p>
        </w:tc>
        <w:tc>
          <w:tcPr>
            <w:tcW w:type="dxa" w:w="1050"/>
            <w:tcMar>
              <w:top w:type="dxa" w:w="70"/>
              <w:left w:type="dxa" w:w="90"/>
              <w:bottom w:type="dxa" w:w="70"/>
              <w:right w:type="dxa" w:w="90"/>
            </w:tcMar>
          </w:tcPr>
          <w:p>
            <w:r>
              <w:rPr>
                <w:b w:val="false"/>
                <w:bCs w:val="false"/>
                <w:color w:val="23291F"/>
                <w:sz w:val="18"/>
                <w:szCs w:val="18"/>
              </w:rPr>
              <w:t xml:space="preserve">Low</w:t>
            </w:r>
          </w:p>
        </w:tc>
        <w:tc>
          <w:tcPr>
            <w:tcW w:type="dxa" w:w="1750"/>
            <w:tcMar>
              <w:top w:type="dxa" w:w="70"/>
              <w:left w:type="dxa" w:w="90"/>
              <w:bottom w:type="dxa" w:w="70"/>
              <w:right w:type="dxa" w:w="90"/>
            </w:tcMar>
          </w:tcPr>
          <w:p>
            <w:r>
              <w:rPr>
                <w:b w:val="false"/>
                <w:bCs w:val="false"/>
                <w:color w:val="23291F"/>
                <w:sz w:val="18"/>
                <w:szCs w:val="18"/>
              </w:rPr>
              <w:t xml:space="preserve">Camera/photo quality</w:t>
            </w:r>
          </w:p>
        </w:tc>
      </w:tr>
      <w:tr>
        <w:tc>
          <w:tcPr>
            <w:tcW w:type="dxa" w:w="1900"/>
            <w:tcMar>
              <w:top w:type="dxa" w:w="70"/>
              <w:left w:type="dxa" w:w="90"/>
              <w:bottom w:type="dxa" w:w="70"/>
              <w:right w:type="dxa" w:w="90"/>
            </w:tcMar>
          </w:tcPr>
          <w:p>
            <w:r>
              <w:rPr>
                <w:b w:val="false"/>
                <w:bCs w:val="false"/>
                <w:color w:val="23291F"/>
                <w:sz w:val="18"/>
                <w:szCs w:val="18"/>
              </w:rPr>
              <w:t xml:space="preserve">Pain detection</w:t>
            </w:r>
          </w:p>
        </w:tc>
        <w:tc>
          <w:tcPr>
            <w:tcW w:type="dxa" w:w="1500"/>
            <w:tcMar>
              <w:top w:type="dxa" w:w="70"/>
              <w:left w:type="dxa" w:w="90"/>
              <w:bottom w:type="dxa" w:w="70"/>
              <w:right w:type="dxa" w:w="90"/>
            </w:tcMar>
          </w:tcPr>
          <w:p>
            <w:r>
              <w:rPr>
                <w:b w:val="false"/>
                <w:bCs w:val="false"/>
                <w:color w:val="23291F"/>
                <w:sz w:val="18"/>
                <w:szCs w:val="18"/>
              </w:rPr>
              <w:t xml:space="preserve">Not present</w:t>
            </w:r>
          </w:p>
        </w:tc>
        <w:tc>
          <w:tcPr>
            <w:tcW w:type="dxa" w:w="3300"/>
            <w:tcMar>
              <w:top w:type="dxa" w:w="70"/>
              <w:left w:type="dxa" w:w="90"/>
              <w:bottom w:type="dxa" w:w="70"/>
              <w:right w:type="dxa" w:w="90"/>
            </w:tcMar>
          </w:tcPr>
          <w:p>
            <w:r>
              <w:rPr>
                <w:b w:val="false"/>
                <w:bCs w:val="false"/>
                <w:color w:val="23291F"/>
                <w:sz w:val="18"/>
                <w:szCs w:val="18"/>
              </w:rPr>
              <w:t xml:space="preserve">Custom model (SageMaker / Rekognition Custom Labels) trained on labelled grimace data</w:t>
            </w:r>
          </w:p>
        </w:tc>
        <w:tc>
          <w:tcPr>
            <w:tcW w:type="dxa" w:w="1050"/>
            <w:tcMar>
              <w:top w:type="dxa" w:w="70"/>
              <w:left w:type="dxa" w:w="90"/>
              <w:bottom w:type="dxa" w:w="70"/>
              <w:right w:type="dxa" w:w="90"/>
            </w:tcMar>
          </w:tcPr>
          <w:p>
            <w:r>
              <w:rPr>
                <w:b w:val="false"/>
                <w:bCs w:val="false"/>
                <w:color w:val="23291F"/>
                <w:sz w:val="18"/>
                <w:szCs w:val="18"/>
              </w:rPr>
              <w:t xml:space="preserve">High</w:t>
            </w:r>
          </w:p>
        </w:tc>
        <w:tc>
          <w:tcPr>
            <w:tcW w:type="dxa" w:w="1750"/>
            <w:tcMar>
              <w:top w:type="dxa" w:w="70"/>
              <w:left w:type="dxa" w:w="90"/>
              <w:bottom w:type="dxa" w:w="70"/>
              <w:right w:type="dxa" w:w="90"/>
            </w:tcMar>
          </w:tcPr>
          <w:p>
            <w:r>
              <w:rPr>
                <w:b w:val="false"/>
                <w:bCs w:val="false"/>
                <w:color w:val="23291F"/>
                <w:sz w:val="18"/>
                <w:szCs w:val="18"/>
              </w:rPr>
              <w:t xml:space="preserve">Needs labelled clinical dataset</w:t>
            </w:r>
          </w:p>
        </w:tc>
      </w:tr>
      <w:tr>
        <w:tc>
          <w:tcPr>
            <w:tcW w:type="dxa" w:w="1900"/>
            <w:tcMar>
              <w:top w:type="dxa" w:w="70"/>
              <w:left w:type="dxa" w:w="90"/>
              <w:bottom w:type="dxa" w:w="70"/>
              <w:right w:type="dxa" w:w="90"/>
            </w:tcMar>
          </w:tcPr>
          <w:p>
            <w:r>
              <w:rPr>
                <w:b w:val="false"/>
                <w:bCs w:val="false"/>
                <w:color w:val="23291F"/>
                <w:sz w:val="18"/>
                <w:szCs w:val="18"/>
              </w:rPr>
              <w:t xml:space="preserve">Streaming video + live emotion</w:t>
            </w:r>
          </w:p>
        </w:tc>
        <w:tc>
          <w:tcPr>
            <w:tcW w:type="dxa" w:w="1500"/>
            <w:tcMar>
              <w:top w:type="dxa" w:w="70"/>
              <w:left w:type="dxa" w:w="90"/>
              <w:bottom w:type="dxa" w:w="70"/>
              <w:right w:type="dxa" w:w="90"/>
            </w:tcMar>
          </w:tcPr>
          <w:p>
            <w:r>
              <w:rPr>
                <w:b w:val="false"/>
                <w:bCs w:val="false"/>
                <w:color w:val="23291F"/>
                <w:sz w:val="18"/>
                <w:szCs w:val="18"/>
              </w:rPr>
              <w:t xml:space="preserve">Single-photo, simulated</w:t>
            </w:r>
          </w:p>
        </w:tc>
        <w:tc>
          <w:tcPr>
            <w:tcW w:type="dxa" w:w="3300"/>
            <w:tcMar>
              <w:top w:type="dxa" w:w="70"/>
              <w:left w:type="dxa" w:w="90"/>
              <w:bottom w:type="dxa" w:w="70"/>
              <w:right w:type="dxa" w:w="90"/>
            </w:tcMar>
          </w:tcPr>
          <w:p>
            <w:r>
              <w:rPr>
                <w:b w:val="false"/>
                <w:bCs w:val="false"/>
                <w:color w:val="23291F"/>
                <w:sz w:val="18"/>
                <w:szCs w:val="18"/>
              </w:rPr>
              <w:t xml:space="preserve">Kinesis Video Streams + Rekognition Video stream processors</w:t>
            </w:r>
          </w:p>
        </w:tc>
        <w:tc>
          <w:tcPr>
            <w:tcW w:type="dxa" w:w="1050"/>
            <w:tcMar>
              <w:top w:type="dxa" w:w="70"/>
              <w:left w:type="dxa" w:w="90"/>
              <w:bottom w:type="dxa" w:w="70"/>
              <w:right w:type="dxa" w:w="90"/>
            </w:tcMar>
          </w:tcPr>
          <w:p>
            <w:r>
              <w:rPr>
                <w:b w:val="false"/>
                <w:bCs w:val="false"/>
                <w:color w:val="23291F"/>
                <w:sz w:val="18"/>
                <w:szCs w:val="18"/>
              </w:rPr>
              <w:t xml:space="preserve">High</w:t>
            </w:r>
          </w:p>
        </w:tc>
        <w:tc>
          <w:tcPr>
            <w:tcW w:type="dxa" w:w="1750"/>
            <w:tcMar>
              <w:top w:type="dxa" w:w="70"/>
              <w:left w:type="dxa" w:w="90"/>
              <w:bottom w:type="dxa" w:w="70"/>
              <w:right w:type="dxa" w:w="90"/>
            </w:tcMar>
          </w:tcPr>
          <w:p>
            <w:r>
              <w:rPr>
                <w:b w:val="false"/>
                <w:bCs w:val="false"/>
                <w:color w:val="23291F"/>
                <w:sz w:val="18"/>
                <w:szCs w:val="18"/>
              </w:rPr>
              <w:t xml:space="preserve">Cost, privacy, latency</w:t>
            </w:r>
          </w:p>
        </w:tc>
      </w:tr>
      <w:tr>
        <w:tc>
          <w:tcPr>
            <w:tcW w:type="dxa" w:w="1900"/>
            <w:tcMar>
              <w:top w:type="dxa" w:w="70"/>
              <w:left w:type="dxa" w:w="90"/>
              <w:bottom w:type="dxa" w:w="70"/>
              <w:right w:type="dxa" w:w="90"/>
            </w:tcMar>
          </w:tcPr>
          <w:p>
            <w:r>
              <w:rPr>
                <w:b w:val="false"/>
                <w:bCs w:val="false"/>
                <w:color w:val="23291F"/>
                <w:sz w:val="18"/>
                <w:szCs w:val="18"/>
              </w:rPr>
              <w:t xml:space="preserve">Emotion / mood prediction</w:t>
            </w:r>
          </w:p>
        </w:tc>
        <w:tc>
          <w:tcPr>
            <w:tcW w:type="dxa" w:w="1500"/>
            <w:tcMar>
              <w:top w:type="dxa" w:w="70"/>
              <w:left w:type="dxa" w:w="90"/>
              <w:bottom w:type="dxa" w:w="70"/>
              <w:right w:type="dxa" w:w="90"/>
            </w:tcMar>
          </w:tcPr>
          <w:p>
            <w:r>
              <w:rPr>
                <w:b w:val="false"/>
                <w:bCs w:val="false"/>
                <w:color w:val="23291F"/>
                <w:sz w:val="18"/>
                <w:szCs w:val="18"/>
              </w:rPr>
              <w:t xml:space="preserve">Least-squares trend (working)</w:t>
            </w:r>
          </w:p>
        </w:tc>
        <w:tc>
          <w:tcPr>
            <w:tcW w:type="dxa" w:w="3300"/>
            <w:tcMar>
              <w:top w:type="dxa" w:w="70"/>
              <w:left w:type="dxa" w:w="90"/>
              <w:bottom w:type="dxa" w:w="70"/>
              <w:right w:type="dxa" w:w="90"/>
            </w:tcMar>
          </w:tcPr>
          <w:p>
            <w:r>
              <w:rPr>
                <w:b w:val="false"/>
                <w:bCs w:val="false"/>
                <w:color w:val="23291F"/>
                <w:sz w:val="18"/>
                <w:szCs w:val="18"/>
              </w:rPr>
              <w:t xml:space="preserve">SageMaker time-series model (e.g. DeepAR) on stored history</w:t>
            </w:r>
          </w:p>
        </w:tc>
        <w:tc>
          <w:tcPr>
            <w:tcW w:type="dxa" w:w="1050"/>
            <w:tcMar>
              <w:top w:type="dxa" w:w="70"/>
              <w:left w:type="dxa" w:w="90"/>
              <w:bottom w:type="dxa" w:w="70"/>
              <w:right w:type="dxa" w:w="90"/>
            </w:tcMar>
          </w:tcPr>
          <w:p>
            <w:r>
              <w:rPr>
                <w:b w:val="false"/>
                <w:bCs w:val="false"/>
                <w:color w:val="23291F"/>
                <w:sz w:val="18"/>
                <w:szCs w:val="18"/>
              </w:rPr>
              <w:t xml:space="preserve">Medium</w:t>
            </w:r>
          </w:p>
        </w:tc>
        <w:tc>
          <w:tcPr>
            <w:tcW w:type="dxa" w:w="1750"/>
            <w:tcMar>
              <w:top w:type="dxa" w:w="70"/>
              <w:left w:type="dxa" w:w="90"/>
              <w:bottom w:type="dxa" w:w="70"/>
              <w:right w:type="dxa" w:w="90"/>
            </w:tcMar>
          </w:tcPr>
          <w:p>
            <w:r>
              <w:rPr>
                <w:b w:val="false"/>
                <w:bCs w:val="false"/>
                <w:color w:val="23291F"/>
                <w:sz w:val="18"/>
                <w:szCs w:val="18"/>
              </w:rPr>
              <w:t xml:space="preserve">Enough history per patient</w:t>
            </w:r>
          </w:p>
        </w:tc>
      </w:tr>
      <w:tr>
        <w:tc>
          <w:tcPr>
            <w:tcW w:type="dxa" w:w="1900"/>
            <w:tcMar>
              <w:top w:type="dxa" w:w="70"/>
              <w:left w:type="dxa" w:w="90"/>
              <w:bottom w:type="dxa" w:w="70"/>
              <w:right w:type="dxa" w:w="90"/>
            </w:tcMar>
          </w:tcPr>
          <w:p>
            <w:r>
              <w:rPr>
                <w:b w:val="false"/>
                <w:bCs w:val="false"/>
                <w:color w:val="23291F"/>
                <w:sz w:val="18"/>
                <w:szCs w:val="18"/>
              </w:rPr>
              <w:t xml:space="preserve">Sleep, movement, day/night</w:t>
            </w:r>
          </w:p>
        </w:tc>
        <w:tc>
          <w:tcPr>
            <w:tcW w:type="dxa" w:w="1500"/>
            <w:tcMar>
              <w:top w:type="dxa" w:w="70"/>
              <w:left w:type="dxa" w:w="90"/>
              <w:bottom w:type="dxa" w:w="70"/>
              <w:right w:type="dxa" w:w="90"/>
            </w:tcMar>
          </w:tcPr>
          <w:p>
            <w:r>
              <w:rPr>
                <w:b w:val="false"/>
                <w:bCs w:val="false"/>
                <w:color w:val="23291F"/>
                <w:sz w:val="18"/>
                <w:szCs w:val="18"/>
              </w:rPr>
              <w:t xml:space="preserve">Simulated panels (working)</w:t>
            </w:r>
          </w:p>
        </w:tc>
        <w:tc>
          <w:tcPr>
            <w:tcW w:type="dxa" w:w="3300"/>
            <w:tcMar>
              <w:top w:type="dxa" w:w="70"/>
              <w:left w:type="dxa" w:w="90"/>
              <w:bottom w:type="dxa" w:w="70"/>
              <w:right w:type="dxa" w:w="90"/>
            </w:tcMar>
          </w:tcPr>
          <w:p>
            <w:r>
              <w:rPr>
                <w:b w:val="false"/>
                <w:bCs w:val="false"/>
                <w:color w:val="23291F"/>
                <w:sz w:val="18"/>
                <w:szCs w:val="18"/>
              </w:rPr>
              <w:t xml:space="preserve">Bed/PIR sensors via IoT Core → Timestream; wearables</w:t>
            </w:r>
          </w:p>
        </w:tc>
        <w:tc>
          <w:tcPr>
            <w:tcW w:type="dxa" w:w="1050"/>
            <w:tcMar>
              <w:top w:type="dxa" w:w="70"/>
              <w:left w:type="dxa" w:w="90"/>
              <w:bottom w:type="dxa" w:w="70"/>
              <w:right w:type="dxa" w:w="90"/>
            </w:tcMar>
          </w:tcPr>
          <w:p>
            <w:r>
              <w:rPr>
                <w:b w:val="false"/>
                <w:bCs w:val="false"/>
                <w:color w:val="23291F"/>
                <w:sz w:val="18"/>
                <w:szCs w:val="18"/>
              </w:rPr>
              <w:t xml:space="preserve">Medium</w:t>
            </w:r>
          </w:p>
        </w:tc>
        <w:tc>
          <w:tcPr>
            <w:tcW w:type="dxa" w:w="1750"/>
            <w:tcMar>
              <w:top w:type="dxa" w:w="70"/>
              <w:left w:type="dxa" w:w="90"/>
              <w:bottom w:type="dxa" w:w="70"/>
              <w:right w:type="dxa" w:w="90"/>
            </w:tcMar>
          </w:tcPr>
          <w:p>
            <w:r>
              <w:rPr>
                <w:b w:val="false"/>
                <w:bCs w:val="false"/>
                <w:color w:val="23291F"/>
                <w:sz w:val="18"/>
                <w:szCs w:val="18"/>
              </w:rPr>
              <w:t xml:space="preserve">Sensor hardware &amp; integration</w:t>
            </w:r>
          </w:p>
        </w:tc>
      </w:tr>
      <w:tr>
        <w:tc>
          <w:tcPr>
            <w:tcW w:type="dxa" w:w="1900"/>
            <w:tcMar>
              <w:top w:type="dxa" w:w="70"/>
              <w:left w:type="dxa" w:w="90"/>
              <w:bottom w:type="dxa" w:w="70"/>
              <w:right w:type="dxa" w:w="90"/>
            </w:tcMar>
          </w:tcPr>
          <w:p>
            <w:r>
              <w:rPr>
                <w:b w:val="false"/>
                <w:bCs w:val="false"/>
                <w:color w:val="23291F"/>
                <w:sz w:val="18"/>
                <w:szCs w:val="18"/>
              </w:rPr>
              <w:t xml:space="preserve">Dementia bed-exit / high-risk</w:t>
            </w:r>
          </w:p>
        </w:tc>
        <w:tc>
          <w:tcPr>
            <w:tcW w:type="dxa" w:w="1500"/>
            <w:tcMar>
              <w:top w:type="dxa" w:w="70"/>
              <w:left w:type="dxa" w:w="90"/>
              <w:bottom w:type="dxa" w:w="70"/>
              <w:right w:type="dxa" w:w="90"/>
            </w:tcMar>
          </w:tcPr>
          <w:p>
            <w:r>
              <w:rPr>
                <w:b w:val="false"/>
                <w:bCs w:val="false"/>
                <w:color w:val="23291F"/>
                <w:sz w:val="18"/>
                <w:szCs w:val="18"/>
              </w:rPr>
              <w:t xml:space="preserve">Flag + simulated (working)</w:t>
            </w:r>
          </w:p>
        </w:tc>
        <w:tc>
          <w:tcPr>
            <w:tcW w:type="dxa" w:w="3300"/>
            <w:tcMar>
              <w:top w:type="dxa" w:w="70"/>
              <w:left w:type="dxa" w:w="90"/>
              <w:bottom w:type="dxa" w:w="70"/>
              <w:right w:type="dxa" w:w="90"/>
            </w:tcMar>
          </w:tcPr>
          <w:p>
            <w:r>
              <w:rPr>
                <w:b w:val="false"/>
                <w:bCs w:val="false"/>
                <w:color w:val="23291F"/>
                <w:sz w:val="18"/>
                <w:szCs w:val="18"/>
              </w:rPr>
              <w:t xml:space="preserve">Bed pressure mat + CV on video; real-time SNS alerts</w:t>
            </w:r>
          </w:p>
        </w:tc>
        <w:tc>
          <w:tcPr>
            <w:tcW w:type="dxa" w:w="1050"/>
            <w:tcMar>
              <w:top w:type="dxa" w:w="70"/>
              <w:left w:type="dxa" w:w="90"/>
              <w:bottom w:type="dxa" w:w="70"/>
              <w:right w:type="dxa" w:w="90"/>
            </w:tcMar>
          </w:tcPr>
          <w:p>
            <w:r>
              <w:rPr>
                <w:b w:val="false"/>
                <w:bCs w:val="false"/>
                <w:color w:val="23291F"/>
                <w:sz w:val="18"/>
                <w:szCs w:val="18"/>
              </w:rPr>
              <w:t xml:space="preserve">High</w:t>
            </w:r>
          </w:p>
        </w:tc>
        <w:tc>
          <w:tcPr>
            <w:tcW w:type="dxa" w:w="1750"/>
            <w:tcMar>
              <w:top w:type="dxa" w:w="70"/>
              <w:left w:type="dxa" w:w="90"/>
              <w:bottom w:type="dxa" w:w="70"/>
              <w:right w:type="dxa" w:w="90"/>
            </w:tcMar>
          </w:tcPr>
          <w:p>
            <w:r>
              <w:rPr>
                <w:b w:val="false"/>
                <w:bCs w:val="false"/>
                <w:color w:val="23291F"/>
                <w:sz w:val="18"/>
                <w:szCs w:val="18"/>
              </w:rPr>
              <w:t xml:space="preserve">False alarms, consent</w:t>
            </w:r>
          </w:p>
        </w:tc>
      </w:tr>
      <w:tr>
        <w:tc>
          <w:tcPr>
            <w:tcW w:type="dxa" w:w="1900"/>
            <w:tcMar>
              <w:top w:type="dxa" w:w="70"/>
              <w:left w:type="dxa" w:w="90"/>
              <w:bottom w:type="dxa" w:w="70"/>
              <w:right w:type="dxa" w:w="90"/>
            </w:tcMar>
          </w:tcPr>
          <w:p>
            <w:r>
              <w:rPr>
                <w:b w:val="false"/>
                <w:bCs w:val="false"/>
                <w:color w:val="23291F"/>
                <w:sz w:val="18"/>
                <w:szCs w:val="18"/>
              </w:rPr>
              <w:t xml:space="preserve">Assistance urgency / triage</w:t>
            </w:r>
          </w:p>
        </w:tc>
        <w:tc>
          <w:tcPr>
            <w:tcW w:type="dxa" w:w="1500"/>
            <w:tcMar>
              <w:top w:type="dxa" w:w="70"/>
              <w:left w:type="dxa" w:w="90"/>
              <w:bottom w:type="dxa" w:w="70"/>
              <w:right w:type="dxa" w:w="90"/>
            </w:tcMar>
          </w:tcPr>
          <w:p>
            <w:r>
              <w:rPr>
                <w:b w:val="false"/>
                <w:bCs w:val="false"/>
                <w:color w:val="23291F"/>
                <w:sz w:val="18"/>
                <w:szCs w:val="18"/>
              </w:rPr>
              <w:t xml:space="preserve">Rules-based (working)</w:t>
            </w:r>
          </w:p>
        </w:tc>
        <w:tc>
          <w:tcPr>
            <w:tcW w:type="dxa" w:w="3300"/>
            <w:tcMar>
              <w:top w:type="dxa" w:w="70"/>
              <w:left w:type="dxa" w:w="90"/>
              <w:bottom w:type="dxa" w:w="70"/>
              <w:right w:type="dxa" w:w="90"/>
            </w:tcMar>
          </w:tcPr>
          <w:p>
            <w:r>
              <w:rPr>
                <w:b w:val="false"/>
                <w:bCs w:val="false"/>
                <w:color w:val="23291F"/>
                <w:sz w:val="18"/>
                <w:szCs w:val="18"/>
              </w:rPr>
              <w:t xml:space="preserve">ML ranking model over mood + sensor features</w:t>
            </w:r>
          </w:p>
        </w:tc>
        <w:tc>
          <w:tcPr>
            <w:tcW w:type="dxa" w:w="1050"/>
            <w:tcMar>
              <w:top w:type="dxa" w:w="70"/>
              <w:left w:type="dxa" w:w="90"/>
              <w:bottom w:type="dxa" w:w="70"/>
              <w:right w:type="dxa" w:w="90"/>
            </w:tcMar>
          </w:tcPr>
          <w:p>
            <w:r>
              <w:rPr>
                <w:b w:val="false"/>
                <w:bCs w:val="false"/>
                <w:color w:val="23291F"/>
                <w:sz w:val="18"/>
                <w:szCs w:val="18"/>
              </w:rPr>
              <w:t xml:space="preserve">Medium</w:t>
            </w:r>
          </w:p>
        </w:tc>
        <w:tc>
          <w:tcPr>
            <w:tcW w:type="dxa" w:w="1750"/>
            <w:tcMar>
              <w:top w:type="dxa" w:w="70"/>
              <w:left w:type="dxa" w:w="90"/>
              <w:bottom w:type="dxa" w:w="70"/>
              <w:right w:type="dxa" w:w="90"/>
            </w:tcMar>
          </w:tcPr>
          <w:p>
            <w:r>
              <w:rPr>
                <w:b w:val="false"/>
                <w:bCs w:val="false"/>
                <w:color w:val="23291F"/>
                <w:sz w:val="18"/>
                <w:szCs w:val="18"/>
              </w:rPr>
              <w:t xml:space="preserve">Explainability for clinicians</w:t>
            </w:r>
          </w:p>
        </w:tc>
      </w:tr>
      <w:tr>
        <w:tc>
          <w:tcPr>
            <w:tcW w:type="dxa" w:w="1900"/>
            <w:tcMar>
              <w:top w:type="dxa" w:w="70"/>
              <w:left w:type="dxa" w:w="90"/>
              <w:bottom w:type="dxa" w:w="70"/>
              <w:right w:type="dxa" w:w="90"/>
            </w:tcMar>
          </w:tcPr>
          <w:p>
            <w:r>
              <w:rPr>
                <w:b w:val="false"/>
                <w:bCs w:val="false"/>
                <w:color w:val="23291F"/>
                <w:sz w:val="18"/>
                <w:szCs w:val="18"/>
              </w:rPr>
              <w:t xml:space="preserve">Medication response</w:t>
            </w:r>
          </w:p>
        </w:tc>
        <w:tc>
          <w:tcPr>
            <w:tcW w:type="dxa" w:w="1500"/>
            <w:tcMar>
              <w:top w:type="dxa" w:w="70"/>
              <w:left w:type="dxa" w:w="90"/>
              <w:bottom w:type="dxa" w:w="70"/>
              <w:right w:type="dxa" w:w="90"/>
            </w:tcMar>
          </w:tcPr>
          <w:p>
            <w:r>
              <w:rPr>
                <w:b w:val="false"/>
                <w:bCs w:val="false"/>
                <w:color w:val="23291F"/>
                <w:sz w:val="18"/>
                <w:szCs w:val="18"/>
              </w:rPr>
              <w:t xml:space="preserve">Before/after averages (working)</w:t>
            </w:r>
          </w:p>
        </w:tc>
        <w:tc>
          <w:tcPr>
            <w:tcW w:type="dxa" w:w="3300"/>
            <w:tcMar>
              <w:top w:type="dxa" w:w="70"/>
              <w:left w:type="dxa" w:w="90"/>
              <w:bottom w:type="dxa" w:w="70"/>
              <w:right w:type="dxa" w:w="90"/>
            </w:tcMar>
          </w:tcPr>
          <w:p>
            <w:r>
              <w:rPr>
                <w:b w:val="false"/>
                <w:bCs w:val="false"/>
                <w:color w:val="23291F"/>
                <w:sz w:val="18"/>
                <w:szCs w:val="18"/>
              </w:rPr>
              <w:t xml:space="preserve">Correlate dose/timing with mood &amp; emotion in RDS</w:t>
            </w:r>
          </w:p>
        </w:tc>
        <w:tc>
          <w:tcPr>
            <w:tcW w:type="dxa" w:w="1050"/>
            <w:tcMar>
              <w:top w:type="dxa" w:w="70"/>
              <w:left w:type="dxa" w:w="90"/>
              <w:bottom w:type="dxa" w:w="70"/>
              <w:right w:type="dxa" w:w="90"/>
            </w:tcMar>
          </w:tcPr>
          <w:p>
            <w:r>
              <w:rPr>
                <w:b w:val="false"/>
                <w:bCs w:val="false"/>
                <w:color w:val="23291F"/>
                <w:sz w:val="18"/>
                <w:szCs w:val="18"/>
              </w:rPr>
              <w:t xml:space="preserve">Low</w:t>
            </w:r>
          </w:p>
        </w:tc>
        <w:tc>
          <w:tcPr>
            <w:tcW w:type="dxa" w:w="1750"/>
            <w:tcMar>
              <w:top w:type="dxa" w:w="70"/>
              <w:left w:type="dxa" w:w="90"/>
              <w:bottom w:type="dxa" w:w="70"/>
              <w:right w:type="dxa" w:w="90"/>
            </w:tcMar>
          </w:tcPr>
          <w:p>
            <w:r>
              <w:rPr>
                <w:b w:val="false"/>
                <w:bCs w:val="false"/>
                <w:color w:val="23291F"/>
                <w:sz w:val="18"/>
                <w:szCs w:val="18"/>
              </w:rPr>
              <w:t xml:space="preserve">Data completeness</w:t>
            </w:r>
          </w:p>
        </w:tc>
      </w:tr>
    </w:tbl>
    <w:p>
      <w:pPr>
        <w:spacing w:after="120"/>
      </w:pPr>
      <w:r>
        <w:rPr>
          <w:color w:val="23291F"/>
          <w:sz w:val="21"/>
          <w:szCs w:val="21"/>
        </w:rPr>
        <w:t xml:space="preserve"/>
      </w:r>
    </w:p>
    <w:p>
      <w:pPr>
        <w:pStyle w:val="Heading1"/>
        <w:spacing w:after="120" w:before="280"/>
      </w:pPr>
      <w:r>
        <w:rPr>
          <w:rFonts w:ascii="Georgia" w:cs="Georgia" w:eastAsia="Georgia" w:hAnsi="Georgia"/>
          <w:b/>
          <w:bCs/>
          <w:color w:val="21463A"/>
          <w:sz w:val="30"/>
          <w:szCs w:val="30"/>
        </w:rPr>
        <w:t xml:space="preserve">3.  Baseline already built in Part 1</w:t>
      </w:r>
    </w:p>
    <w:p>
      <w:pPr>
        <w:spacing w:after="140" w:line="276"/>
      </w:pPr>
      <w:r>
        <w:rPr>
          <w:color w:val="23291F"/>
          <w:sz w:val="21"/>
          <w:szCs w:val="21"/>
        </w:rPr>
        <w:t xml:space="preserve">Several of the requested capabilities already exist in prototype form, running client-side on simulated data. They matter because they define the data contracts Part 2 must populate with real signals:</w:t>
      </w:r>
    </w:p>
    <w:p>
      <w:pPr>
        <w:pStyle w:val="ListParagraph"/>
        <w:numPr>
          <w:ilvl w:val="0"/>
          <w:numId w:val="1"/>
        </w:numPr>
        <w:spacing w:after="80" w:line="268"/>
      </w:pPr>
      <w:r>
        <w:rPr>
          <w:color w:val="23291F"/>
          <w:sz w:val="21"/>
          <w:szCs w:val="21"/>
        </w:rPr>
        <w:t xml:space="preserve">A four-level mood-state model (Distress, Low, Steady, Thriving) derived from each patient's latest check-in, driving a mood-reactive interface and a ward-level mood distribution bar.</w:t>
      </w:r>
    </w:p>
    <w:p>
      <w:pPr>
        <w:pStyle w:val="ListParagraph"/>
        <w:numPr>
          <w:ilvl w:val="0"/>
          <w:numId w:val="1"/>
        </w:numPr>
        <w:spacing w:after="80" w:line="268"/>
      </w:pPr>
      <w:r>
        <w:rPr>
          <w:color w:val="23291F"/>
          <w:sz w:val="21"/>
          <w:szCs w:val="21"/>
        </w:rPr>
        <w:t xml:space="preserve">An assistance-urgency triage score that combines mood, recent distress alerts, overnight bed-exits, night-time activity, sleep and a high-risk flag into a Routine/Monitor/Priority/Critical level with the reasons shown to staff.</w:t>
      </w:r>
    </w:p>
    <w:p>
      <w:pPr>
        <w:pStyle w:val="ListParagraph"/>
        <w:numPr>
          <w:ilvl w:val="0"/>
          <w:numId w:val="1"/>
        </w:numPr>
        <w:spacing w:after="80" w:line="268"/>
      </w:pPr>
      <w:r>
        <w:rPr>
          <w:color w:val="23291F"/>
          <w:sz w:val="21"/>
          <w:szCs w:val="21"/>
        </w:rPr>
        <w:t xml:space="preserve">A mood-prediction chip using a least-squares trend over recent check-ins to project the next likely mood and direction.</w:t>
      </w:r>
    </w:p>
    <w:p>
      <w:pPr>
        <w:pStyle w:val="ListParagraph"/>
        <w:numPr>
          <w:ilvl w:val="0"/>
          <w:numId w:val="1"/>
        </w:numPr>
        <w:spacing w:after="80" w:line="268"/>
      </w:pPr>
      <w:r>
        <w:rPr>
          <w:color w:val="23291F"/>
          <w:sz w:val="21"/>
          <w:szCs w:val="21"/>
        </w:rPr>
        <w:t xml:space="preserve">Monitoring panels for sleep duration and quality, movement level, day-versus-night activity split, and overnight bed-exits.</w:t>
      </w:r>
    </w:p>
    <w:p>
      <w:pPr>
        <w:pStyle w:val="ListParagraph"/>
        <w:numPr>
          <w:ilvl w:val="0"/>
          <w:numId w:val="1"/>
        </w:numPr>
        <w:spacing w:after="80" w:line="268"/>
      </w:pPr>
      <w:r>
        <w:rPr>
          <w:color w:val="23291F"/>
          <w:sz w:val="21"/>
          <w:szCs w:val="21"/>
        </w:rPr>
        <w:t xml:space="preserve">A medication-response view comparing average mood before and after each medication start date.</w:t>
      </w:r>
    </w:p>
    <w:p>
      <w:pPr>
        <w:pStyle w:val="ListParagraph"/>
        <w:numPr>
          <w:ilvl w:val="0"/>
          <w:numId w:val="1"/>
        </w:numPr>
        <w:spacing w:after="80" w:line="268"/>
      </w:pPr>
      <w:r>
        <w:rPr>
          <w:color w:val="23291F"/>
          <w:sz w:val="21"/>
          <w:szCs w:val="21"/>
        </w:rPr>
        <w:t xml:space="preserve">A patient status lifecycle (Admitted → Observation → Discharged) with discharge / re-admit actions, plus registry sorting in distress order.</w:t>
      </w:r>
    </w:p>
    <w:p>
      <w:pPr>
        <w:spacing w:after="140" w:line="276"/>
      </w:pPr>
      <w:r>
        <w:rPr>
          <w:color w:val="23291F"/>
          <w:sz w:val="21"/>
          <w:szCs w:val="21"/>
        </w:rPr>
        <w:t xml:space="preserve">Part 2 replaces the simulated inputs behind these with real model output and sensor data, without changing the interface staff already use.</w:t>
      </w:r>
    </w:p>
    <w:p>
      <w:pPr>
        <w:pStyle w:val="Heading1"/>
        <w:spacing w:after="120" w:before="280"/>
      </w:pPr>
      <w:r>
        <w:rPr>
          <w:rFonts w:ascii="Georgia" w:cs="Georgia" w:eastAsia="Georgia" w:hAnsi="Georgia"/>
          <w:b/>
          <w:bCs/>
          <w:color w:val="21463A"/>
          <w:sz w:val="30"/>
          <w:szCs w:val="30"/>
        </w:rPr>
        <w:t xml:space="preserve">4.  Feature deep-dives</w:t>
      </w:r>
    </w:p>
    <w:p>
      <w:pPr>
        <w:pStyle w:val="Heading2"/>
        <w:spacing w:after="90" w:before="220"/>
      </w:pPr>
      <w:r>
        <w:rPr>
          <w:rFonts w:ascii="Georgia" w:cs="Georgia" w:eastAsia="Georgia" w:hAnsi="Georgia"/>
          <w:b/>
          <w:bCs/>
          <w:color w:val="2F5D4C"/>
          <w:sz w:val="25"/>
          <w:szCs w:val="25"/>
        </w:rPr>
        <w:t xml:space="preserve">4.1  Facial keypoint tracking</w:t>
      </w:r>
    </w:p>
    <w:p>
      <w:pPr>
        <w:spacing w:after="140" w:line="276"/>
      </w:pPr>
      <w:r>
        <w:rPr>
          <w:b/>
          <w:bCs/>
          <w:color w:val="8A6410"/>
          <w:sz w:val="21"/>
          <w:szCs w:val="21"/>
        </w:rPr>
        <w:t xml:space="preserve">What it does.  </w:t>
      </w:r>
      <w:r>
        <w:rPr>
          <w:color w:val="23291F"/>
          <w:sz w:val="21"/>
          <w:szCs w:val="21"/>
        </w:rPr>
        <w:t xml:space="preserve">Tracks the position of facial landmarks (eyes, brows, nose, mouth corners, jaw) so expression can be measured geometrically rather than only as a named emotion.</w:t>
      </w:r>
    </w:p>
    <w:p>
      <w:pPr>
        <w:spacing w:after="140" w:line="276"/>
      </w:pPr>
      <w:r>
        <w:rPr>
          <w:b/>
          <w:bCs/>
          <w:color w:val="8A6410"/>
          <w:sz w:val="21"/>
          <w:szCs w:val="21"/>
        </w:rPr>
        <w:t xml:space="preserve">How (Part 2).  </w:t>
      </w:r>
      <w:r>
        <w:rPr>
          <w:color w:val="23291F"/>
          <w:sz w:val="21"/>
          <w:szCs w:val="21"/>
        </w:rPr>
        <w:t xml:space="preserve">Amazon Rekognition DetectFaces already returns up to ~30 landmarks per face plus pose and quality. Part 2 stores these per check-in and overlays them on the photo; the same coordinates become input features for the pain and emotion models.</w:t>
      </w:r>
    </w:p>
    <w:p>
      <w:pPr>
        <w:spacing w:after="140" w:line="276"/>
      </w:pPr>
      <w:r>
        <w:rPr>
          <w:b/>
          <w:bCs/>
          <w:color w:val="8A6410"/>
          <w:sz w:val="21"/>
          <w:szCs w:val="21"/>
        </w:rPr>
        <w:t xml:space="preserve">Data needed.  </w:t>
      </w:r>
      <w:r>
        <w:rPr>
          <w:color w:val="23291F"/>
          <w:sz w:val="21"/>
          <w:szCs w:val="21"/>
        </w:rPr>
        <w:t xml:space="preserve">The existing photo capture flow, plus an S3 bucket for images and a table column for the landmark array.</w:t>
      </w:r>
    </w:p>
    <w:p>
      <w:pPr>
        <w:spacing w:after="140" w:line="276"/>
      </w:pPr>
      <w:r>
        <w:rPr>
          <w:b/>
          <w:bCs/>
          <w:color w:val="8A6410"/>
          <w:sz w:val="21"/>
          <w:szCs w:val="21"/>
        </w:rPr>
        <w:t xml:space="preserve">Effort &amp; risk.  </w:t>
      </w:r>
      <w:r>
        <w:rPr>
          <w:color w:val="23291F"/>
          <w:sz w:val="21"/>
          <w:szCs w:val="21"/>
        </w:rPr>
        <w:t xml:space="preserve">Effort: Low. Main risk is image quality — poor lighting or angle reduces landmark accuracy, so capture guidance for staff is needed.</w:t>
      </w:r>
    </w:p>
    <w:p>
      <w:pPr>
        <w:pStyle w:val="Heading2"/>
        <w:spacing w:after="90" w:before="220"/>
      </w:pPr>
      <w:r>
        <w:rPr>
          <w:rFonts w:ascii="Georgia" w:cs="Georgia" w:eastAsia="Georgia" w:hAnsi="Georgia"/>
          <w:b/>
          <w:bCs/>
          <w:color w:val="2F5D4C"/>
          <w:sz w:val="25"/>
          <w:szCs w:val="25"/>
        </w:rPr>
        <w:t xml:space="preserve">4.2  Pain detection model</w:t>
      </w:r>
    </w:p>
    <w:p>
      <w:pPr>
        <w:spacing w:after="140" w:line="276"/>
      </w:pPr>
      <w:r>
        <w:rPr>
          <w:b/>
          <w:bCs/>
          <w:color w:val="8A6410"/>
          <w:sz w:val="21"/>
          <w:szCs w:val="21"/>
        </w:rPr>
        <w:t xml:space="preserve">What it does.  </w:t>
      </w:r>
      <w:r>
        <w:rPr>
          <w:color w:val="23291F"/>
          <w:sz w:val="21"/>
          <w:szCs w:val="21"/>
        </w:rPr>
        <w:t xml:space="preserve">Flags when a patient's facial expression indicates pain — a signal Rekognition's built-in emotions (which cover happy, sad, angry, confused, disgusted, surprised, calm and fear, but not pain) cannot provide.</w:t>
      </w:r>
    </w:p>
    <w:p>
      <w:pPr>
        <w:spacing w:after="140" w:line="276"/>
      </w:pPr>
      <w:r>
        <w:rPr>
          <w:b/>
          <w:bCs/>
          <w:color w:val="8A6410"/>
          <w:sz w:val="21"/>
          <w:szCs w:val="21"/>
        </w:rPr>
        <w:t xml:space="preserve">How (Part 2).  </w:t>
      </w:r>
      <w:r>
        <w:rPr>
          <w:color w:val="23291F"/>
          <w:sz w:val="21"/>
          <w:szCs w:val="21"/>
        </w:rPr>
        <w:t xml:space="preserve">A custom model trained with Amazon SageMaker, or Rekognition Custom Labels, on facial images labelled for pain — ideally using an established facial-action / grimace coding scheme so labels are clinically meaningful. The facial landmarks from 4.1 provide strong input features.</w:t>
      </w:r>
    </w:p>
    <w:p>
      <w:pPr>
        <w:spacing w:after="140" w:line="276"/>
      </w:pPr>
      <w:r>
        <w:rPr>
          <w:b/>
          <w:bCs/>
          <w:color w:val="8A6410"/>
          <w:sz w:val="21"/>
          <w:szCs w:val="21"/>
        </w:rPr>
        <w:t xml:space="preserve">Data needed.  </w:t>
      </w:r>
      <w:r>
        <w:rPr>
          <w:color w:val="23291F"/>
          <w:sz w:val="21"/>
          <w:szCs w:val="21"/>
        </w:rPr>
        <w:t xml:space="preserve">A labelled pain dataset (the hardest dependency), captured or licensed with consent and ethics approval, plus GPU training capacity.</w:t>
      </w:r>
    </w:p>
    <w:p>
      <w:pPr>
        <w:spacing w:after="140" w:line="276"/>
      </w:pPr>
      <w:r>
        <w:rPr>
          <w:b/>
          <w:bCs/>
          <w:color w:val="8A6410"/>
          <w:sz w:val="21"/>
          <w:szCs w:val="21"/>
        </w:rPr>
        <w:t xml:space="preserve">Effort &amp; risk.  </w:t>
      </w:r>
      <w:r>
        <w:rPr>
          <w:color w:val="23291F"/>
          <w:sz w:val="21"/>
          <w:szCs w:val="21"/>
        </w:rPr>
        <w:t xml:space="preserve">Effort: High. Key risks are dataset availability and clinical validation; a mislabelled pain model is a patient-safety issue, so it must be validated against clinician assessment before use.</w:t>
      </w:r>
    </w:p>
    <w:p>
      <w:pPr>
        <w:pStyle w:val="Heading2"/>
        <w:spacing w:after="90" w:before="220"/>
      </w:pPr>
      <w:r>
        <w:rPr>
          <w:rFonts w:ascii="Georgia" w:cs="Georgia" w:eastAsia="Georgia" w:hAnsi="Georgia"/>
          <w:b/>
          <w:bCs/>
          <w:color w:val="2F5D4C"/>
          <w:sz w:val="25"/>
          <w:szCs w:val="25"/>
        </w:rPr>
        <w:t xml:space="preserve">4.3  Real-time streaming video and live emotion analysis</w:t>
      </w:r>
    </w:p>
    <w:p>
      <w:pPr>
        <w:spacing w:after="140" w:line="276"/>
      </w:pPr>
      <w:r>
        <w:rPr>
          <w:b/>
          <w:bCs/>
          <w:color w:val="8A6410"/>
          <w:sz w:val="21"/>
          <w:szCs w:val="21"/>
        </w:rPr>
        <w:t xml:space="preserve">What it does.  </w:t>
      </w:r>
      <w:r>
        <w:rPr>
          <w:color w:val="23291F"/>
          <w:sz w:val="21"/>
          <w:szCs w:val="21"/>
        </w:rPr>
        <w:t xml:space="preserve">Moves from a single consented photo per check-in to continuous or on-demand video, enabling live emotion and movement analysis rather than point-in-time snapshots.</w:t>
      </w:r>
    </w:p>
    <w:p>
      <w:pPr>
        <w:spacing w:after="140" w:line="276"/>
      </w:pPr>
      <w:r>
        <w:rPr>
          <w:b/>
          <w:bCs/>
          <w:color w:val="8A6410"/>
          <w:sz w:val="21"/>
          <w:szCs w:val="21"/>
        </w:rPr>
        <w:t xml:space="preserve">How (Part 2).  </w:t>
      </w:r>
      <w:r>
        <w:rPr>
          <w:color w:val="23291F"/>
          <w:sz w:val="21"/>
          <w:szCs w:val="21"/>
        </w:rPr>
        <w:t xml:space="preserve">Amazon Kinesis Video Streams ingests the camera feed; Amazon Rekognition Video stream processors detect faces and attributes in near real time, with results pushed to Lambda and on to SNS for alerts. Feeds sleep, movement and bed-exit detection as well as emotion.</w:t>
      </w:r>
    </w:p>
    <w:p>
      <w:pPr>
        <w:spacing w:after="140" w:line="276"/>
      </w:pPr>
      <w:r>
        <w:rPr>
          <w:b/>
          <w:bCs/>
          <w:color w:val="8A6410"/>
          <w:sz w:val="21"/>
          <w:szCs w:val="21"/>
        </w:rPr>
        <w:t xml:space="preserve">Data needed.  </w:t>
      </w:r>
      <w:r>
        <w:rPr>
          <w:color w:val="23291F"/>
          <w:sz w:val="21"/>
          <w:szCs w:val="21"/>
        </w:rPr>
        <w:t xml:space="preserve">Ward cameras, network bandwidth, a streaming pipeline, and substantially expanded storage.</w:t>
      </w:r>
    </w:p>
    <w:p>
      <w:pPr>
        <w:spacing w:after="140" w:line="276"/>
      </w:pPr>
      <w:r>
        <w:rPr>
          <w:b/>
          <w:bCs/>
          <w:color w:val="8A6410"/>
          <w:sz w:val="21"/>
          <w:szCs w:val="21"/>
        </w:rPr>
        <w:t xml:space="preserve">Effort &amp; risk.  </w:t>
      </w:r>
      <w:r>
        <w:rPr>
          <w:color w:val="23291F"/>
          <w:sz w:val="21"/>
          <w:szCs w:val="21"/>
        </w:rPr>
        <w:t xml:space="preserve">Effort: High. This is the most sensitive feature: continuous video of patients raises the strongest privacy, consent and cost concerns and should be scoped last, per Section 5.</w:t>
      </w:r>
    </w:p>
    <w:p>
      <w:pPr>
        <w:pStyle w:val="Heading2"/>
        <w:spacing w:after="90" w:before="220"/>
      </w:pPr>
      <w:r>
        <w:rPr>
          <w:rFonts w:ascii="Georgia" w:cs="Georgia" w:eastAsia="Georgia" w:hAnsi="Georgia"/>
          <w:b/>
          <w:bCs/>
          <w:color w:val="2F5D4C"/>
          <w:sz w:val="25"/>
          <w:szCs w:val="25"/>
        </w:rPr>
        <w:t xml:space="preserve">4.4  Emotion and mood prediction</w:t>
      </w:r>
    </w:p>
    <w:p>
      <w:pPr>
        <w:spacing w:after="140" w:line="276"/>
      </w:pPr>
      <w:r>
        <w:rPr>
          <w:b/>
          <w:bCs/>
          <w:color w:val="8A6410"/>
          <w:sz w:val="21"/>
          <w:szCs w:val="21"/>
        </w:rPr>
        <w:t xml:space="preserve">What it does.  </w:t>
      </w:r>
      <w:r>
        <w:rPr>
          <w:color w:val="23291F"/>
          <w:sz w:val="21"/>
          <w:szCs w:val="21"/>
        </w:rPr>
        <w:t xml:space="preserve">Forecasts where a patient's mood is heading so staff can intervene early, upgrading the current straight-line trend into a model that learns individual and cohort patterns.</w:t>
      </w:r>
    </w:p>
    <w:p>
      <w:pPr>
        <w:spacing w:after="140" w:line="276"/>
      </w:pPr>
      <w:r>
        <w:rPr>
          <w:b/>
          <w:bCs/>
          <w:color w:val="8A6410"/>
          <w:sz w:val="21"/>
          <w:szCs w:val="21"/>
        </w:rPr>
        <w:t xml:space="preserve">How (Part 2).  </w:t>
      </w:r>
      <w:r>
        <w:rPr>
          <w:color w:val="23291F"/>
          <w:sz w:val="21"/>
          <w:szCs w:val="21"/>
        </w:rPr>
        <w:t xml:space="preserve">Amazon SageMaker with a time-series model (for example DeepAR) trained on the accumulated check-in, emotion and sentiment history in RDS; predictions are written back and surfaced in the existing prediction chip and chart.</w:t>
      </w:r>
    </w:p>
    <w:p>
      <w:pPr>
        <w:spacing w:after="140" w:line="276"/>
      </w:pPr>
      <w:r>
        <w:rPr>
          <w:b/>
          <w:bCs/>
          <w:color w:val="8A6410"/>
          <w:sz w:val="21"/>
          <w:szCs w:val="21"/>
        </w:rPr>
        <w:t xml:space="preserve">Data needed.  </w:t>
      </w:r>
      <w:r>
        <w:rPr>
          <w:color w:val="23291F"/>
          <w:sz w:val="21"/>
          <w:szCs w:val="21"/>
        </w:rPr>
        <w:t xml:space="preserve">A meaningful history of check-ins per patient — the model only becomes reliable once enough longitudinal data exists.</w:t>
      </w:r>
    </w:p>
    <w:p>
      <w:pPr>
        <w:spacing w:after="140" w:line="276"/>
      </w:pPr>
      <w:r>
        <w:rPr>
          <w:b/>
          <w:bCs/>
          <w:color w:val="8A6410"/>
          <w:sz w:val="21"/>
          <w:szCs w:val="21"/>
        </w:rPr>
        <w:t xml:space="preserve">Effort &amp; risk.  </w:t>
      </w:r>
      <w:r>
        <w:rPr>
          <w:color w:val="23291F"/>
          <w:sz w:val="21"/>
          <w:szCs w:val="21"/>
        </w:rPr>
        <w:t xml:space="preserve">Effort: Medium. Risk is over-trusting early predictions on thin data; they should be shown as decision support, clearly labelled, never as fact.</w:t>
      </w:r>
    </w:p>
    <w:p>
      <w:pPr>
        <w:pStyle w:val="Heading2"/>
        <w:spacing w:after="90" w:before="220"/>
      </w:pPr>
      <w:r>
        <w:rPr>
          <w:rFonts w:ascii="Georgia" w:cs="Georgia" w:eastAsia="Georgia" w:hAnsi="Georgia"/>
          <w:b/>
          <w:bCs/>
          <w:color w:val="2F5D4C"/>
          <w:sz w:val="25"/>
          <w:szCs w:val="25"/>
        </w:rPr>
        <w:t xml:space="preserve">4.5  Sleep schedule, movement and day/night monitoring</w:t>
      </w:r>
    </w:p>
    <w:p>
      <w:pPr>
        <w:spacing w:after="140" w:line="276"/>
      </w:pPr>
      <w:r>
        <w:rPr>
          <w:b/>
          <w:bCs/>
          <w:color w:val="8A6410"/>
          <w:sz w:val="21"/>
          <w:szCs w:val="21"/>
        </w:rPr>
        <w:t xml:space="preserve">What it does.  </w:t>
      </w:r>
      <w:r>
        <w:rPr>
          <w:color w:val="23291F"/>
          <w:sz w:val="21"/>
          <w:szCs w:val="21"/>
        </w:rPr>
        <w:t xml:space="preserve">Turns the simulated sleep, movement and day-versus-night panels into live measurements of rest and activity across each 24-hour period.</w:t>
      </w:r>
    </w:p>
    <w:p>
      <w:pPr>
        <w:spacing w:after="140" w:line="276"/>
      </w:pPr>
      <w:r>
        <w:rPr>
          <w:b/>
          <w:bCs/>
          <w:color w:val="8A6410"/>
          <w:sz w:val="21"/>
          <w:szCs w:val="21"/>
        </w:rPr>
        <w:t xml:space="preserve">How (Part 2).  </w:t>
      </w:r>
      <w:r>
        <w:rPr>
          <w:color w:val="23291F"/>
          <w:sz w:val="21"/>
          <w:szCs w:val="21"/>
        </w:rPr>
        <w:t xml:space="preserve">Bed pressure mats and passive infra-red (PIR) motion sensors report through AWS IoT Core into Amazon Timestream for time-series storage; optional wearables add heart-rate and step data. The existing monitoring panels read these instead of seed values.</w:t>
      </w:r>
    </w:p>
    <w:p>
      <w:pPr>
        <w:spacing w:after="140" w:line="276"/>
      </w:pPr>
      <w:r>
        <w:rPr>
          <w:b/>
          <w:bCs/>
          <w:color w:val="8A6410"/>
          <w:sz w:val="21"/>
          <w:szCs w:val="21"/>
        </w:rPr>
        <w:t xml:space="preserve">Data needed.  </w:t>
      </w:r>
      <w:r>
        <w:rPr>
          <w:color w:val="23291F"/>
          <w:sz w:val="21"/>
          <w:szCs w:val="21"/>
        </w:rPr>
        <w:t xml:space="preserve">Sensor hardware per bed, an IoT ingestion pipeline, and time-series storage.</w:t>
      </w:r>
    </w:p>
    <w:p>
      <w:pPr>
        <w:spacing w:after="140" w:line="276"/>
      </w:pPr>
      <w:r>
        <w:rPr>
          <w:b/>
          <w:bCs/>
          <w:color w:val="8A6410"/>
          <w:sz w:val="21"/>
          <w:szCs w:val="21"/>
        </w:rPr>
        <w:t xml:space="preserve">Effort &amp; risk.  </w:t>
      </w:r>
      <w:r>
        <w:rPr>
          <w:color w:val="23291F"/>
          <w:sz w:val="21"/>
          <w:szCs w:val="21"/>
        </w:rPr>
        <w:t xml:space="preserve">Effort: Medium. Risk is integration and calibration across ward hardware; sensor drift and gaps must be handled gracefully.</w:t>
      </w:r>
    </w:p>
    <w:p>
      <w:pPr>
        <w:pStyle w:val="Heading2"/>
        <w:spacing w:after="90" w:before="220"/>
      </w:pPr>
      <w:r>
        <w:rPr>
          <w:rFonts w:ascii="Georgia" w:cs="Georgia" w:eastAsia="Georgia" w:hAnsi="Georgia"/>
          <w:b/>
          <w:bCs/>
          <w:color w:val="2F5D4C"/>
          <w:sz w:val="25"/>
          <w:szCs w:val="25"/>
        </w:rPr>
        <w:t xml:space="preserve">4.6  Dementia high-risk and bed-exit detection</w:t>
      </w:r>
    </w:p>
    <w:p>
      <w:pPr>
        <w:spacing w:after="140" w:line="276"/>
      </w:pPr>
      <w:r>
        <w:rPr>
          <w:b/>
          <w:bCs/>
          <w:color w:val="8A6410"/>
          <w:sz w:val="21"/>
          <w:szCs w:val="21"/>
        </w:rPr>
        <w:t xml:space="preserve">What it does.  </w:t>
      </w:r>
      <w:r>
        <w:rPr>
          <w:color w:val="23291F"/>
          <w:sz w:val="21"/>
          <w:szCs w:val="21"/>
        </w:rPr>
        <w:t xml:space="preserve">Detects when a high-risk patient (for example a dementia patient at risk of falls or wandering) leaves the bed, and raises an urgent, prioritised alert.</w:t>
      </w:r>
    </w:p>
    <w:p>
      <w:pPr>
        <w:spacing w:after="140" w:line="276"/>
      </w:pPr>
      <w:r>
        <w:rPr>
          <w:b/>
          <w:bCs/>
          <w:color w:val="8A6410"/>
          <w:sz w:val="21"/>
          <w:szCs w:val="21"/>
        </w:rPr>
        <w:t xml:space="preserve">How (Part 2).  </w:t>
      </w:r>
      <w:r>
        <w:rPr>
          <w:color w:val="23291F"/>
          <w:sz w:val="21"/>
          <w:szCs w:val="21"/>
        </w:rPr>
        <w:t xml:space="preserve">A bed pressure mat provides the primary bed-occupancy signal; computer vision on the video feed (4.3) confirms and adds context such as movement toward an exit. Events flow to Lambda and SNS, feeding the existing urgency triage and urgent-banner UI.</w:t>
      </w:r>
    </w:p>
    <w:p>
      <w:pPr>
        <w:spacing w:after="140" w:line="276"/>
      </w:pPr>
      <w:r>
        <w:rPr>
          <w:b/>
          <w:bCs/>
          <w:color w:val="8A6410"/>
          <w:sz w:val="21"/>
          <w:szCs w:val="21"/>
        </w:rPr>
        <w:t xml:space="preserve">Data needed.  </w:t>
      </w:r>
      <w:r>
        <w:rPr>
          <w:color w:val="23291F"/>
          <w:sz w:val="21"/>
          <w:szCs w:val="21"/>
        </w:rPr>
        <w:t xml:space="preserve">Bed sensors, camera coverage of at-risk rooms, and per-patient risk flags (already modelled in Part 1).</w:t>
      </w:r>
    </w:p>
    <w:p>
      <w:pPr>
        <w:spacing w:after="140" w:line="276"/>
      </w:pPr>
      <w:r>
        <w:rPr>
          <w:b/>
          <w:bCs/>
          <w:color w:val="8A6410"/>
          <w:sz w:val="21"/>
          <w:szCs w:val="21"/>
        </w:rPr>
        <w:t xml:space="preserve">Effort &amp; risk.  </w:t>
      </w:r>
      <w:r>
        <w:rPr>
          <w:color w:val="23291F"/>
          <w:sz w:val="21"/>
          <w:szCs w:val="21"/>
        </w:rPr>
        <w:t xml:space="preserve">Effort: High. The main risks are false alarms — which erode staff trust — and consent for continuous monitoring of vulnerable patients, which must involve next-of-kin.</w:t>
      </w:r>
    </w:p>
    <w:p>
      <w:pPr>
        <w:pStyle w:val="Heading2"/>
        <w:spacing w:after="90" w:before="220"/>
      </w:pPr>
      <w:r>
        <w:rPr>
          <w:rFonts w:ascii="Georgia" w:cs="Georgia" w:eastAsia="Georgia" w:hAnsi="Georgia"/>
          <w:b/>
          <w:bCs/>
          <w:color w:val="2F5D4C"/>
          <w:sz w:val="25"/>
          <w:szCs w:val="25"/>
        </w:rPr>
        <w:t xml:space="preserve">4.7  Assistance urgency and triage (ML upgrade)</w:t>
      </w:r>
    </w:p>
    <w:p>
      <w:pPr>
        <w:spacing w:after="140" w:line="276"/>
      </w:pPr>
      <w:r>
        <w:rPr>
          <w:b/>
          <w:bCs/>
          <w:color w:val="8A6410"/>
          <w:sz w:val="21"/>
          <w:szCs w:val="21"/>
        </w:rPr>
        <w:t xml:space="preserve">What it does.  </w:t>
      </w:r>
      <w:r>
        <w:rPr>
          <w:color w:val="23291F"/>
          <w:sz w:val="21"/>
          <w:szCs w:val="21"/>
        </w:rPr>
        <w:t xml:space="preserve">Ranks who needs help and how urgently. Part 1 already does this with transparent rules; Part 2 can learn the weighting from outcomes.</w:t>
      </w:r>
    </w:p>
    <w:p>
      <w:pPr>
        <w:spacing w:after="140" w:line="276"/>
      </w:pPr>
      <w:r>
        <w:rPr>
          <w:b/>
          <w:bCs/>
          <w:color w:val="8A6410"/>
          <w:sz w:val="21"/>
          <w:szCs w:val="21"/>
        </w:rPr>
        <w:t xml:space="preserve">How (Part 2).  </w:t>
      </w:r>
      <w:r>
        <w:rPr>
          <w:color w:val="23291F"/>
          <w:sz w:val="21"/>
          <w:szCs w:val="21"/>
        </w:rPr>
        <w:t xml:space="preserve">A supervised ranking model in SageMaker trained on historical signals and the interventions that followed, replacing the fixed rule weights while keeping the reason list visible so clinicians understand each score.</w:t>
      </w:r>
    </w:p>
    <w:p>
      <w:pPr>
        <w:spacing w:after="140" w:line="276"/>
      </w:pPr>
      <w:r>
        <w:rPr>
          <w:b/>
          <w:bCs/>
          <w:color w:val="8A6410"/>
          <w:sz w:val="21"/>
          <w:szCs w:val="21"/>
        </w:rPr>
        <w:t xml:space="preserve">Data needed.  </w:t>
      </w:r>
      <w:r>
        <w:rPr>
          <w:color w:val="23291F"/>
          <w:sz w:val="21"/>
          <w:szCs w:val="21"/>
        </w:rPr>
        <w:t xml:space="preserve">Labelled outcome data (which alerts led to genuine intervention) accumulated during Part 1-style operation.</w:t>
      </w:r>
    </w:p>
    <w:p>
      <w:pPr>
        <w:spacing w:after="140" w:line="276"/>
      </w:pPr>
      <w:r>
        <w:rPr>
          <w:b/>
          <w:bCs/>
          <w:color w:val="8A6410"/>
          <w:sz w:val="21"/>
          <w:szCs w:val="21"/>
        </w:rPr>
        <w:t xml:space="preserve">Effort &amp; risk.  </w:t>
      </w:r>
      <w:r>
        <w:rPr>
          <w:color w:val="23291F"/>
          <w:sz w:val="21"/>
          <w:szCs w:val="21"/>
        </w:rPr>
        <w:t xml:space="preserve">Effort: Medium. Risk is loss of explainability; the model must keep surfacing why a patient is flagged, not just a number.</w:t>
      </w:r>
    </w:p>
    <w:p>
      <w:pPr>
        <w:pStyle w:val="Heading2"/>
        <w:spacing w:after="90" w:before="220"/>
      </w:pPr>
      <w:r>
        <w:rPr>
          <w:rFonts w:ascii="Georgia" w:cs="Georgia" w:eastAsia="Georgia" w:hAnsi="Georgia"/>
          <w:b/>
          <w:bCs/>
          <w:color w:val="2F5D4C"/>
          <w:sz w:val="25"/>
          <w:szCs w:val="25"/>
        </w:rPr>
        <w:t xml:space="preserve">4.8  Medication response analytics</w:t>
      </w:r>
    </w:p>
    <w:p>
      <w:pPr>
        <w:spacing w:after="140" w:line="276"/>
      </w:pPr>
      <w:r>
        <w:rPr>
          <w:b/>
          <w:bCs/>
          <w:color w:val="8A6410"/>
          <w:sz w:val="21"/>
          <w:szCs w:val="21"/>
        </w:rPr>
        <w:t xml:space="preserve">What it does.  </w:t>
      </w:r>
      <w:r>
        <w:rPr>
          <w:color w:val="23291F"/>
          <w:sz w:val="21"/>
          <w:szCs w:val="21"/>
        </w:rPr>
        <w:t xml:space="preserve">Shows whether a medication is helping by comparing wellbeing before and after it starts — extending the current before/after mood averages.</w:t>
      </w:r>
    </w:p>
    <w:p>
      <w:pPr>
        <w:spacing w:after="140" w:line="276"/>
      </w:pPr>
      <w:r>
        <w:rPr>
          <w:b/>
          <w:bCs/>
          <w:color w:val="8A6410"/>
          <w:sz w:val="21"/>
          <w:szCs w:val="21"/>
        </w:rPr>
        <w:t xml:space="preserve">How (Part 2).  </w:t>
      </w:r>
      <w:r>
        <w:rPr>
          <w:color w:val="23291F"/>
          <w:sz w:val="21"/>
          <w:szCs w:val="21"/>
        </w:rPr>
        <w:t xml:space="preserve">With medications, doses and timing stored in RDS alongside check-ins and emotion data, Part 2 correlates response over proper windows and can compare against cohort norms.</w:t>
      </w:r>
    </w:p>
    <w:p>
      <w:pPr>
        <w:spacing w:after="140" w:line="276"/>
      </w:pPr>
      <w:r>
        <w:rPr>
          <w:b/>
          <w:bCs/>
          <w:color w:val="8A6410"/>
          <w:sz w:val="21"/>
          <w:szCs w:val="21"/>
        </w:rPr>
        <w:t xml:space="preserve">Data needed.  </w:t>
      </w:r>
      <w:r>
        <w:rPr>
          <w:color w:val="23291F"/>
          <w:sz w:val="21"/>
          <w:szCs w:val="21"/>
        </w:rPr>
        <w:t xml:space="preserve">Structured medication records (name, dose, start/stop dates) linked to each patient.</w:t>
      </w:r>
    </w:p>
    <w:p>
      <w:pPr>
        <w:spacing w:after="140" w:line="276"/>
      </w:pPr>
      <w:r>
        <w:rPr>
          <w:b/>
          <w:bCs/>
          <w:color w:val="8A6410"/>
          <w:sz w:val="21"/>
          <w:szCs w:val="21"/>
        </w:rPr>
        <w:t xml:space="preserve">Effort &amp; risk.  </w:t>
      </w:r>
      <w:r>
        <w:rPr>
          <w:color w:val="23291F"/>
          <w:sz w:val="21"/>
          <w:szCs w:val="21"/>
        </w:rPr>
        <w:t xml:space="preserve">Effort: Low. Risk is confounding — improvement may not be caused by the drug — so results are framed as observations, not clinical conclusions.</w:t>
      </w:r>
    </w:p>
    <w:p>
      <w:pPr>
        <w:pStyle w:val="Heading1"/>
        <w:spacing w:after="120" w:before="280"/>
      </w:pPr>
      <w:r>
        <w:rPr>
          <w:rFonts w:ascii="Georgia" w:cs="Georgia" w:eastAsia="Georgia" w:hAnsi="Georgia"/>
          <w:b/>
          <w:bCs/>
          <w:color w:val="21463A"/>
          <w:sz w:val="30"/>
          <w:szCs w:val="30"/>
        </w:rPr>
        <w:t xml:space="preserve">5.  Cross-cutting concerns</w:t>
      </w:r>
    </w:p>
    <w:p>
      <w:pPr>
        <w:spacing w:after="140" w:line="276"/>
      </w:pPr>
      <w:r>
        <w:rPr>
          <w:b/>
          <w:bCs/>
          <w:color w:val="8A6410"/>
          <w:sz w:val="21"/>
          <w:szCs w:val="21"/>
        </w:rPr>
        <w:t xml:space="preserve">Privacy &amp; consent.  </w:t>
      </w:r>
      <w:r>
        <w:rPr>
          <w:color w:val="23291F"/>
          <w:sz w:val="21"/>
          <w:szCs w:val="21"/>
        </w:rPr>
        <w:t xml:space="preserve">Facial images, video and continuous sensor data are sensitive personal data under Singapore's PDPA. The build must apply data minimisation, explicit and revocable consent (including next-of-kin consent for patients who cannot give it), clear retention limits, and encryption at rest and in transit via AWS KMS. Continuous video of vulnerable patients needs the strongest justification and should be opt-in per patient.</w:t>
      </w:r>
    </w:p>
    <w:p>
      <w:pPr>
        <w:spacing w:after="140" w:line="276"/>
      </w:pPr>
      <w:r>
        <w:rPr>
          <w:b/>
          <w:bCs/>
          <w:color w:val="8A6410"/>
          <w:sz w:val="21"/>
          <w:szCs w:val="21"/>
        </w:rPr>
        <w:t xml:space="preserve">Clinical validation &amp; safety.  </w:t>
      </w:r>
      <w:r>
        <w:rPr>
          <w:color w:val="23291F"/>
          <w:sz w:val="21"/>
          <w:szCs w:val="21"/>
        </w:rPr>
        <w:t xml:space="preserve">Any model that influences care — pain, urgency, prediction, bed-exit — must be validated against clinician judgement before it is relied upon, with a clear boundary that the system supports rather than replaces staff decisions.</w:t>
      </w:r>
    </w:p>
    <w:p>
      <w:pPr>
        <w:spacing w:after="140" w:line="276"/>
      </w:pPr>
      <w:r>
        <w:rPr>
          <w:b/>
          <w:bCs/>
          <w:color w:val="8A6410"/>
          <w:sz w:val="21"/>
          <w:szCs w:val="21"/>
        </w:rPr>
        <w:t xml:space="preserve">Security &amp; access.  </w:t>
      </w:r>
      <w:r>
        <w:rPr>
          <w:color w:val="23291F"/>
          <w:sz w:val="21"/>
          <w:szCs w:val="21"/>
        </w:rPr>
        <w:t xml:space="preserve">Role-based access through Cognito groups and IAM, audit logging of who viewed what, and least-privilege Lambda permissions, extending the role model already in the prototype.</w:t>
      </w:r>
    </w:p>
    <w:p>
      <w:pPr>
        <w:spacing w:after="140" w:line="276"/>
      </w:pPr>
      <w:r>
        <w:rPr>
          <w:b/>
          <w:bCs/>
          <w:color w:val="8A6410"/>
          <w:sz w:val="21"/>
          <w:szCs w:val="21"/>
        </w:rPr>
        <w:t xml:space="preserve">Accessibility.  </w:t>
      </w:r>
      <w:r>
        <w:rPr>
          <w:color w:val="23291F"/>
          <w:sz w:val="21"/>
          <w:szCs w:val="21"/>
        </w:rPr>
        <w:t xml:space="preserve">Urgent alerts must not use rapid flashing; the Part 1 urgent banner already uses a slow (~0.5 Hz) pulse that respects reduced-motion settings, well within photosensitivity guidelines. This standard carries into Part 2.</w:t>
      </w:r>
    </w:p>
    <w:p>
      <w:pPr>
        <w:spacing w:after="140" w:line="276"/>
      </w:pPr>
      <w:r>
        <w:rPr>
          <w:b/>
          <w:bCs/>
          <w:color w:val="8A6410"/>
          <w:sz w:val="21"/>
          <w:szCs w:val="21"/>
        </w:rPr>
        <w:t xml:space="preserve">Cost.  </w:t>
      </w:r>
      <w:r>
        <w:rPr>
          <w:color w:val="23291F"/>
          <w:sz w:val="21"/>
          <w:szCs w:val="21"/>
        </w:rPr>
        <w:t xml:space="preserve">Streaming video and always-on inference are the dominant cost drivers. Batch or event-triggered analysis (analyse on check-in or on a sensor trigger, not continuously) keeps Part 2 affordable and should be preferred unless continuous analysis is clinically justified.</w:t>
      </w:r>
    </w:p>
    <w:p>
      <w:pPr>
        <w:pStyle w:val="Heading1"/>
        <w:spacing w:after="120" w:before="280"/>
      </w:pPr>
      <w:r>
        <w:rPr>
          <w:rFonts w:ascii="Georgia" w:cs="Georgia" w:eastAsia="Georgia" w:hAnsi="Georgia"/>
          <w:b/>
          <w:bCs/>
          <w:color w:val="21463A"/>
          <w:sz w:val="30"/>
          <w:szCs w:val="30"/>
        </w:rPr>
        <w:t xml:space="preserve">6.  Suggested phasing</w:t>
      </w:r>
    </w:p>
    <w:p>
      <w:pPr>
        <w:spacing w:after="140" w:line="276"/>
      </w:pPr>
      <w:r>
        <w:rPr>
          <w:b/>
          <w:bCs/>
          <w:color w:val="8A6410"/>
          <w:sz w:val="21"/>
          <w:szCs w:val="21"/>
        </w:rPr>
        <w:t xml:space="preserve">Phase 2A — Foundations.  </w:t>
      </w:r>
      <w:r>
        <w:rPr>
          <w:color w:val="23291F"/>
          <w:sz w:val="21"/>
          <w:szCs w:val="21"/>
        </w:rPr>
        <w:t xml:space="preserve">Stand up the real backend (Cognito, API Gateway, Lambda, RDS, S3); enable real Rekognition emotion and landmark data and Comprehend sentiment; store history; ship the SageMaker mood-prediction model. Lowest risk, highest immediate value.</w:t>
      </w:r>
    </w:p>
    <w:p>
      <w:pPr>
        <w:spacing w:after="140" w:line="276"/>
      </w:pPr>
      <w:r>
        <w:rPr>
          <w:b/>
          <w:bCs/>
          <w:color w:val="8A6410"/>
          <w:sz w:val="21"/>
          <w:szCs w:val="21"/>
        </w:rPr>
        <w:t xml:space="preserve">Phase 2B — Sensing.  </w:t>
      </w:r>
      <w:r>
        <w:rPr>
          <w:color w:val="23291F"/>
          <w:sz w:val="21"/>
          <w:szCs w:val="21"/>
        </w:rPr>
        <w:t xml:space="preserve">Add bed and motion sensors through IoT Core and Timestream for real sleep, movement and day/night data; deliver bed-exit detection and the ML urgency model. Introduces hardware and integration.</w:t>
      </w:r>
    </w:p>
    <w:p>
      <w:pPr>
        <w:spacing w:after="140" w:line="276"/>
      </w:pPr>
      <w:r>
        <w:rPr>
          <w:b/>
          <w:bCs/>
          <w:color w:val="8A6410"/>
          <w:sz w:val="21"/>
          <w:szCs w:val="21"/>
        </w:rPr>
        <w:t xml:space="preserve">Phase 2C — Advanced vision.  </w:t>
      </w:r>
      <w:r>
        <w:rPr>
          <w:color w:val="23291F"/>
          <w:sz w:val="21"/>
          <w:szCs w:val="21"/>
        </w:rPr>
        <w:t xml:space="preserve">Introduce streaming video with Kinesis Video Streams and Rekognition Video, and the custom pain-detection model. Highest cost, privacy and validation burden, so deliberately last.</w:t>
      </w:r>
    </w:p>
    <w:p>
      <w:pPr>
        <w:spacing w:after="140" w:line="276"/>
      </w:pPr>
      <w:r>
        <w:rPr>
          <w:i/>
          <w:iCs/>
          <w:color w:val="6F6A5C"/>
          <w:sz w:val="19"/>
          <w:szCs w:val="19"/>
        </w:rPr>
        <w:t xml:space="preserve">Prepared as a planning document for the CAI2C09 project. Effort and risk ratings are indicative and should be confirmed against ward requirements, available hardware and ethics approval before implementation.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F6A5C"/>
        <w:sz w:val="16"/>
        <w:szCs w:val="16"/>
      </w:rPr>
      <w:t xml:space="preserve">NoFaceNoCase · Part 2 Roadmap · </w:t>
    </w:r>
    <w:r>
      <w:rPr>
        <w:color w:val="6F6A5C"/>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91F"/>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NoFaceNoCase — Part 2 Feature Roadmap</dc:title>
  <dc:creator>Syed Ghazi</dc:creator>
  <cp:lastModifiedBy>Un-named</cp:lastModifiedBy>
  <cp:revision>1</cp:revision>
  <dcterms:created xsi:type="dcterms:W3CDTF">2026-07-15T07:42:10.662Z</dcterms:created>
  <dcterms:modified xsi:type="dcterms:W3CDTF">2026-07-15T07:42:10.664Z</dcterms:modified>
</cp:coreProperties>
</file>

<file path=docProps/custom.xml><?xml version="1.0" encoding="utf-8"?>
<Properties xmlns="http://schemas.openxmlformats.org/officeDocument/2006/custom-properties" xmlns:vt="http://schemas.openxmlformats.org/officeDocument/2006/docPropsVTypes"/>
</file>