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NOVEL PARADIGMS FOR DRUG DISCOVERY: COMPUTATIONAL MULTITARGET SCREENING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Novel Paradigms For Drug Discovery: Computational Multitarget Screening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Omics data integration and analysis for structure-based multi-target drug design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MegaTrans – human transporter machine learning models</w:t>
            </w:r>
          </w:p>
        </w:tc>
        <w:tc>
          <w:tcPr>
            <w:tcW w:type="dxa" w:w="1728"/>
          </w:tcPr>
          <w:p>
            <w:r>
              <w:t>COLLABORATIONS PHARMACEUTICALS,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iFACS: Imaging Florescence Activated Cell Sorter to sort cells based on images</w:t>
            </w:r>
          </w:p>
        </w:tc>
        <w:tc>
          <w:tcPr>
            <w:tcW w:type="dxa" w:w="1728"/>
          </w:tcPr>
          <w:p>
            <w:r>
              <w:t>NANOCELLECT BIOMEDICAL,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High throughput cell screening for toxic metal exposure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Turning a sequence barcode into a spectral barcode for single-cell analysis.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Efficient patient-specific cell generation by image-guidance</w:t>
            </w:r>
          </w:p>
        </w:tc>
        <w:tc>
          <w:tcPr>
            <w:tcW w:type="dxa" w:w="1728"/>
          </w:tcPr>
          <w:p>
            <w:r>
              <w:t>DRVISION TECHNOLOGIES,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Targeting Senescence for Biomarkers and Therapeutics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Integrated Discovery Pipeline for Tumor Neoantigens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Periodontal Disease and the Incidence of Oral Cancer</w:t>
            </w:r>
          </w:p>
        </w:tc>
        <w:tc>
          <w:tcPr>
            <w:tcW w:type="dxa" w:w="1728"/>
          </w:tcPr>
          <w:p>
            <w:r>
              <w:t>ROSWELL PARK CANCER INSTITUTE CORP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MICRORNA BIOMARKERS FOR CERVICAL CANCER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 Studies of Protein Structure and Function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Building motif lexicons</w:t>
            </w:r>
          </w:p>
        </w:tc>
        <w:tc>
          <w:tcPr>
            <w:tcW w:type="dxa" w:w="1728"/>
          </w:tcPr>
          <w:p>
            <w:r>
              <w:t>UNIVERSITY OF NEVADA LAS VEGAS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  <w:tr>
        <w:tc>
          <w:tcPr>
            <w:tcW w:type="dxa" w:w="1728"/>
          </w:tcPr>
          <w:p>
            <w:r>
              <w:t>Data-driven analysis of protein structure, function, and regulation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Mouse Model Neuro-Facial Dysmorphology: Tanslational and Treatment Studies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Maternal circulating miRNA function in Fetal Alcohol Spectrum Disorders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Developing, Validating, and Implementing a CKD Predictive Model (DELVECKD)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Communicating narrative Concerns entered by RNs (CONCERN)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Data-Mining Clinical Decision Support from Electronic Health Records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Automated Detection of Medical Errors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K22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Adaptation and pilot implementation of a validated, electronic real time clinical decision support tool for care of Pneumonia patients in 12 Utah Urgent Care Centers</w:t>
            </w:r>
          </w:p>
        </w:tc>
        <w:tc>
          <w:tcPr>
            <w:tcW w:type="dxa" w:w="1728"/>
          </w:tcPr>
          <w:p>
            <w:r>
              <w:t>IHC HEALTH SERVICES, INC.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Learning an Optimized Variational Network for Medical Image Reconstruction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Probing Dose Limits in Cardiac SPECT with Reconstruction and Personalized Imaging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IEEE Medical Imaging Conference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Adaptive Large-Scale Framework for Automatic Biomedical Image Segmentation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NESTED CASE CONTROL STUDY OF MAMMOGRAPHIC DENSITY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Migraine, Migraine Medication Use, and Risk of Breast Cancer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EPIDEMIOLOGY OF MOLECULAR RISK FACTORS FOR BREAST CANCER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Robust Predictors of Mania and Psychosis</w:t>
            </w:r>
          </w:p>
        </w:tc>
        <w:tc>
          <w:tcPr>
            <w:tcW w:type="dxa" w:w="1728"/>
          </w:tcPr>
          <w:p>
            <w:r>
              <w:t>MCLEAN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Leveraging Social Media Data and Machine Learning to Optimize Treatment Paradigms for Youth with Schizophrenia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A Common Framework for "Big Data" Mental Health Research on Twitter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ASTHMA DISPARITIES: PERCEPTIONS AND MANAGEMENT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DISPARITIES IN ASTHMA AMONG ELDERLY IN WEST TEXAS</w:t>
            </w:r>
          </w:p>
        </w:tc>
        <w:tc>
          <w:tcPr>
            <w:tcW w:type="dxa" w:w="1728"/>
          </w:tcPr>
          <w:p>
            <w:r>
              <w:t>TEXAS TECH UNIVERSITY HEALTH SCIS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EMR Phenotype and Community Engaged Genomic Associations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International Cohort Collection for Bipolar Disorder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DNA Methylation and gene expression variations influence pituitary adenoma hormonal function and invasive growth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Revealing the transcriptomic basis of neuronal identity through functional meta-analysis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Massively parallel dissection of psychiatric regulatory networks</w:t>
            </w:r>
          </w:p>
        </w:tc>
        <w:tc>
          <w:tcPr>
            <w:tcW w:type="dxa" w:w="1728"/>
          </w:tcPr>
          <w:p>
            <w:r>
              <w:t>J. DAVID GLADSTONE INSTITUTES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Learning the rules of enhancer activity to understand non-coding genetic variation in autoimmune disease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The adaptive potential of translational regulation</w:t>
            </w:r>
          </w:p>
        </w:tc>
        <w:tc>
          <w:tcPr>
            <w:tcW w:type="dxa" w:w="1728"/>
          </w:tcPr>
          <w:p>
            <w:r>
              <w:t>NEW YORK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the Microbiome in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Optical Body Composition and Health Assessment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Photoplethysmography Analysis to Assess Cardio-Cerebrovascular Impact of Sleep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0.0093</w:t>
            </w:r>
          </w:p>
        </w:tc>
      </w:tr>
      <w:tr>
        <w:tc>
          <w:tcPr>
            <w:tcW w:type="dxa" w:w="1728"/>
          </w:tcPr>
          <w:p>
            <w:r>
              <w:t>Circadian Lipidomics in Constant Routine, Forced Desynchrony, and Non-lab Setting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0.0092</w:t>
            </w:r>
          </w:p>
        </w:tc>
      </w:tr>
      <w:tr>
        <w:tc>
          <w:tcPr>
            <w:tcW w:type="dxa" w:w="1728"/>
          </w:tcPr>
          <w:p>
            <w:r>
              <w:t>The CRIT-ICU Biomarker Panel for Stratification of Mortality Risk in ARDS Patients</w:t>
            </w:r>
          </w:p>
        </w:tc>
        <w:tc>
          <w:tcPr>
            <w:tcW w:type="dxa" w:w="1728"/>
          </w:tcPr>
          <w:p>
            <w:r>
              <w:t>AQUALUNG THERAPEUTICS CORP.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0.0091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Mammography Visits to Improve Colon Cancer Screening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Reducing disparities in colorectal cancer screening in Vietnamese Americans</w:t>
            </w:r>
          </w:p>
        </w:tc>
        <w:tc>
          <w:tcPr>
            <w:tcW w:type="dxa" w:w="1728"/>
          </w:tcPr>
          <w:p>
            <w:r>
              <w:t>CANCER PREVENTION INSTIT OF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Increasing CRC Screening in Primary Care Settings</w:t>
            </w:r>
          </w:p>
        </w:tc>
        <w:tc>
          <w:tcPr>
            <w:tcW w:type="dxa" w:w="1728"/>
          </w:tcPr>
          <w:p>
            <w:r>
              <w:t>UNIVERSITY OF ILLINOIS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Amercians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Americans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Cross-frequency coupling: its role in brain function and dysfunction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Bayesian Methods for Localizing Dynamic Brain Activity and Epileptogenic Zones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Neural mechanisms of attentional priority for visual features and objects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Analysis of Nonstationary Point Process Data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Massively Parallel Brain Imaging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Effectiveness of Treating Prenatal Depression to Reduce Postpartum Depression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Common and specific risk factors for emotional disorders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Common and Specific Risk Factors for Emotional Disorders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Predicting Internet-Based Treatment Response for Major Depressive Disorder</w:t>
            </w:r>
          </w:p>
        </w:tc>
        <w:tc>
          <w:tcPr>
            <w:tcW w:type="dxa" w:w="1728"/>
          </w:tcPr>
          <w:p>
            <w:r>
              <w:t>MCLEAN HOSPITAL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Neurophenotypic Trajectories and Behavioral Outcomes in Autism Spectrum Disorder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Evaluating Plasma and Urine Porphyrins as Biomarkers of ASD</w:t>
            </w:r>
          </w:p>
        </w:tc>
        <w:tc>
          <w:tcPr>
            <w:tcW w:type="dxa" w:w="1728"/>
          </w:tcPr>
          <w:p>
            <w:r>
              <w:t>BATTELLE CENTERS/PUB HLTH RES &amp; EVALUATN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 Aided Diagnosis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COMPUTER AIDED DIAGNOSIS IN CHEST RADIOGRAPHY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COMPUTERIZED DETECTION OF PULMONARY NODULES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The Gut Microbiome in Parkinson Disease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Metabolomics and risk of Parkinson's Disease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HIV Testing, Linkage and Retention in Care: Contextual Factors and Disparities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Computational methods for regional hippocampal morphometry in AD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Mentoring in Immunometabolic Dysregulation in TB and TB/HIV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Precision immunoprofiling to reveal diagnostic biomarkers of latent TB infection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Signature of profiling and staging the progression of TB from infection to disease.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Mechanistic Characterization of Pain in Temporomandibular Disorders: Does Pain Centralization Influence Responsiveness to Peripherally Targeted Treatments?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deep neural network to measure spontaneous pain from mouse facial expressions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Genomic and Phenomic Architecture of Heart Failure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Early Detection of Heart Failure via the Electronic Health Record in Primary Care</w:t>
            </w:r>
          </w:p>
        </w:tc>
        <w:tc>
          <w:tcPr>
            <w:tcW w:type="dxa" w:w="1728"/>
          </w:tcPr>
          <w:p>
            <w:r>
              <w:t>CALIFORNIA PACIFIC MED CTR RES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Early Diagnosis of Heart Failure: A Perioperative Data-Driven Approach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A multifaceted adaptive mobile application to promote self-management and improve outcomes in heart failure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Vitamin D, Epstein-Barr virus infection, and cigarette smoking and risk of multip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Novel Strategies to Identify GxE Contributions to MS Pathogenesis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Modifiable Risk Factors for Fatal Prostate Cancer: A Prospective Study In Asia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