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Vaccine Development for Falciparum Malaria in Pregnant Women and Their Offspring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Mathematical Techniques for Control of Epidemic Trypanosoma cruzi Transmission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Genetic Epidemiology of ADHD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Comprehensive Colorectal Cancer Risk Prediction to Inform Personalized Screening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Amercians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Mammography Visits to Improve Colon Cancer Screening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NESTED CASE CONTROL STUDY OF MAMMOGRAPHIC DENSITY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Computer-Aided Detection of Pulmonary Embolism on CT Pulmonary Angiography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Understanding molecular rules governing protein allostery by deep mutational scanning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Quantifying molecular consequences of human missense variants with large-scale interactome perturbation studies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Evaluating Plasma and Urine Porphyrins as Biomarkers of ASD</w:t>
            </w:r>
          </w:p>
        </w:tc>
        <w:tc>
          <w:tcPr>
            <w:tcW w:type="dxa" w:w="1728"/>
          </w:tcPr>
          <w:p>
            <w:r>
              <w:t>BATTELLE CENTERS/PUB HLTH RES &amp; EVALUATN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Neurophenotypic Trajectories and Behavioral Outcomes in Autism Spectrum Disorder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Computational methods for regional hippocampal morphometry in AD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Data-Mining Clinical Decision Support from Electronic Health Records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Deep Learning and Streaming Analytics for Prediction of Adverse Events in the ICU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Machine Learning Clinical Order Recommendations for Specialty Consultation Care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Objective Evaluation of Variation in Sepsis Incidence, Mortality, and Care</w:t>
            </w:r>
          </w:p>
        </w:tc>
        <w:tc>
          <w:tcPr>
            <w:tcW w:type="dxa" w:w="1728"/>
          </w:tcPr>
          <w:p>
            <w:r>
              <w:t>HARVARD PILGRIM HEALTH CARE, INC.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Mining Social Network Postings for Mentions of Potential Adverse Drug Reactions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Social Media Mining for Pharmacovigilance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Data Mining Electronic Health Records for Drug Adverse Events</w:t>
            </w:r>
          </w:p>
        </w:tc>
        <w:tc>
          <w:tcPr>
            <w:tcW w:type="dxa" w:w="1728"/>
          </w:tcPr>
          <w:p>
            <w:r>
              <w:t>HARVARD PILGRIM HEALTH CARE, INC.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Using Biomedical Knowledge to Identify Plausible Signals for Pharmacovigilance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 NOVEL DEEP LEARNING AND COMBINATORIAL OPTIMIZATION METHODS TO IDENTIFY KEY DISEASE REGULATORY ELEMENTS FOR SINGLE-CELL DATA</w:t>
            </w:r>
          </w:p>
        </w:tc>
        <w:tc>
          <w:tcPr>
            <w:tcW w:type="dxa" w:w="1728"/>
          </w:tcPr>
          <w:p>
            <w:r>
              <w:t>UNIVERSITY OF ARKANSAS AT LITTLE ROCK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Transformative Computational Infrastructures for Cell-Based Biomarker Diagnostics</w:t>
            </w:r>
          </w:p>
        </w:tc>
        <w:tc>
          <w:tcPr>
            <w:tcW w:type="dxa" w:w="1728"/>
          </w:tcPr>
          <w:p>
            <w:r>
              <w:t>J. CRAIG VENTER INSTITUTE,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Computational methods for the analysis of RNA-Seq data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Genetic Dissection of Cortical Parvalbumin Interneuron Subtypes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Cell line identification with DNA replication timing fingerprints</w:t>
            </w:r>
          </w:p>
        </w:tc>
        <w:tc>
          <w:tcPr>
            <w:tcW w:type="dxa" w:w="1728"/>
          </w:tcPr>
          <w:p>
            <w:r>
              <w:t>INSILICOM,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The benefits and harms of lung cancer screening in Florida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Machine Learning Platform for Adaptive Chemical Screening</w:t>
            </w:r>
          </w:p>
        </w:tc>
        <w:tc>
          <w:tcPr>
            <w:tcW w:type="dxa" w:w="1728"/>
          </w:tcPr>
          <w:p>
            <w:r>
              <w:t>MORGRIDGE INSTITUTE FOR RESEARCH,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NOVEL PARADIGMS FOR DRUG DISCOVERY: COMPUTATIONAL MULTITARGET SCREENING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Novel Paradigms For Drug Discovery: Computational Multitarget Screening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Development of a Biocatalytic Platform for Convergent Synthesis of Chiral Amines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Novel deep learning strategy to better predict pharmacological properties of candidate drugs and focus discovery efforts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Prediction of Medical Responsiveness and Clinical Outcomes in Crohn's Disease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Multidimensional MRI-based Non-Euclidean Deep Learning to Study Osteoarthritis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Advanced MR Imaging and Image Analytics as a Precision Medicine Tool to Manage ADPKD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RetiVue DR, a point and shoot, non-mydriatic, widefield retinal camera for diabetic eye screening</w:t>
            </w:r>
          </w:p>
        </w:tc>
        <w:tc>
          <w:tcPr>
            <w:tcW w:type="dxa" w:w="1728"/>
          </w:tcPr>
          <w:p>
            <w:r>
              <w:t>RETIVUE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Multidimensional MRI-based Big Data Analytics to Study Osteoarthritis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Cross-frequency coupling: its role in brain function and dysfunction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Bayesian Methods for Localizing Dynamic Brain Activity and Epileptogenic Zones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Analysis of Nonstationary Point Process Data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Fusion of Electromagnetic Brain Imaging and fMRI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Nonparametric Bayes Methods for Big Data in Neuroscience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Artificial Intelligence for the assessment of severity of depressive symptoms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AUTOMATED METHODS TO SUPPORT THE DETECTION OF DEPRESSION IN DEMENTIA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MoodRing: A multi-stakeholder platform to monitor and manage adolescents' depression in primary care with passive mobile sensing.</w:t>
            </w:r>
          </w:p>
        </w:tc>
        <w:tc>
          <w:tcPr>
            <w:tcW w:type="dxa" w:w="1728"/>
          </w:tcPr>
          <w:p>
            <w:r>
              <w:t>NURELM E-BUSINESS SOFTWARE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Testing Scalable, Single-Session Interventions for Adolescent Depression in the context of COVID-19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large-scale national data to understand, reduce, and prevent benzodiazepine-related harms among older adults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Preventing Future Falls among Older Adults Presenting to the Emergency Department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Older Adults &amp; Drug Decisions: Collaboration &amp; Outcomes</w:t>
            </w:r>
          </w:p>
        </w:tc>
        <w:tc>
          <w:tcPr>
            <w:tcW w:type="dxa" w:w="1728"/>
          </w:tcPr>
          <w:p>
            <w:r>
              <w:t>UNIVERSITY OF WISCONSIN 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Changes in Multimorbidity and Disability Among Race/Ethnic Older Adults (AD/ADRD-Focused 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Polypharmacy, Potentially Inappropriate Medications, and Adverse Outcomes in Older Adults with Advanced Cancer Receiving Chemotherapy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Peptide Biomarker Discovery by Mass Spectrometry for Early Detection of Liver Can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Tough Talks: A Disclosure Intervention for HIV+ YMSM</w:t>
            </w:r>
          </w:p>
        </w:tc>
        <w:tc>
          <w:tcPr>
            <w:tcW w:type="dxa" w:w="1728"/>
          </w:tcPr>
          <w:p>
            <w:r>
              <w:t>VIRTUALLY BETTER,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Development and Dissemination of KiNet: A Novel Imaging Informatics Tool for Gastrointestinal and Pancreatic Neuroendocrine Tumors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Identification of fetal alcohol-affected children: Alterations in imprinted gene expression and methylation as biomarkers of neurobehavioral and growth impairment.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COMMUNITY INTERVENTION TO INCREASE MAMMOGRAPHY SCREENING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Bacterial Vaginosis and Spontaneous Abortion</w:t>
            </w:r>
          </w:p>
        </w:tc>
        <w:tc>
          <w:tcPr>
            <w:tcW w:type="dxa" w:w="1728"/>
          </w:tcPr>
          <w:p>
            <w:r>
              <w:t>TEMPLE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AUTOMATED TELE COUNSELING FOR SCREENING MAMMOGRAPHY</w:t>
            </w:r>
          </w:p>
        </w:tc>
        <w:tc>
          <w:tcPr>
            <w:tcW w:type="dxa" w:w="1728"/>
          </w:tcPr>
          <w:p>
            <w:r>
              <w:t>BOSTON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Common and Specific Risk Factors for Emotional Disorders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Common and specific risk factors for emotional disorders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Environmental Risk Factors and Canine Malignant Lymphoma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Epidemiology of Stress and GDM among Latina Women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Antecedent Medical Conditions and Medications: Associations with the Risk and Prognosis ALS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Creating a Myelomeningocele Exome Variant Map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From GWAS to PheWAS: Scanning the EMR Phenome for Gene-disease Associations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