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Characterizing mechanistic heterogeneity across ADHD and Autism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Impact of Multisensory Function on Symptomatology in Young Children with 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Neural Mechanisms and Developmental Trajectories of ASD and ADHD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Neuronal Correlates of Autistic Traits in ADHD and Autism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Software Platform for Sensor-based Movement Disorder Recognition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AI2AMP-PD: Accelerating Parkinsons Diagnosis using Multi-omics and Artificial Intelligence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An integrated electrical impedance myography platform for neuromuscular disease classification and diagnosis</w:t>
            </w:r>
          </w:p>
        </w:tc>
        <w:tc>
          <w:tcPr>
            <w:tcW w:type="dxa" w:w="1728"/>
          </w:tcPr>
          <w:p>
            <w:r>
              <w:t>MYOLEX,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Scalable Learning with Ensemble Techniques and Parallel Computing</w:t>
            </w:r>
          </w:p>
        </w:tc>
        <w:tc>
          <w:tcPr>
            <w:tcW w:type="dxa" w:w="1728"/>
          </w:tcPr>
          <w:p>
            <w:r>
              <w:t>INSILICOS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Model of Palliative and Primary Care in Seriously Ill Older Adults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IMPROVING OUTCOMES IN MECHANICALLY VENTILATED PATIENTS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Medication Intervention in Transitional Care to Optimize CKD Outcomes &amp; Costs</w:t>
            </w:r>
          </w:p>
        </w:tc>
        <w:tc>
          <w:tcPr>
            <w:tcW w:type="dxa" w:w="1728"/>
          </w:tcPr>
          <w:p>
            <w:r>
              <w:t>SACRED HEART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Variation in Surgeon-Level Intraoperative Costs: An Intervention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Older Adults &amp; Drug Decisions: Collaboration &amp; Outcomes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Predictive Model of Chronic Kidney Disease in a Hispanic Population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Microbiota, Inflammation and Environmental Enteric Dysfunction (MiEED)</w:t>
            </w:r>
          </w:p>
        </w:tc>
        <w:tc>
          <w:tcPr>
            <w:tcW w:type="dxa" w:w="1728"/>
          </w:tcPr>
          <w:p>
            <w:r>
              <w:t>AGA KHAN UNIVERSITY (PAKISTAN)</w:t>
            </w:r>
          </w:p>
        </w:tc>
        <w:tc>
          <w:tcPr>
            <w:tcW w:type="dxa" w:w="1728"/>
          </w:tcPr>
          <w:p>
            <w:r>
              <w:t>K43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0.0098</w:t>
            </w:r>
          </w:p>
        </w:tc>
      </w:tr>
      <w:tr>
        <w:tc>
          <w:tcPr>
            <w:tcW w:type="dxa" w:w="1728"/>
          </w:tcPr>
          <w:p>
            <w:r>
              <w:t>Automated (AI) Analysis of Sleep Disordered Breathing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NonCancer Care of Elderly Colorectal Cancer Patients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Periodontal Disease and the Incidence of Oral Cancer</w:t>
            </w:r>
          </w:p>
        </w:tc>
        <w:tc>
          <w:tcPr>
            <w:tcW w:type="dxa" w:w="1728"/>
          </w:tcPr>
          <w:p>
            <w:r>
              <w:t>ROSWELL PARK CANCER INSTITUTE CORP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MICRORNA BIOMARKERS FOR CERVICAL CANCER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Obesity in ovarian cancer prognosis</w:t>
            </w:r>
          </w:p>
        </w:tc>
        <w:tc>
          <w:tcPr>
            <w:tcW w:type="dxa" w:w="1728"/>
          </w:tcPr>
          <w:p>
            <w:r>
              <w:t>UNIV OF MED/DENT NJ-R W JOHNSON MED SCH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Vaccine Development for Falciparum Malaria in Pregnant Women and Their Offspring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Systems Biology of Plasmodium falciparum: Building and Exploring Network Models</w:t>
            </w:r>
          </w:p>
        </w:tc>
        <w:tc>
          <w:tcPr>
            <w:tcW w:type="dxa" w:w="1728"/>
          </w:tcPr>
          <w:p>
            <w:r>
              <w:t>UNIVERSITY OF TEXAS SAN ANTONIO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Malarial Retinopathy Screening System for Improved Diagnosis of Cerebral Malaria</w:t>
            </w:r>
          </w:p>
        </w:tc>
        <w:tc>
          <w:tcPr>
            <w:tcW w:type="dxa" w:w="1728"/>
          </w:tcPr>
          <w:p>
            <w:r>
              <w:t>VISIONQUEST BIOMEDICAL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Risk Profiles for Suicidal Behavior in the General Population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Tough Talks: A Disclosure Intervention for HIV+ YMSM</w:t>
            </w:r>
          </w:p>
        </w:tc>
        <w:tc>
          <w:tcPr>
            <w:tcW w:type="dxa" w:w="1728"/>
          </w:tcPr>
          <w:p>
            <w:r>
              <w:t>VIRTUALLY BETTER,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Integrative framework for identifying dysregulated mechanisms in the tumor-immune microenvironment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Depression susceptibility genes and networks: expression, eQTL and GWAS analysis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Enhanced Gene Identification in Complex Traits Using Kernel Machines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Predicted Gene Expression: High Power, Mechanism, and Direction of Effect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IEEE Medical Imaging Conference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Kernel-based Nonlinear Learning for Fast Magnetic Resonance Imaging with Sub-Nyquist Sampling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Precision immunoprofiling to reveal diagnostic biomarkers of latent TB infection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Novel Informatics Approaches for Ascertainment of PAD Status and Adverse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Using clinical treatment data in a machine learning approach for sepsis detection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Dysmorphology Core - U24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Information-Theoretic Based CAD in Mammography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Preventable Hospitalization in Dementia: The Impact of Neuropsychiatric Symptoms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